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VASM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VASM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Page 7: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la phrase “On dit que ce cycle a une coordinence de 4 car l’azote se lie 4 fois”, il faut remplacer “l’azote” par “le Mg”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VASM 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page 24 :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phrase « avec le chlorure de thionyle, on obtient un dérivé chloré » n’est pas à mettre dans la synthèse de Wencker mais dans la synthèse de Gabriel.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VASM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page 7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Dans la phrase “si le ligand est un agent faible, on a une petite différence entre t2g et eg.” il faut remplacer “un agent” par “à champ”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vasm 9-10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page 29: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réactivité des “pipéridines” et pas des pyrrolidines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