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CỘNG HÒA XÃ HỘI CHỦ NGHĨA VIỆT NAM</w:t>
        <w:br/>
        <w:t>Độc lập - Tự do - Hạnh phúc</w:t>
        <w:br/>
        <w:t>-----------------------</w:t>
      </w:r>
    </w:p>
    <w:p>
      <w:pPr>
        <w:jc w:val="center"/>
      </w:pPr>
      <w:r>
        <w:rPr>
          <w:b/>
          <w:color w:val="102C57"/>
          <w:sz w:val="28"/>
        </w:rPr>
        <w:br/>
        <w:t>TIÊU CHUẨN AN TOÀN BẢO MẬT TLBM (ITEM 1 - FOLDER 2)</w:t>
        <w:br/>
      </w:r>
    </w:p>
    <w:p>
      <w:pPr>
        <w:jc w:val="center"/>
      </w:pPr>
      <w:r>
        <w:rPr>
          <w:i/>
          <w:sz w:val="22"/>
        </w:rPr>
        <w:t>Số hiệu: 04/2026/TC-BM | Ngày ban hành: 11/10/2026</w:t>
        <w:br/>
        <w:br/>
      </w:r>
    </w:p>
    <w:p>
      <w:pPr>
        <w:spacing w:line="300" w:lineRule="auto"/>
      </w:pPr>
      <w:r>
        <w:rPr>
          <w:sz w:val="24"/>
        </w:rPr>
        <w:t>Điều 1. Phân loại mức độ nhạy cảm của dữ liệu</w:t>
        <w:br/>
        <w:t>Hệ thống TLBM áp dụng 3 mức độ bảo vệ nghiêm ngặt:</w:t>
        <w:br/>
        <w:t>- Mức 1 (Tuyệt mật): Dữ liệu mã hóa toàn bộ ổ đĩa với thuật toán AES-256 bit và quản lý khóa KMS.</w:t>
        <w:br/>
        <w:t>- Mức 2 (Tối mật): Chỉ cho phép truy cập từ mạng nội bộ (VPN chuyên dụng), cấm tải về thiết bị cá nhân.</w:t>
        <w:br/>
        <w:t>- Mức 3 (Mật): Yêu cầu xác thực 2 yếu tố (2FA) và ghi nhật ký truy cập (Audit Log) đầy đủ.</w:t>
        <w:br/>
        <w:br/>
        <w:t>Điều 2. Phòng chống lộ lọt thông tin</w:t>
        <w:br/>
        <w:t>Mọi tệp tài liệu xuất ra khỏi hệ thống đều được tự động chèn Watermark số nhận diện (Tên người dùng, IP, Thời gian xuất). Hệ thống tự động khóa tài khoản sau 5 lần nhập sai mã PIN hoặc mật khẩu.</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