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br/>
        <w:t>-----------------------</w:t>
      </w:r>
    </w:p>
    <w:p>
      <w:pPr>
        <w:jc w:val="center"/>
      </w:pPr>
      <w:r>
        <w:rPr>
          <w:b/>
          <w:color w:val="102C57"/>
          <w:sz w:val="28"/>
        </w:rPr>
        <w:br/>
        <w:t>QUY ĐỊNH XỬ LÝ VĂN BẢN ĐẾN (ITEM 1 - FOLDER 1)</w:t>
        <w:br/>
      </w:r>
    </w:p>
    <w:p>
      <w:pPr>
        <w:jc w:val="center"/>
      </w:pPr>
      <w:r>
        <w:rPr>
          <w:i/>
          <w:sz w:val="22"/>
        </w:rPr>
        <w:t>Số hiệu: 01/2026/QĐ-VBĐ | Ngày ban hành: 11/10/2026</w:t>
        <w:br/>
        <w:br/>
      </w:r>
    </w:p>
    <w:p>
      <w:pPr>
        <w:spacing w:line="300" w:lineRule="auto"/>
      </w:pPr>
      <w:r>
        <w:rPr>
          <w:sz w:val="24"/>
        </w:rPr>
        <w:t>Điều 1. Tiếp nhận và đăng ký văn bản đến</w:t>
        <w:br/>
        <w:t>Mọi văn bản gửi đến cơ quan phải được tiếp nhận tại Bộ phận Văn thư, kiểm tra phong bì, con dấu hoặc chữ ký số. Sau khi kiểm tra tính toàn vẹn, văn thư tiến hành số hóa (quét OCR), vào sổ đăng ký văn bản đến trên phần mềm TLBM và cấp số đến trong vòng tối đa 02 giờ làm việc.</w:t>
        <w:br/>
        <w:br/>
        <w:t>Điều 2. Trình và phân phối văn bản đến</w:t>
        <w:br/>
        <w:t>Văn bản đến phải được chuyển cho Lãnh đạo cơ quan xem xét, phân phối trong ngày làm việc. Đối với văn bản Hỏa tốc, thời gian chuyển giao không quá 15 phút. Đơn vị chủ trì có trách nhiệm xử lý dứt điểm theo đúng thời hạn được giao.</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