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CỘNG HÒA XÃ HỘI CHỦ NGHĨA VIỆT NAM</w:t>
        <w:br/>
        <w:t>Độc lập - Tự do - Hạnh phúc</w:t>
        <w:br/>
        <w:t>-----------------------</w:t>
      </w:r>
    </w:p>
    <w:p>
      <w:pPr>
        <w:jc w:val="center"/>
      </w:pPr>
      <w:r>
        <w:rPr>
          <w:b/>
          <w:color w:val="102C57"/>
          <w:sz w:val="28"/>
        </w:rPr>
        <w:br/>
        <w:t>QUY TRÌNH PHÁT HÀNH VĂN BẢN ĐI (ITEM 2 - FOLDER 1)</w:t>
        <w:br/>
      </w:r>
    </w:p>
    <w:p>
      <w:pPr>
        <w:jc w:val="center"/>
      </w:pPr>
      <w:r>
        <w:rPr>
          <w:i/>
          <w:sz w:val="22"/>
        </w:rPr>
        <w:t>Số hiệu: 02/2026/QĐ-VBĐI | Ngày ban hành: 11/10/2026</w:t>
        <w:br/>
        <w:br/>
      </w:r>
    </w:p>
    <w:p>
      <w:pPr>
        <w:spacing w:line="300" w:lineRule="auto"/>
      </w:pPr>
      <w:r>
        <w:rPr>
          <w:sz w:val="24"/>
        </w:rPr>
        <w:t>Điều 1. Kiểm tra thể thức trước khi phát hành</w:t>
        <w:br/>
        <w:t>Văn thư cơ quan có trách nhiệm kiểm tra thể thức văn bản theo Nghị định 30/2020/NĐ-CP, kiểm tra chữ ký số của người có thẩm quyền. Văn bản chưa đủ điều kiện thể thức sẽ bị từ chối phát hành.</w:t>
        <w:br/>
        <w:br/>
        <w:t>Điều 2. Cấp số và phát hành điện tử</w:t>
        <w:br/>
        <w:t>Văn bản đi được cấp số tự động theo từng danh mục loại văn bản (Quyết định, Công văn, Tờ trình, Thông báo). Văn bản điện tử được phát hành qua Trục liên thông văn bản quốc gia hoặc gửi trực tiếp qua email công vụ ngay trong ngày làm việc sau khi hoàn tất ký số.</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