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CỘNG HÒA XÃ HỘI CHỦ NGHĨA VIỆT NAM</w:t>
        <w:br/>
        <w:t>Độc lập - Tự do - Hạnh phúc</w:t>
        <w:br/>
        <w:t>-----------------------</w:t>
      </w:r>
    </w:p>
    <w:p>
      <w:pPr>
        <w:jc w:val="center"/>
      </w:pPr>
      <w:r>
        <w:rPr>
          <w:b/>
          <w:color w:val="102C57"/>
          <w:sz w:val="28"/>
        </w:rPr>
        <w:br/>
        <w:t>QUY TRÌNH ỨNG PHÓ SỰ CỐ AN NINH (ITEM 3 - FOLDER 2)</w:t>
        <w:br/>
      </w:r>
    </w:p>
    <w:p>
      <w:pPr>
        <w:jc w:val="center"/>
      </w:pPr>
      <w:r>
        <w:rPr>
          <w:i/>
          <w:sz w:val="22"/>
        </w:rPr>
        <w:t>Số hiệu: 06/2026/QT-SC | Ngày ban hành: 11/10/2026</w:t>
        <w:br/>
        <w:br/>
      </w:r>
    </w:p>
    <w:p>
      <w:pPr>
        <w:spacing w:line="300" w:lineRule="auto"/>
      </w:pPr>
      <w:r>
        <w:rPr>
          <w:sz w:val="24"/>
        </w:rPr>
        <w:t>Điều 1. Các cấp độ sự cố an ninh mạng</w:t>
        <w:br/>
        <w:t>- Cấp độ Khẩn cấp: Hệ thống bị tấn công từ chối dịch vụ (DDoS) hoặc rò rỉ cơ sở dữ liệu mật. Thời gian phản ứng và kích hoạt kịch bản cô lập hệ thống không quá 15 phút.</w:t>
        <w:br/>
        <w:t>- Cấp độ Nghiêm trọng: Phát hiện mã độc trong mạng nội bộ hoặc nghi ngờ tài khoản quản trị bị chiếm đoạt. Thời gian xử lý không quá 02 giờ.</w:t>
        <w:br/>
        <w:br/>
        <w:t>Điều 2. Kế hoạch khôi phục sau sự cố (Disaster Recovery)</w:t>
        <w:br/>
        <w:t>Trung tâm dữ liệu luôn duy trì bản sao lưu nóng (Hot Standby) đồng bộ theo thời gian thực. Thời gian phục hồi dịch vụ tối đa (RTO) là 30 phút và mức tổn thất dữ liệu tối đa (RPO) là 05 phút.</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