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drawing>
          <wp:inline distT="0" distB="0" distL="0" distR="0">
            <wp:extent cx="2476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923925"/>
                    </a:xfrm>
                    <a:prstGeom prst="rect">
                      <a:avLst/>
                    </a:prstGeom>
                  </pic:spPr>
                </pic:pic>
              </a:graphicData>
            </a:graphic>
          </wp:inline>
        </w:drawing>
      </w:r>
    </w:p>
    <w:p>
      <w:pPr>
        <w:spacing w:after="420"/>
      </w:pPr>
      <w:r>
        <w:rPr>
          <w:rFonts w:ascii="Calibri" w:cs="Calibri" w:eastAsia="Calibri" w:hAnsi="Calibri"/>
          <w:b/>
          <w:bCs/>
          <w:sz w:val="30"/>
          <w:szCs w:val="30"/>
        </w:rPr>
        <w:t xml:space="preserve">Optimization of Energy Systems [XXXXXX]</w:t>
      </w:r>
    </w:p>
    <w:p>
      <w:pPr>
        <w:spacing w:after="180"/>
      </w:pPr>
      <w:r>
        <w:rPr>
          <w:rFonts w:ascii="Calibri" w:cs="Calibri" w:eastAsia="Calibri" w:hAnsi="Calibri"/>
          <w:b/>
          <w:bCs/>
          <w:color w:val="1F3864"/>
          <w:sz w:val="38"/>
          <w:szCs w:val="38"/>
        </w:rPr>
        <w:t xml:space="preserve">Power Systems Flexibility from District Heating Networks</w:t>
      </w:r>
    </w:p>
    <w:p>
      <w:pPr>
        <w:spacing w:after="360"/>
      </w:pPr>
      <w:r>
        <w:rPr>
          <w:rFonts w:ascii="Calibri" w:cs="Calibri" w:eastAsia="Calibri" w:hAnsi="Calibri"/>
          <w:color w:val="404040"/>
          <w:sz w:val="24"/>
          <w:szCs w:val="24"/>
        </w:rPr>
        <w:t xml:space="preserve">Reproducing the Combined Heat and Power Dispatch and its convex relaxation</w:t>
      </w:r>
    </w:p>
    <w:p>
      <w:pPr>
        <w:spacing w:after="50"/>
      </w:pPr>
      <w:r>
        <w:rPr>
          <w:rFonts w:ascii="Calibri" w:cs="Calibri" w:eastAsia="Calibri" w:hAnsi="Calibri"/>
          <w:b/>
          <w:bCs/>
          <w:sz w:val="23"/>
          <w:szCs w:val="23"/>
        </w:rPr>
        <w:t xml:space="preserve">L. Mitridati and J. A. Taylor</w:t>
      </w:r>
    </w:p>
    <w:p>
      <w:pPr>
        <w:spacing w:after="40"/>
      </w:pPr>
      <w:r>
        <w:rPr>
          <w:rFonts w:ascii="Calibri" w:cs="Calibri" w:eastAsia="Calibri" w:hAnsi="Calibri"/>
          <w:i/>
          <w:iCs/>
          <w:sz w:val="21"/>
          <w:szCs w:val="21"/>
        </w:rPr>
        <w:t xml:space="preserve">2018 Power Systems Computation Conference (PSCC), Dublin, Ireland, pp. 1–7</w:t>
      </w:r>
    </w:p>
    <w:p>
      <w:pPr>
        <w:spacing w:after="700"/>
      </w:pPr>
      <w:r>
        <w:rPr>
          <w:rFonts w:ascii="Consolas" w:cs="Consolas" w:eastAsia="Consolas" w:hAnsi="Consolas"/>
          <w:sz w:val="17"/>
          <w:szCs w:val="17"/>
        </w:rPr>
        <w:t xml:space="preserve">doi:10.23919/PSCC.2018.8442617</w:t>
      </w:r>
    </w:p>
    <w:p>
      <w:pPr>
        <w:spacing w:after="50"/>
      </w:pPr>
      <w:r>
        <w:rPr>
          <w:rFonts w:ascii="Calibri" w:cs="Calibri" w:eastAsia="Calibri" w:hAnsi="Calibri"/>
          <w:i/>
          <w:iCs/>
          <w:sz w:val="21"/>
          <w:szCs w:val="21"/>
        </w:rPr>
        <w:t xml:space="preserve">By</w:t>
      </w:r>
    </w:p>
    <w:p>
      <w:pPr>
        <w:spacing w:after="300"/>
      </w:pPr>
      <w:r>
        <w:rPr>
          <w:rFonts w:ascii="Calibri" w:cs="Calibri" w:eastAsia="Calibri" w:hAnsi="Calibri"/>
          <w:b/>
          <w:bCs/>
          <w:i/>
          <w:iCs/>
          <w:sz w:val="27"/>
          <w:szCs w:val="27"/>
        </w:rPr>
        <w:t xml:space="preserve">Sudhamshu M Reddy</w:t>
      </w:r>
    </w:p>
    <w:p>
      <w:pPr>
        <w:spacing w:after="110" w:line="264"/>
      </w:pPr>
      <w:r>
        <w:rPr>
          <w:rFonts w:ascii="Calibri" w:cs="Calibri" w:eastAsia="Calibri" w:hAnsi="Calibri"/>
          <w:sz w:val="19"/>
          <w:szCs w:val="19"/>
        </w:rPr>
        <w:t xml:space="preserve">Code and data: </w:t>
      </w:r>
      <w:r>
        <w:rPr>
          <w:rFonts w:ascii="Consolas" w:cs="Consolas" w:eastAsia="Consolas" w:hAnsi="Consolas"/>
          <w:sz w:val="19"/>
          <w:szCs w:val="19"/>
        </w:rPr>
        <w:t xml:space="preserve">https://github.com/DeusExMachina25/chpd-dhn-flexibility</w:t>
      </w:r>
    </w:p>
    <w:p>
      <w:r>
        <w:br w:type="page"/>
      </w:r>
    </w:p>
    <w:p>
      <w:pPr>
        <w:pStyle w:val="Heading1"/>
        <w:spacing w:after="120" w:before="240"/>
        <w:outlineLvl w:val="0"/>
      </w:pPr>
      <w:r>
        <w:t xml:space="preserve">Introduction</w:t>
      </w:r>
    </w:p>
    <w:p>
      <w:pPr>
        <w:spacing w:after="110" w:line="264"/>
      </w:pPr>
      <w:r>
        <w:rPr>
          <w:rFonts w:ascii="Calibri" w:cs="Calibri" w:eastAsia="Calibri" w:hAnsi="Calibri"/>
          <w:sz w:val="21"/>
          <w:szCs w:val="21"/>
        </w:rPr>
        <w:t xml:space="preserve">A district heating network delivers heat by pumping hot water from stations out to consumers and returning it cooled. Water takes time to travel down a pipe, so the network stores heat by itself: produce it early, deliver it later.</w:t>
      </w:r>
    </w:p>
    <w:p>
      <w:pPr>
        <w:spacing w:after="110" w:line="264"/>
      </w:pPr>
      <w:r>
        <w:rPr>
          <w:rFonts w:ascii="Calibri" w:cs="Calibri" w:eastAsia="Calibri" w:hAnsi="Calibri"/>
          <w:sz w:val="21"/>
          <w:szCs w:val="21"/>
        </w:rPr>
        <w:t xml:space="preserve">That matters because an extraction CHP unit cannot choose its heat and power output independently. A CHP tied to the heat load gets pushed off its efficient electrical operating point, and wind may be curtailed to make room for it. Let the network hold heat instead, and the CHP is free to follow the electricity system.</w:t>
      </w:r>
    </w:p>
    <w:p>
      <w:pPr>
        <w:spacing w:after="110" w:line="264"/>
      </w:pPr>
      <w:r>
        <w:rPr>
          <w:rFonts w:ascii="Calibri" w:cs="Calibri" w:eastAsia="Calibri" w:hAnsi="Calibri"/>
          <w:sz w:val="21"/>
          <w:szCs w:val="21"/>
        </w:rPr>
        <w:t xml:space="preserve">Mitridati and Taylor turn this into a Combined Heat and Power Dispatch (CHPD), co-optimising a DC optimal power flow with the hydraulic and thermal state of the heating network. It is non-convex, so they also give a convex relaxation. This report rebuilds both in Julia/JuMP — the </w:t>
      </w:r>
      <w:r>
        <w:rPr>
          <w:rFonts w:ascii="Calibri" w:cs="Calibri" w:eastAsia="Calibri" w:hAnsi="Calibri"/>
          <w:b/>
          <w:bCs/>
          <w:sz w:val="21"/>
          <w:szCs w:val="21"/>
        </w:rPr>
        <w:t xml:space="preserve">Section II</w:t>
      </w:r>
      <w:r>
        <w:rPr>
          <w:rFonts w:ascii="Calibri" w:cs="Calibri" w:eastAsia="Calibri" w:hAnsi="Calibri"/>
          <w:sz w:val="21"/>
          <w:szCs w:val="21"/>
        </w:rPr>
        <w:t xml:space="preserve"> formulation and the </w:t>
      </w:r>
      <w:r>
        <w:rPr>
          <w:rFonts w:ascii="Calibri" w:cs="Calibri" w:eastAsia="Calibri" w:hAnsi="Calibri"/>
          <w:b/>
          <w:bCs/>
          <w:sz w:val="21"/>
          <w:szCs w:val="21"/>
        </w:rPr>
        <w:t xml:space="preserve">Section III-B</w:t>
      </w:r>
      <w:r>
        <w:rPr>
          <w:rFonts w:ascii="Calibri" w:cs="Calibri" w:eastAsia="Calibri" w:hAnsi="Calibri"/>
          <w:sz w:val="21"/>
          <w:szCs w:val="21"/>
        </w:rPr>
        <w:t xml:space="preserve"> relaxation — and validates them at a single time step, which is the scope of the assignment. A conventional economic dispatch and the pipeline time delays were built as well, and are reported briefly at the end.</w:t>
      </w:r>
    </w:p>
    <w:p>
      <w:pPr>
        <w:pStyle w:val="Heading1"/>
        <w:spacing w:after="120" w:before="240"/>
        <w:outlineLvl w:val="0"/>
      </w:pPr>
      <w:r>
        <w:t xml:space="preserve">Problem Statement</w:t>
      </w:r>
    </w:p>
    <w:p>
      <w:pPr>
        <w:spacing w:after="110" w:line="264"/>
      </w:pPr>
      <w:r>
        <w:rPr>
          <w:rFonts w:ascii="Calibri" w:cs="Calibri" w:eastAsia="Calibri" w:hAnsi="Calibri"/>
          <w:sz w:val="21"/>
          <w:szCs w:val="21"/>
        </w:rPr>
        <w:t xml:space="preserve">The CHPD minimises operating cost subject to the physics of both networks at once. On the electricity side it is a linearised optimal power flow: generator outputs, voltage angles and line flows. On the heating side it carries the mass flows, nodal pressures and temperatures, and pipe inlet and outlet temperatures, subject to friction, thermal loss, mass balance and temperature mixing. CHP units, heat pumps and water pumps couple the two together.</w:t>
      </w:r>
    </w:p>
    <w:p>
      <w:pPr>
        <w:spacing w:after="110" w:line="264"/>
      </w:pPr>
      <w:r>
        <w:rPr>
          <w:rFonts w:ascii="Calibri" w:cs="Calibri" w:eastAsia="Calibri" w:hAnsi="Calibri"/>
          <w:sz w:val="21"/>
          <w:szCs w:val="21"/>
        </w:rPr>
        <w:t xml:space="preserve">Three features make it hard, and they are why a relaxation is needed:</w:t>
      </w:r>
    </w:p>
    <w:p>
      <w:pPr>
        <w:pStyle w:val="ListParagraph"/>
        <w:numPr>
          <w:ilvl w:val="0"/>
          <w:numId w:val="1"/>
        </w:numPr>
        <w:spacing w:after="70" w:line="264"/>
      </w:pPr>
      <w:r>
        <w:rPr>
          <w:rFonts w:ascii="Calibri" w:cs="Calibri" w:eastAsia="Calibri" w:hAnsi="Calibri"/>
          <w:b/>
          <w:bCs/>
          <w:sz w:val="21"/>
          <w:szCs w:val="21"/>
        </w:rPr>
        <w:t xml:space="preserve">Bilinear equalities. </w:t>
      </w:r>
      <w:r>
        <w:rPr>
          <w:rFonts w:ascii="Calibri" w:cs="Calibri" w:eastAsia="Calibri" w:hAnsi="Calibri"/>
          <w:sz w:val="21"/>
          <w:szCs w:val="21"/>
        </w:rPr>
        <w:t xml:space="preserve">Heat carried is a mass flow times a temperature difference, so heat delivered at a load, heat produced at a station, nodal mixing and pump power — Eqs. (16), (17), (21), (24), (27) — are each a product of two variables.</w:t>
      </w:r>
    </w:p>
    <w:p>
      <w:pPr>
        <w:pStyle w:val="ListParagraph"/>
        <w:numPr>
          <w:ilvl w:val="0"/>
          <w:numId w:val="1"/>
        </w:numPr>
        <w:spacing w:after="70" w:line="264"/>
      </w:pPr>
      <w:r>
        <w:rPr>
          <w:rFonts w:ascii="Calibri" w:cs="Calibri" w:eastAsia="Calibri" w:hAnsi="Calibri"/>
          <w:b/>
          <w:bCs/>
          <w:sz w:val="21"/>
          <w:szCs w:val="21"/>
        </w:rPr>
        <w:t xml:space="preserve">A quadratic equality. </w:t>
      </w:r>
      <w:r>
        <w:rPr>
          <w:rFonts w:ascii="Calibri" w:cs="Calibri" w:eastAsia="Calibri" w:hAnsi="Calibri"/>
          <w:sz w:val="21"/>
          <w:szCs w:val="21"/>
        </w:rPr>
        <w:t xml:space="preserve">Pressure loss goes with the square of the mass flow, Eq. (2); as an equality that is a non-convex surface.</w:t>
      </w:r>
    </w:p>
    <w:p>
      <w:pPr>
        <w:pStyle w:val="ListParagraph"/>
        <w:numPr>
          <w:ilvl w:val="0"/>
          <w:numId w:val="1"/>
        </w:numPr>
        <w:spacing w:after="70" w:line="264"/>
      </w:pPr>
      <w:r>
        <w:rPr>
          <w:rFonts w:ascii="Calibri" w:cs="Calibri" w:eastAsia="Calibri" w:hAnsi="Calibri"/>
          <w:b/>
          <w:bCs/>
          <w:sz w:val="21"/>
          <w:szCs w:val="21"/>
        </w:rPr>
        <w:t xml:space="preserve">Integer time delays. </w:t>
      </w:r>
      <w:r>
        <w:rPr>
          <w:rFonts w:ascii="Calibri" w:cs="Calibri" w:eastAsia="Calibri" w:hAnsi="Calibri"/>
          <w:sz w:val="21"/>
          <w:szCs w:val="21"/>
        </w:rPr>
        <w:t xml:space="preserve">Pipe travel time is itself a variable, cut into whole steps with binaries and big-M logic, Eqs. (6)–(13).</w:t>
      </w:r>
    </w:p>
    <w:p>
      <w:pPr>
        <w:spacing w:after="110" w:line="264"/>
      </w:pPr>
      <w:r>
        <w:rPr>
          <w:rFonts w:ascii="Calibri" w:cs="Calibri" w:eastAsia="Calibri" w:hAnsi="Calibri"/>
          <w:sz w:val="21"/>
          <w:szCs w:val="21"/>
        </w:rPr>
        <w:t xml:space="preserve">The result is a mixed-integer non-linear program, which Section III relaxes to a tractable second-order cone program.</w:t>
      </w:r>
    </w:p>
    <w:p>
      <w:pPr>
        <w:pStyle w:val="Heading1"/>
        <w:spacing w:after="120" w:before="240"/>
        <w:outlineLvl w:val="0"/>
      </w:pPr>
      <w:r>
        <w:t xml:space="preserve">Mathematical Formulation</w:t>
      </w:r>
    </w:p>
    <w:p>
      <w:pPr>
        <w:spacing w:after="110" w:line="264"/>
      </w:pPr>
      <w:r>
        <w:rPr>
          <w:rFonts w:ascii="Calibri" w:cs="Calibri" w:eastAsia="Calibri" w:hAnsi="Calibri"/>
          <w:sz w:val="21"/>
          <w:szCs w:val="21"/>
        </w:rPr>
        <w:t xml:space="preserve">Both models use identical data, so any difference between them comes from the formulation alone. The relaxation is built by constructing the Section II model and replacing exactly the constraints the paper replaces, so the two differ nowhere else.</w:t>
      </w:r>
    </w:p>
    <w:p>
      <w:pPr>
        <w:pStyle w:val="Heading2"/>
        <w:spacing w:after="120" w:before="240"/>
        <w:outlineLvl w:val="1"/>
      </w:pPr>
      <w:r>
        <w:t xml:space="preserve">Section II — the original model</w:t>
      </w:r>
    </w:p>
    <w:p>
      <w:pPr>
        <w:spacing w:after="110" w:line="264"/>
      </w:pPr>
      <w:r>
        <w:rPr>
          <w:rFonts w:ascii="Calibri" w:cs="Calibri" w:eastAsia="Calibri" w:hAnsi="Calibri"/>
          <w:sz w:val="21"/>
          <w:szCs w:val="21"/>
        </w:rPr>
        <w:t xml:space="preserve">The objective, Eqs. (34)–(35), is the marginal cost of the electricity-only generators plus the fuel cost of the CHP units:</w:t>
      </w:r>
    </w:p>
    <w:p>
      <w:pPr>
        <w:spacing w:after="120" w:before="90"/>
        <w:jc w:val="center"/>
      </w:pPr>
      <w:r>
        <w:rPr>
          <w:rFonts w:ascii="Consolas" w:cs="Consolas" w:eastAsia="Consolas" w:hAnsi="Consolas"/>
          <w:sz w:val="19"/>
          <w:szCs w:val="19"/>
        </w:rPr>
        <w:t xml:space="preserve">min   Σ_g  α_g · P_g   +   Σ_j  α_j · ( ρE_j · P_j  +  ρH_j · Q_j )</w:t>
      </w:r>
    </w:p>
    <w:p>
      <w:pPr>
        <w:spacing w:after="110" w:line="264"/>
      </w:pPr>
      <w:r>
        <w:rPr>
          <w:rFonts w:ascii="Calibri" w:cs="Calibri" w:eastAsia="Calibri" w:hAnsi="Calibri"/>
          <w:sz w:val="21"/>
          <w:szCs w:val="21"/>
        </w:rPr>
        <w:t xml:space="preserve">where g indexes electricity-only generators and j the CHP units, α is a marginal or fuel cost, and ρE, ρH are the fuel needed per unit of electrical and thermal output. Heat pumps carry no direct cost: they pay through the electricity they consume, which the power balance already prices.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5000"/>
        <w:gridCol w:w="2520"/>
      </w:tblGrid>
      <w:tr>
        <w:trPr>
          <w:tblHeader/>
        </w:trPr>
        <w:tc>
          <w:tcPr>
            <w:tcW w:type="dxa" w:w="15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Eqs.</w:t>
            </w:r>
          </w:p>
        </w:tc>
        <w:tc>
          <w:tcPr>
            <w:tcW w:type="dxa" w:w="50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Constraint family</w:t>
            </w:r>
          </w:p>
        </w:tc>
        <w:tc>
          <w:tcPr>
            <w:tcW w:type="dxa" w:w="25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Form</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(1), (15), (18)</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Pipe mass flow, nodal pressure and nodal temperature limits</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Bounds</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Pressure loss from friction, Δpr = φ·mf²</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Quadratic equality</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(3), (4)</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Pipe inlet temperature equals the upstream nodal temperature</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Linear</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Pipe outlet temperature after transport and thermal loss</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Linear given the delay</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(6)–(13)</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Travel time as an integer number of steps; pipeline storage</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Binary, big-M</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(14)</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Nodal mass balance, supply and return</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Linear</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(16), (17)</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Nodal temperature mixing, flow-weighted</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Bilinear equality</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(19), (20)</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Mixing at a node with a single arriving pipe</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Linear (exact)</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(21)–(23)</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Heat delivered at a heat exchanger station, its flow limits and minimum Δpr</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Bilinear equality</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(24)–(26)</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Heat station output Q = c·mf·ΔT, and its limits</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Bilinear equality</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(27)</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Water pump power, L = mf·Δpr / (ρ·η)</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Bilinear equality</w:t>
            </w:r>
          </w:p>
        </w:tc>
      </w:tr>
      <w:tr>
        <w:tc>
          <w:tcPr>
            <w:tcW w:type="dxa" w:w="1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(28)–(30)</w:t>
            </w:r>
          </w:p>
        </w:tc>
        <w:tc>
          <w:tcPr>
            <w:tcW w:type="dxa" w:w="50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Extraction CHP region (P ≥ r·Q, fuel limit); heat pump Q = COP·L</w:t>
            </w:r>
          </w:p>
        </w:tc>
        <w:tc>
          <w:tcPr>
            <w:tcW w:type="dxa" w:w="25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Linear</w:t>
            </w:r>
          </w:p>
        </w:tc>
      </w:tr>
      <w:tr>
        <w:tc>
          <w:tcPr>
            <w:tcW w:type="dxa" w:w="1500"/>
            <w:tcMar>
              <w:top w:type="dxa" w:w="50"/>
              <w:left w:type="dxa" w:w="90"/>
              <w:bottom w:type="dxa" w:w="50"/>
              <w:right w:type="dxa" w:w="90"/>
            </w:tcMar>
          </w:tcPr>
          <w:p>
            <w:pPr>
              <w:spacing w:after="0" w:line="230"/>
            </w:pPr>
            <w:r>
              <w:rPr>
                <w:rFonts w:ascii="Calibri" w:cs="Calibri" w:eastAsia="Calibri" w:hAnsi="Calibri"/>
                <w:sz w:val="18"/>
                <w:szCs w:val="18"/>
              </w:rPr>
              <w:t xml:space="preserve">(31)–(33)</w:t>
            </w:r>
          </w:p>
        </w:tc>
        <w:tc>
          <w:tcPr>
            <w:tcW w:type="dxa" w:w="5000"/>
            <w:tcMar>
              <w:top w:type="dxa" w:w="50"/>
              <w:left w:type="dxa" w:w="90"/>
              <w:bottom w:type="dxa" w:w="50"/>
              <w:right w:type="dxa" w:w="90"/>
            </w:tcMar>
          </w:tcPr>
          <w:p>
            <w:pPr>
              <w:spacing w:after="0" w:line="230"/>
            </w:pPr>
            <w:r>
              <w:rPr>
                <w:rFonts w:ascii="Calibri" w:cs="Calibri" w:eastAsia="Calibri" w:hAnsi="Calibri"/>
                <w:sz w:val="18"/>
                <w:szCs w:val="18"/>
              </w:rPr>
              <w:t xml:space="preserve">Nodal power balance, line flow limits, generator bounds</w:t>
            </w:r>
          </w:p>
        </w:tc>
        <w:tc>
          <w:tcPr>
            <w:tcW w:type="dxa" w:w="2520"/>
            <w:tcMar>
              <w:top w:type="dxa" w:w="50"/>
              <w:left w:type="dxa" w:w="90"/>
              <w:bottom w:type="dxa" w:w="50"/>
              <w:right w:type="dxa" w:w="90"/>
            </w:tcMar>
          </w:tcPr>
          <w:p>
            <w:pPr>
              <w:spacing w:after="0" w:line="230"/>
            </w:pPr>
            <w:r>
              <w:rPr>
                <w:rFonts w:ascii="Calibri" w:cs="Calibri" w:eastAsia="Calibri" w:hAnsi="Calibri"/>
                <w:sz w:val="18"/>
                <w:szCs w:val="18"/>
              </w:rPr>
              <w:t xml:space="preserve">Linear</w:t>
            </w:r>
          </w:p>
        </w:tc>
      </w:tr>
    </w:tbl>
    <w:p>
      <w:pPr>
        <w:spacing w:after="180" w:before="40"/>
      </w:pPr>
      <w:r>
        <w:rPr>
          <w:rFonts w:ascii="Calibri" w:cs="Calibri" w:eastAsia="Calibri" w:hAnsi="Calibri"/>
          <w:i/>
          <w:iCs/>
          <w:color w:val="595959"/>
          <w:sz w:val="17"/>
          <w:szCs w:val="17"/>
        </w:rPr>
        <w:t xml:space="preserve">Table 1. Section II constraints. A per-equation map to the code is given in Appendix B.</w:t>
      </w:r>
    </w:p>
    <w:p>
      <w:pPr>
        <w:pStyle w:val="Heading2"/>
        <w:spacing w:after="120" w:before="240"/>
        <w:outlineLvl w:val="1"/>
      </w:pPr>
      <w:r>
        <w:t xml:space="preserve">Section III-B — the convex relaxation</w:t>
      </w:r>
    </w:p>
    <w:p>
      <w:pPr>
        <w:spacing w:after="110" w:line="264"/>
      </w:pPr>
      <w:r>
        <w:rPr>
          <w:rFonts w:ascii="Calibri" w:cs="Calibri" w:eastAsia="Calibri" w:hAnsi="Calibri"/>
          <w:b/>
          <w:bCs/>
          <w:sz w:val="21"/>
          <w:szCs w:val="21"/>
        </w:rPr>
        <w:t xml:space="preserve">Pressure loss. </w:t>
      </w:r>
      <w:r>
        <w:rPr>
          <w:rFonts w:ascii="Calibri" w:cs="Calibri" w:eastAsia="Calibri" w:hAnsi="Calibri"/>
          <w:sz w:val="21"/>
          <w:szCs w:val="21"/>
        </w:rPr>
        <w:t xml:space="preserve">The quadratic equality (2) becomes the convex quadratic inequality (36), relaxed to the convex side of the surface:</w:t>
      </w:r>
    </w:p>
    <w:p>
      <w:pPr>
        <w:spacing w:after="120" w:before="90"/>
        <w:jc w:val="center"/>
      </w:pPr>
      <w:r>
        <w:rPr>
          <w:rFonts w:ascii="Consolas" w:cs="Consolas" w:eastAsia="Consolas" w:hAnsi="Consolas"/>
          <w:sz w:val="19"/>
          <w:szCs w:val="19"/>
        </w:rPr>
        <w:t xml:space="preserve">φ · mf²   ≤   pr_from − pr_to</w:t>
      </w:r>
    </w:p>
    <w:p>
      <w:pPr>
        <w:spacing w:after="110" w:line="264"/>
      </w:pPr>
      <w:r>
        <w:rPr>
          <w:rFonts w:ascii="Calibri" w:cs="Calibri" w:eastAsia="Calibri" w:hAnsi="Calibri"/>
          <w:b/>
          <w:bCs/>
          <w:sz w:val="21"/>
          <w:szCs w:val="21"/>
        </w:rPr>
        <w:t xml:space="preserve">Bilinear terms. </w:t>
      </w:r>
      <w:r>
        <w:rPr>
          <w:rFonts w:ascii="Calibri" w:cs="Calibri" w:eastAsia="Calibri" w:hAnsi="Calibri"/>
          <w:sz w:val="21"/>
          <w:szCs w:val="21"/>
        </w:rPr>
        <w:t xml:space="preserve">Each product w = x·y on a box [xₗ, xᵤ] × [yₗ, yᵤ] becomes its McCormick envelope, the tightest linear relaxation of a bilinear term on a box:</w:t>
      </w:r>
    </w:p>
    <w:p>
      <w:pPr>
        <w:spacing w:after="120" w:before="90"/>
        <w:jc w:val="center"/>
      </w:pPr>
      <w:r>
        <w:rPr>
          <w:rFonts w:ascii="Consolas" w:cs="Consolas" w:eastAsia="Consolas" w:hAnsi="Consolas"/>
          <w:sz w:val="19"/>
          <w:szCs w:val="19"/>
        </w:rPr>
        <w:t xml:space="preserve">w ≥ xₗy + xyₗ − xₗyₗ      w ≥ xᵤy + xyᵤ − xᵤyᵤ</w:t>
      </w:r>
    </w:p>
    <w:p>
      <w:pPr>
        <w:spacing w:after="120" w:before="90"/>
        <w:jc w:val="center"/>
      </w:pPr>
      <w:r>
        <w:rPr>
          <w:rFonts w:ascii="Consolas" w:cs="Consolas" w:eastAsia="Consolas" w:hAnsi="Consolas"/>
          <w:sz w:val="19"/>
          <w:szCs w:val="19"/>
        </w:rPr>
        <w:t xml:space="preserve">w ≤ xᵤy + xyₗ − xᵤyₗ      w ≤ xₗy + xyᵤ − xₗyᵤ</w:t>
      </w:r>
    </w:p>
    <w:p>
      <w:pPr>
        <w:spacing w:after="110" w:line="264"/>
      </w:pPr>
      <w:r>
        <w:rPr>
          <w:rFonts w:ascii="Calibri" w:cs="Calibri" w:eastAsia="Calibri" w:hAnsi="Calibri"/>
          <w:sz w:val="21"/>
          <w:szCs w:val="21"/>
        </w:rPr>
        <w:t xml:space="preserve">Two choices matter for tightness, because a McCormick relaxation is only as good as the box it is built on:</w:t>
      </w:r>
    </w:p>
    <w:p>
      <w:pPr>
        <w:pStyle w:val="ListParagraph"/>
        <w:numPr>
          <w:ilvl w:val="0"/>
          <w:numId w:val="1"/>
        </w:numPr>
        <w:spacing w:after="70" w:line="264"/>
      </w:pPr>
      <w:r>
        <w:rPr>
          <w:rFonts w:ascii="Calibri" w:cs="Calibri" w:eastAsia="Calibri" w:hAnsi="Calibri"/>
          <w:b/>
          <w:bCs/>
          <w:sz w:val="21"/>
          <w:szCs w:val="21"/>
        </w:rPr>
        <w:t xml:space="preserve">Envelope the temperature difference, not the temperatures. </w:t>
      </w:r>
      <w:r>
        <w:rPr>
          <w:rFonts w:ascii="Calibri" w:cs="Calibri" w:eastAsia="Calibri" w:hAnsi="Calibri"/>
          <w:sz w:val="21"/>
          <w:szCs w:val="21"/>
        </w:rPr>
        <w:t xml:space="preserve">For (21) and (24) the envelope uses ΔT = TS − TR as a single variable rather than TS and TR separately — one product instead of two, over a much narrower interval.</w:t>
      </w:r>
    </w:p>
    <w:p>
      <w:pPr>
        <w:pStyle w:val="ListParagraph"/>
        <w:numPr>
          <w:ilvl w:val="0"/>
          <w:numId w:val="1"/>
        </w:numPr>
        <w:spacing w:after="70" w:line="264"/>
      </w:pPr>
      <w:r>
        <w:rPr>
          <w:rFonts w:ascii="Calibri" w:cs="Calibri" w:eastAsia="Calibri" w:hAnsi="Calibri"/>
          <w:b/>
          <w:bCs/>
          <w:sz w:val="21"/>
          <w:szCs w:val="21"/>
        </w:rPr>
        <w:t xml:space="preserve">Do not relax what is already exact. </w:t>
      </w:r>
      <w:r>
        <w:rPr>
          <w:rFonts w:ascii="Calibri" w:cs="Calibri" w:eastAsia="Calibri" w:hAnsi="Calibri"/>
          <w:sz w:val="21"/>
          <w:szCs w:val="21"/>
        </w:rPr>
        <w:t xml:space="preserve">Where a node has one arriving pipe, Eqs. (19)/(20) are exact and linear, so the bilinear mixing constraint is dropped rather than relaxed.</w:t>
      </w:r>
    </w:p>
    <w:p>
      <w:pPr>
        <w:spacing w:after="110" w:line="264"/>
      </w:pPr>
      <w:r>
        <w:rPr>
          <w:rFonts w:ascii="Calibri" w:cs="Calibri" w:eastAsia="Calibri" w:hAnsi="Calibri"/>
          <w:sz w:val="21"/>
          <w:szCs w:val="21"/>
        </w:rPr>
        <w:t xml:space="preserve">With the delays off no binaries remain, so the relaxed model is a convex quadratically constrained program rather than a MISOCP.</w:t>
      </w:r>
    </w:p>
    <w:p>
      <w:pPr>
        <w:pStyle w:val="Heading1"/>
        <w:spacing w:after="120" w:before="240"/>
        <w:outlineLvl w:val="0"/>
      </w:pPr>
      <w:r>
        <w:t xml:space="preserve">Implementation and Challenges</w:t>
      </w:r>
    </w:p>
    <w:p>
      <w:pPr>
        <w:spacing w:after="110" w:line="264"/>
      </w:pPr>
      <w:r>
        <w:rPr>
          <w:rFonts w:ascii="Calibri" w:cs="Calibri" w:eastAsia="Calibri" w:hAnsi="Calibri"/>
          <w:sz w:val="21"/>
          <w:szCs w:val="21"/>
        </w:rPr>
        <w:t xml:space="preserve">A single entry point drives the study, </w:t>
      </w:r>
      <w:r>
        <w:rPr>
          <w:rFonts w:ascii="Consolas" w:cs="Consolas" w:eastAsia="Consolas" w:hAnsi="Consolas"/>
          <w:sz w:val="19"/>
          <w:szCs w:val="19"/>
        </w:rPr>
        <w:t xml:space="preserve">src/chpd.jl</w:t>
      </w:r>
      <w:r>
        <w:rPr>
          <w:rFonts w:ascii="Calibri" w:cs="Calibri" w:eastAsia="Calibri" w:hAnsi="Calibri"/>
          <w:sz w:val="21"/>
          <w:szCs w:val="21"/>
        </w:rPr>
        <w:t xml:space="preserve">, taking the horizon, start hour and delay switch as command-line arguments, so nothing has to be edited to change what is solved. Gurobi solves the non-convex Section II by spatial branch and bound (</w:t>
      </w:r>
      <w:r>
        <w:rPr>
          <w:rFonts w:ascii="Consolas" w:cs="Consolas" w:eastAsia="Consolas" w:hAnsi="Consolas"/>
          <w:sz w:val="19"/>
          <w:szCs w:val="19"/>
        </w:rPr>
        <w:t xml:space="preserve">NonConvex=2</w:t>
      </w:r>
      <w:r>
        <w:rPr>
          <w:rFonts w:ascii="Calibri" w:cs="Calibri" w:eastAsia="Calibri" w:hAnsi="Calibri"/>
          <w:sz w:val="21"/>
          <w:szCs w:val="21"/>
        </w:rPr>
        <w:t xml:space="preserve">), which returns a certified global optimum; Section III-B is convex. Without a licensed Gurobi the code falls back to Ipopt and HiGHS, so it still runs.</w:t>
      </w:r>
    </w:p>
    <w:p>
      <w:pPr>
        <w:pStyle w:val="Heading2"/>
        <w:spacing w:after="120" w:before="240"/>
        <w:outlineLvl w:val="1"/>
      </w:pPr>
      <w:r>
        <w:t xml:space="preserve">Ambiguities in the paper</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700"/>
        <w:gridCol w:w="6320"/>
      </w:tblGrid>
      <w:tr>
        <w:trPr>
          <w:tblHeader/>
        </w:trPr>
        <w:tc>
          <w:tcPr>
            <w:tcW w:type="dxa" w:w="27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Issue</w:t>
            </w:r>
          </w:p>
        </w:tc>
        <w:tc>
          <w:tcPr>
            <w:tcW w:type="dxa" w:w="63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Interpretation adopted</w:t>
            </w:r>
          </w:p>
        </w:tc>
      </w:tr>
      <w:tr>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Eqs. (29), (34): η called an efficiency but multiplying an output</w:t>
            </w:r>
          </w:p>
        </w:tc>
        <w:tc>
          <w:tcPr>
            <w:tcW w:type="dxa" w:w="6320"/>
            <w:tcMar>
              <w:top w:type="dxa" w:w="50"/>
              <w:left w:type="dxa" w:w="90"/>
              <w:bottom w:type="dxa" w:w="50"/>
              <w:right w:type="dxa" w:w="90"/>
            </w:tcMar>
          </w:tcPr>
          <w:p>
            <w:pPr>
              <w:spacing w:after="0" w:line="230"/>
            </w:pPr>
            <w:r>
              <w:rPr>
                <w:rFonts w:ascii="Calibri" w:cs="Calibri" w:eastAsia="Calibri" w:hAnsi="Calibri"/>
                <w:sz w:val="18"/>
                <w:szCs w:val="18"/>
              </w:rPr>
              <w:t xml:space="preserve">Read literally as an efficiency the expression is dimensionally inconsistent. Implemented as fuel per unit of output, i.e. 1/η.</w:t>
            </w:r>
          </w:p>
        </w:tc>
      </w:tr>
      <w:tr>
        <w:tc>
          <w:tcPr>
            <w:tcW w:type="dxa" w:w="27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 (14) in the return network</w:t>
            </w:r>
          </w:p>
        </w:tc>
        <w:tc>
          <w:tcPr>
            <w:tcW w:type="dxa" w:w="63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A return pipe runs opposite its supply pipe, so the return balance is the mirror image. The only reading that conserves mass.</w:t>
            </w:r>
          </w:p>
        </w:tc>
      </w:tr>
      <w:tr>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Wind cost, angle reference</w:t>
            </w:r>
          </w:p>
        </w:tc>
        <w:tc>
          <w:tcPr>
            <w:tcW w:type="dxa" w:w="6320"/>
            <w:tcMar>
              <w:top w:type="dxa" w:w="50"/>
              <w:left w:type="dxa" w:w="90"/>
              <w:bottom w:type="dxa" w:w="50"/>
              <w:right w:type="dxa" w:w="90"/>
            </w:tcMar>
          </w:tcPr>
          <w:p>
            <w:pPr>
              <w:spacing w:after="0" w:line="230"/>
            </w:pPr>
            <w:r>
              <w:rPr>
                <w:rFonts w:ascii="Calibri" w:cs="Calibri" w:eastAsia="Calibri" w:hAnsi="Calibri"/>
                <w:sz w:val="18"/>
                <w:szCs w:val="18"/>
              </w:rPr>
              <w:t xml:space="preserve">Neither is given. Wind is priced at near zero with an hourly availability cap; bus 1 is the reference.</w:t>
            </w:r>
          </w:p>
        </w:tc>
      </w:tr>
      <w:tr>
        <w:tc>
          <w:tcPr>
            <w:tcW w:type="dxa" w:w="27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One step implies zero delay</w:t>
            </w:r>
          </w:p>
        </w:tc>
        <w:tc>
          <w:tcPr>
            <w:tcW w:type="dxa" w:w="63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 (6) only returns zero if a full pipe volume clears within one step, so the consistency bound mf·Δt ≥ ρπR²L is imposed whenever delays are off.</w:t>
            </w:r>
          </w:p>
        </w:tc>
      </w:tr>
    </w:tbl>
    <w:p>
      <w:pPr>
        <w:spacing w:after="180" w:before="40"/>
      </w:pPr>
      <w:r>
        <w:rPr>
          <w:rFonts w:ascii="Calibri" w:cs="Calibri" w:eastAsia="Calibri" w:hAnsi="Calibri"/>
          <w:i/>
          <w:iCs/>
          <w:color w:val="595959"/>
          <w:sz w:val="17"/>
          <w:szCs w:val="17"/>
        </w:rPr>
        <w:t xml:space="preserve">Table 2. Where the paper is silent or ambiguous, and what was decided.</w:t>
      </w:r>
    </w:p>
    <w:p>
      <w:pPr>
        <w:spacing w:after="110" w:line="264"/>
      </w:pPr>
      <w:r>
        <w:rPr>
          <w:rFonts w:ascii="Calibri" w:cs="Calibri" w:eastAsia="Calibri" w:hAnsi="Calibri"/>
          <w:sz w:val="21"/>
          <w:szCs w:val="21"/>
        </w:rPr>
        <w:t xml:space="preserve">The first of these is the one to settle with the lecturer or TA rather than assume. The nomenclature calls ρE and ρH fuel efficiencies, yet they multiply outputs and are compared against a fuel limit, which only balances dimensionally if they are the reciprocals. Taking them as written would change the CHP's fuel constraint and its cost by a factor of ρ², so the choice is not cosmetic. It is adopted because it is the only dimensionally coherent reading, and because the CED then reproduces the paper's published cost exactly — but it stays an assumption worth confirming.</w:t>
      </w:r>
    </w:p>
    <w:p>
      <w:pPr>
        <w:pStyle w:val="Heading2"/>
        <w:spacing w:after="120" w:before="240"/>
        <w:outlineLvl w:val="1"/>
      </w:pPr>
      <w:r>
        <w:t xml:space="preserve">Challenges</w:t>
      </w:r>
    </w:p>
    <w:p>
      <w:pPr>
        <w:spacing w:after="110" w:line="264"/>
      </w:pPr>
      <w:r>
        <w:rPr>
          <w:rFonts w:ascii="Calibri" w:cs="Calibri" w:eastAsia="Calibri" w:hAnsi="Calibri"/>
          <w:b/>
          <w:bCs/>
          <w:sz w:val="21"/>
          <w:szCs w:val="21"/>
        </w:rPr>
        <w:t xml:space="preserve">The relaxation was far too loose at first, and bound width was the whole story. </w:t>
      </w:r>
      <w:r>
        <w:rPr>
          <w:rFonts w:ascii="Calibri" w:cs="Calibri" w:eastAsia="Calibri" w:hAnsi="Calibri"/>
          <w:sz w:val="21"/>
          <w:szCs w:val="21"/>
        </w:rPr>
        <w:t xml:space="preserve">On an earlier case study rebuilt from the paper's figures, the first relaxed run came back 50 % under the original. The formulation was fine; the flow bounds were equipment nameplates while the real flows sat in a narrow band. For w = x·y the McCormick hull can sit (xᵤ−xₗ)(yᵤ−yₗ)/4 from the true surface — 83 MW of slack on a 98 MW load, enough to serve it without moving any water. Bounds implied by the model's own constraints closed that to 23.2 %, and on the authors' data it is under 1 %.</w:t>
      </w:r>
    </w:p>
    <w:p>
      <w:pPr>
        <w:spacing w:after="110" w:line="264"/>
      </w:pPr>
      <w:r>
        <w:rPr>
          <w:rFonts w:ascii="Calibri" w:cs="Calibri" w:eastAsia="Calibri" w:hAnsi="Calibri"/>
          <w:b/>
          <w:bCs/>
          <w:sz w:val="21"/>
          <w:szCs w:val="21"/>
        </w:rPr>
        <w:t xml:space="preserve">The authors' data exposed two real bugs. </w:t>
      </w:r>
      <w:r>
        <w:rPr>
          <w:rFonts w:ascii="Calibri" w:cs="Calibri" w:eastAsia="Calibri" w:hAnsi="Calibri"/>
          <w:sz w:val="21"/>
          <w:szCs w:val="21"/>
        </w:rPr>
        <w:t xml:space="preserve">The loss bracket in Eq. (5) is multiplied by the delay τ, so at τ = 0 it equals one and a pipe crossed inside one step loses nothing — but the code was charging a full step of loss. On the reconstruction that only inflated losses; on the authors' data it made the model </w:t>
      </w:r>
      <w:r>
        <w:rPr>
          <w:rFonts w:ascii="Calibri" w:cs="Calibri" w:eastAsia="Calibri" w:hAnsi="Calibri"/>
          <w:i/>
          <w:iCs/>
          <w:sz w:val="21"/>
          <w:szCs w:val="21"/>
        </w:rPr>
        <w:t xml:space="preserve">infeasible</w:t>
      </w:r>
      <w:r>
        <w:rPr>
          <w:rFonts w:ascii="Calibri" w:cs="Calibri" w:eastAsia="Calibri" w:hAnsi="Calibri"/>
          <w:sz w:val="21"/>
          <w:szCs w:val="21"/>
        </w:rPr>
        <w:t xml:space="preserve">, since their pipes lose 4.27 % of absolute temperature per step and two in series drop a 393.15 K supply below the 363.15 K floor of Eq. (18). The infeasibility is what found it. The second bug was the missing zero-delay consistency bound in Table 2.</w:t>
      </w:r>
    </w:p>
    <w:p>
      <w:pPr>
        <w:spacing w:after="110" w:line="264"/>
      </w:pPr>
      <w:r>
        <w:rPr>
          <w:rFonts w:ascii="Calibri" w:cs="Calibri" w:eastAsia="Calibri" w:hAnsi="Calibri"/>
          <w:b/>
          <w:bCs/>
          <w:sz w:val="21"/>
          <w:szCs w:val="21"/>
        </w:rPr>
        <w:t xml:space="preserve">An unlicensed solver turned into a cross-check. </w:t>
      </w:r>
      <w:r>
        <w:rPr>
          <w:rFonts w:ascii="Calibri" w:cs="Calibri" w:eastAsia="Calibri" w:hAnsi="Calibri"/>
          <w:sz w:val="21"/>
          <w:szCs w:val="21"/>
        </w:rPr>
        <w:t xml:space="preserve">Early work ran on Ipopt, which finds a </w:t>
      </w:r>
      <w:r>
        <w:rPr>
          <w:rFonts w:ascii="Calibri" w:cs="Calibri" w:eastAsia="Calibri" w:hAnsi="Calibri"/>
          <w:i/>
          <w:iCs/>
          <w:sz w:val="21"/>
          <w:szCs w:val="21"/>
        </w:rPr>
        <w:t xml:space="preserve">local</w:t>
      </w:r>
      <w:r>
        <w:rPr>
          <w:rFonts w:ascii="Calibri" w:cs="Calibri" w:eastAsia="Calibri" w:hAnsi="Calibri"/>
          <w:sz w:val="21"/>
          <w:szCs w:val="21"/>
        </w:rPr>
        <w:t xml:space="preserve"> solution of the non-convex Section II where Gurobi returns a certified </w:t>
      </w:r>
      <w:r>
        <w:rPr>
          <w:rFonts w:ascii="Calibri" w:cs="Calibri" w:eastAsia="Calibri" w:hAnsi="Calibri"/>
          <w:i/>
          <w:iCs/>
          <w:sz w:val="21"/>
          <w:szCs w:val="21"/>
        </w:rPr>
        <w:t xml:space="preserve">global</w:t>
      </w:r>
      <w:r>
        <w:rPr>
          <w:rFonts w:ascii="Calibri" w:cs="Calibri" w:eastAsia="Calibri" w:hAnsi="Calibri"/>
          <w:sz w:val="21"/>
          <w:szCs w:val="21"/>
        </w:rPr>
        <w:t xml:space="preserve"> one. The two agreed to six significant figures, which suggests this case has no stray local optima.</w:t>
      </w:r>
    </w:p>
    <w:p>
      <w:pPr>
        <w:pStyle w:val="Heading2"/>
        <w:spacing w:after="120" w:before="240"/>
        <w:outlineLvl w:val="1"/>
      </w:pPr>
      <w:r>
        <w:t xml:space="preserve">Validation strategy</w:t>
      </w:r>
    </w:p>
    <w:p>
      <w:pPr>
        <w:spacing w:after="110" w:line="264"/>
      </w:pPr>
      <w:r>
        <w:rPr>
          <w:rFonts w:ascii="Calibri" w:cs="Calibri" w:eastAsia="Calibri" w:hAnsi="Calibri"/>
          <w:sz w:val="21"/>
          <w:szCs w:val="21"/>
        </w:rPr>
        <w:t xml:space="preserve">No claim here rests on an objective value alone. Four checks stand behind it: 15 unit tests, one confirming that the McCormick helper reproduces a known product exactly at the corners of its box and brackets it inside; a two-node network whose optimum is derived by hand and matched to 1e-4; physical checks on the solution; and confirmation that the relaxation bounds the original from below.</w:t>
      </w:r>
    </w:p>
    <w:p>
      <w:pPr>
        <w:spacing w:after="110" w:line="264"/>
      </w:pPr>
      <w:r>
        <w:rPr>
          <w:rFonts w:ascii="Calibri" w:cs="Calibri" w:eastAsia="Calibri" w:hAnsi="Calibri"/>
          <w:sz w:val="21"/>
          <w:szCs w:val="21"/>
        </w:rPr>
        <w:t xml:space="preserve">The hand-derived test earned its place. Its first version assumed the return temperature at the load would sit on its own lower bound, and it failed. The model was right: the water arrives already cooled, so the bound at the far end of the pipe binds first. The derivation was wrong, not the code.</w:t>
      </w:r>
    </w:p>
    <w:p>
      <w:pPr>
        <w:pStyle w:val="Heading1"/>
        <w:spacing w:after="120" w:before="240"/>
        <w:outlineLvl w:val="0"/>
      </w:pPr>
      <w:r>
        <w:t xml:space="preserve">Results</w:t>
      </w:r>
    </w:p>
    <w:p>
      <w:pPr>
        <w:spacing w:after="110" w:line="264"/>
      </w:pPr>
      <w:r>
        <w:rPr>
          <w:rFonts w:ascii="Calibri" w:cs="Calibri" w:eastAsia="Calibri" w:hAnsi="Calibri"/>
          <w:sz w:val="21"/>
          <w:szCs w:val="21"/>
        </w:rPr>
        <w:t xml:space="preserve">Everything below uses the authors' own data, from their online appendix (doi:10.5281/zenodo.1195508) and reference code. The system is a 6-bus network whose first three buses are also the DHN nodes, arranged in a line: node 1 (heat pump HP1, wind W1) → node 2 (CHP1, generator G2) → node 3 (the heat load HES1); parameters are in Appendix A. Every node has at most one arriving pipe, so Eqs. (19)/(20) apply throughout and the mixing equations (16)/(17) never bind — their envelopes are correct but have nothing to relax here, as the measured mixing residuals of exactly zero confirm. Only (21), (24) and (27) are actually relaxed.</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3200"/>
        <w:gridCol w:w="3220"/>
      </w:tblGrid>
      <w:tr>
        <w:trPr>
          <w:tblHeader/>
        </w:trPr>
        <w:tc>
          <w:tcPr>
            <w:tcW w:type="dxa" w:w="26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
            </w:r>
          </w:p>
        </w:tc>
        <w:tc>
          <w:tcPr>
            <w:tcW w:type="dxa" w:w="32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1 — wind-rich</w:t>
            </w:r>
          </w:p>
        </w:tc>
        <w:tc>
          <w:tcPr>
            <w:tcW w:type="dxa" w:w="32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20 — wind-scarce</w:t>
            </w:r>
          </w:p>
        </w:tc>
      </w:tr>
      <w:tr>
        <w:tc>
          <w:tcPr>
            <w:tcW w:type="dxa" w:w="2600"/>
            <w:tcMar>
              <w:top w:type="dxa" w:w="50"/>
              <w:left w:type="dxa" w:w="90"/>
              <w:bottom w:type="dxa" w:w="50"/>
              <w:right w:type="dxa" w:w="90"/>
            </w:tcMar>
          </w:tcPr>
          <w:p>
            <w:pPr>
              <w:spacing w:after="0" w:line="230"/>
            </w:pPr>
            <w:r>
              <w:rPr>
                <w:rFonts w:ascii="Calibri" w:cs="Calibri" w:eastAsia="Calibri" w:hAnsi="Calibri"/>
                <w:sz w:val="18"/>
                <w:szCs w:val="18"/>
              </w:rPr>
              <w:t xml:space="preserve">Electricity load</w:t>
            </w:r>
          </w:p>
        </w:tc>
        <w:tc>
          <w:tcPr>
            <w:tcW w:type="dxa" w:w="3200"/>
            <w:tcMar>
              <w:top w:type="dxa" w:w="50"/>
              <w:left w:type="dxa" w:w="90"/>
              <w:bottom w:type="dxa" w:w="50"/>
              <w:right w:type="dxa" w:w="90"/>
            </w:tcMar>
          </w:tcPr>
          <w:p>
            <w:pPr>
              <w:spacing w:after="0" w:line="230"/>
            </w:pPr>
            <w:r>
              <w:rPr>
                <w:rFonts w:ascii="Calibri" w:cs="Calibri" w:eastAsia="Calibri" w:hAnsi="Calibri"/>
                <w:sz w:val="18"/>
                <w:szCs w:val="18"/>
              </w:rPr>
              <w:t xml:space="preserve">205 MW</w:t>
            </w:r>
          </w:p>
        </w:tc>
        <w:tc>
          <w:tcPr>
            <w:tcW w:type="dxa" w:w="3220"/>
            <w:tcMar>
              <w:top w:type="dxa" w:w="50"/>
              <w:left w:type="dxa" w:w="90"/>
              <w:bottom w:type="dxa" w:w="50"/>
              <w:right w:type="dxa" w:w="90"/>
            </w:tcMar>
          </w:tcPr>
          <w:p>
            <w:pPr>
              <w:spacing w:after="0" w:line="230"/>
            </w:pPr>
            <w:r>
              <w:rPr>
                <w:rFonts w:ascii="Calibri" w:cs="Calibri" w:eastAsia="Calibri" w:hAnsi="Calibri"/>
                <w:sz w:val="18"/>
                <w:szCs w:val="18"/>
              </w:rPr>
              <w:t xml:space="preserve">275 MW</w:t>
            </w:r>
          </w:p>
        </w:tc>
      </w:tr>
      <w:tr>
        <w:tc>
          <w:tcPr>
            <w:tcW w:type="dxa" w:w="26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Wind availability</w:t>
            </w:r>
          </w:p>
        </w:tc>
        <w:tc>
          <w:tcPr>
            <w:tcW w:type="dxa" w:w="32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0.499 (≈ 250 MW)</w:t>
            </w:r>
          </w:p>
        </w:tc>
        <w:tc>
          <w:tcPr>
            <w:tcW w:type="dxa" w:w="32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0.060 (≈ 30 MW)</w:t>
            </w:r>
          </w:p>
        </w:tc>
      </w:tr>
      <w:tr>
        <w:tc>
          <w:tcPr>
            <w:tcW w:type="dxa" w:w="2600"/>
            <w:tcMar>
              <w:top w:type="dxa" w:w="50"/>
              <w:left w:type="dxa" w:w="90"/>
              <w:bottom w:type="dxa" w:w="50"/>
              <w:right w:type="dxa" w:w="90"/>
            </w:tcMar>
          </w:tcPr>
          <w:p>
            <w:pPr>
              <w:spacing w:after="0" w:line="230"/>
            </w:pPr>
            <w:r>
              <w:rPr>
                <w:rFonts w:ascii="Calibri" w:cs="Calibri" w:eastAsia="Calibri" w:hAnsi="Calibri"/>
                <w:sz w:val="18"/>
                <w:szCs w:val="18"/>
              </w:rPr>
              <w:t xml:space="preserve">Heat load</w:t>
            </w:r>
          </w:p>
        </w:tc>
        <w:tc>
          <w:tcPr>
            <w:tcW w:type="dxa" w:w="3200"/>
            <w:tcMar>
              <w:top w:type="dxa" w:w="50"/>
              <w:left w:type="dxa" w:w="90"/>
              <w:bottom w:type="dxa" w:w="50"/>
              <w:right w:type="dxa" w:w="90"/>
            </w:tcMar>
          </w:tcPr>
          <w:p>
            <w:pPr>
              <w:spacing w:after="0" w:line="230"/>
            </w:pPr>
            <w:r>
              <w:rPr>
                <w:rFonts w:ascii="Calibri" w:cs="Calibri" w:eastAsia="Calibri" w:hAnsi="Calibri"/>
                <w:sz w:val="18"/>
                <w:szCs w:val="18"/>
              </w:rPr>
              <w:t xml:space="preserve">78.01 MW</w:t>
            </w:r>
          </w:p>
        </w:tc>
        <w:tc>
          <w:tcPr>
            <w:tcW w:type="dxa" w:w="3220"/>
            <w:tcMar>
              <w:top w:type="dxa" w:w="50"/>
              <w:left w:type="dxa" w:w="90"/>
              <w:bottom w:type="dxa" w:w="50"/>
              <w:right w:type="dxa" w:w="90"/>
            </w:tcMar>
          </w:tcPr>
          <w:p>
            <w:pPr>
              <w:spacing w:after="0" w:line="230"/>
            </w:pPr>
            <w:r>
              <w:rPr>
                <w:rFonts w:ascii="Calibri" w:cs="Calibri" w:eastAsia="Calibri" w:hAnsi="Calibri"/>
                <w:sz w:val="18"/>
                <w:szCs w:val="18"/>
              </w:rPr>
              <w:t xml:space="preserve">110.99 MW</w:t>
            </w:r>
          </w:p>
        </w:tc>
      </w:tr>
      <w:tr>
        <w:tc>
          <w:tcPr>
            <w:tcW w:type="dxa" w:w="26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Section II (original)</w:t>
            </w:r>
          </w:p>
        </w:tc>
        <w:tc>
          <w:tcPr>
            <w:tcW w:type="dxa" w:w="32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0.024 $</w:t>
            </w:r>
          </w:p>
        </w:tc>
        <w:tc>
          <w:tcPr>
            <w:tcW w:type="dxa" w:w="32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5223.62 $</w:t>
            </w:r>
          </w:p>
        </w:tc>
      </w:tr>
      <w:tr>
        <w:tc>
          <w:tcPr>
            <w:tcW w:type="dxa" w:w="2600"/>
            <w:tcMar>
              <w:top w:type="dxa" w:w="50"/>
              <w:left w:type="dxa" w:w="90"/>
              <w:bottom w:type="dxa" w:w="50"/>
              <w:right w:type="dxa" w:w="90"/>
            </w:tcMar>
          </w:tcPr>
          <w:p>
            <w:pPr>
              <w:spacing w:after="0" w:line="230"/>
            </w:pPr>
            <w:r>
              <w:rPr>
                <w:rFonts w:ascii="Calibri" w:cs="Calibri" w:eastAsia="Calibri" w:hAnsi="Calibri"/>
                <w:sz w:val="18"/>
                <w:szCs w:val="18"/>
              </w:rPr>
              <w:t xml:space="preserve">Section III-B (relaxed)</w:t>
            </w:r>
          </w:p>
        </w:tc>
        <w:tc>
          <w:tcPr>
            <w:tcW w:type="dxa" w:w="3200"/>
            <w:tcMar>
              <w:top w:type="dxa" w:w="50"/>
              <w:left w:type="dxa" w:w="90"/>
              <w:bottom w:type="dxa" w:w="50"/>
              <w:right w:type="dxa" w:w="90"/>
            </w:tcMar>
          </w:tcPr>
          <w:p>
            <w:pPr>
              <w:spacing w:after="0" w:line="230"/>
            </w:pPr>
            <w:r>
              <w:rPr>
                <w:rFonts w:ascii="Calibri" w:cs="Calibri" w:eastAsia="Calibri" w:hAnsi="Calibri"/>
                <w:sz w:val="18"/>
                <w:szCs w:val="18"/>
              </w:rPr>
              <w:t xml:space="preserve">0.023 $</w:t>
            </w:r>
          </w:p>
        </w:tc>
        <w:tc>
          <w:tcPr>
            <w:tcW w:type="dxa" w:w="3220"/>
            <w:tcMar>
              <w:top w:type="dxa" w:w="50"/>
              <w:left w:type="dxa" w:w="90"/>
              <w:bottom w:type="dxa" w:w="50"/>
              <w:right w:type="dxa" w:w="90"/>
            </w:tcMar>
          </w:tcPr>
          <w:p>
            <w:pPr>
              <w:spacing w:after="0" w:line="230"/>
            </w:pPr>
            <w:r>
              <w:rPr>
                <w:rFonts w:ascii="Calibri" w:cs="Calibri" w:eastAsia="Calibri" w:hAnsi="Calibri"/>
                <w:sz w:val="18"/>
                <w:szCs w:val="18"/>
              </w:rPr>
              <w:t xml:space="preserve">5208.64 $</w:t>
            </w:r>
          </w:p>
        </w:tc>
      </w:tr>
      <w:tr>
        <w:tc>
          <w:tcPr>
            <w:tcW w:type="dxa" w:w="26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Relaxation gap</w:t>
            </w:r>
          </w:p>
        </w:tc>
        <w:tc>
          <w:tcPr>
            <w:tcW w:type="dxa" w:w="32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0.89 %</w:t>
            </w:r>
          </w:p>
        </w:tc>
        <w:tc>
          <w:tcPr>
            <w:tcW w:type="dxa" w:w="32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0.29 %</w:t>
            </w:r>
          </w:p>
        </w:tc>
      </w:tr>
      <w:tr>
        <w:tc>
          <w:tcPr>
            <w:tcW w:type="dxa" w:w="2600"/>
            <w:tcMar>
              <w:top w:type="dxa" w:w="50"/>
              <w:left w:type="dxa" w:w="90"/>
              <w:bottom w:type="dxa" w:w="50"/>
              <w:right w:type="dxa" w:w="90"/>
            </w:tcMar>
          </w:tcPr>
          <w:p>
            <w:pPr>
              <w:spacing w:after="0" w:line="230"/>
            </w:pPr>
            <w:r>
              <w:rPr>
                <w:rFonts w:ascii="Calibri" w:cs="Calibri" w:eastAsia="Calibri" w:hAnsi="Calibri"/>
                <w:sz w:val="18"/>
                <w:szCs w:val="18"/>
              </w:rPr>
              <w:t xml:space="preserve">Valid lower bound</w:t>
            </w:r>
          </w:p>
        </w:tc>
        <w:tc>
          <w:tcPr>
            <w:tcW w:type="dxa" w:w="3200"/>
            <w:tcMar>
              <w:top w:type="dxa" w:w="50"/>
              <w:left w:type="dxa" w:w="90"/>
              <w:bottom w:type="dxa" w:w="50"/>
              <w:right w:type="dxa" w:w="90"/>
            </w:tcMar>
          </w:tcPr>
          <w:p>
            <w:pPr>
              <w:spacing w:after="0" w:line="230"/>
            </w:pPr>
            <w:r>
              <w:rPr>
                <w:rFonts w:ascii="Calibri" w:cs="Calibri" w:eastAsia="Calibri" w:hAnsi="Calibri"/>
                <w:sz w:val="18"/>
                <w:szCs w:val="18"/>
              </w:rPr>
              <w:t xml:space="preserve">yes</w:t>
            </w:r>
          </w:p>
        </w:tc>
        <w:tc>
          <w:tcPr>
            <w:tcW w:type="dxa" w:w="3220"/>
            <w:tcMar>
              <w:top w:type="dxa" w:w="50"/>
              <w:left w:type="dxa" w:w="90"/>
              <w:bottom w:type="dxa" w:w="50"/>
              <w:right w:type="dxa" w:w="90"/>
            </w:tcMar>
          </w:tcPr>
          <w:p>
            <w:pPr>
              <w:spacing w:after="0" w:line="230"/>
            </w:pPr>
            <w:r>
              <w:rPr>
                <w:rFonts w:ascii="Calibri" w:cs="Calibri" w:eastAsia="Calibri" w:hAnsi="Calibri"/>
                <w:sz w:val="18"/>
                <w:szCs w:val="18"/>
              </w:rPr>
              <w:t xml:space="preserve">yes</w:t>
            </w:r>
          </w:p>
        </w:tc>
      </w:tr>
    </w:tbl>
    <w:p>
      <w:pPr>
        <w:spacing w:after="180" w:before="40"/>
      </w:pPr>
      <w:r>
        <w:rPr>
          <w:rFonts w:ascii="Calibri" w:cs="Calibri" w:eastAsia="Calibri" w:hAnsi="Calibri"/>
          <w:i/>
          <w:iCs/>
          <w:color w:val="595959"/>
          <w:sz w:val="17"/>
          <w:szCs w:val="17"/>
        </w:rPr>
        <w:t xml:space="preserve">Table 3. Single-step results. Both models solve to optimality at both hours.</w:t>
      </w:r>
    </w:p>
    <w:p>
      <w:pPr>
        <w:spacing w:after="110" w:line="264"/>
      </w:pPr>
      <w:r>
        <w:rPr>
          <w:rFonts w:ascii="Calibri" w:cs="Calibri" w:eastAsia="Calibri" w:hAnsi="Calibri"/>
          <w:sz w:val="21"/>
          <w:szCs w:val="21"/>
        </w:rPr>
        <w:t xml:space="preserve">Hour 1 is degenerate, and is here only to validate: near-free wind covers all demand, CHP1 sits at P = Q = 0, and the total cost is two cents, so its cost comparisons mean nothing. Hour 20 is the interesting one. Wind collapses just as the heat load peaks, exhausting every cheap resource — all available wind is taken, G1 runs at its 180 MW cap, and CHP1 hits its fuel limit at exactly 250.0 of 250.0 MW — which leaves the expensive G2 to cover the last 3.59 MW (Figure 1). The dispatch closes: 316.87 MW generated against 275 MW of load plus 41.32 MW of heat pump and 0.54 MW of water pump demand.</w:t>
      </w:r>
    </w:p>
    <w:p>
      <w:pPr>
        <w:spacing w:after="60" w:before="12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24050"/>
                    </a:xfrm>
                    <a:prstGeom prst="rect">
                      <a:avLst/>
                    </a:prstGeom>
                  </pic:spPr>
                </pic:pic>
              </a:graphicData>
            </a:graphic>
          </wp:inline>
        </w:drawing>
      </w:r>
    </w:p>
    <w:p>
      <w:pPr>
        <w:spacing w:after="180" w:before="40"/>
      </w:pPr>
      <w:r>
        <w:rPr>
          <w:rFonts w:ascii="Calibri" w:cs="Calibri" w:eastAsia="Calibri" w:hAnsi="Calibri"/>
          <w:i/>
          <w:iCs/>
          <w:color w:val="595959"/>
          <w:sz w:val="17"/>
          <w:szCs w:val="17"/>
        </w:rPr>
        <w:t xml:space="preserve">Figure 1. Section II dispatch at hour 20. The heat pump covers 103.31 MW of the 110.99 MW heat load and the CHP tops up the rest. On the electricity side G1 sits at its 180 MW cap, all 29.91 MW of available wind is taken, the CHP supplies 103.37 MW at its fuel limit, and the expensive G2 runs for just 3.59 MW.</w:t>
      </w:r>
    </w:p>
    <w:p>
      <w:pPr>
        <w:pStyle w:val="Heading2"/>
        <w:spacing w:after="120" w:before="240"/>
        <w:outlineLvl w:val="1"/>
      </w:pPr>
      <w:r>
        <w:t xml:space="preserve">Physical validity</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400"/>
        <w:gridCol w:w="2700"/>
        <w:gridCol w:w="2920"/>
      </w:tblGrid>
      <w:tr>
        <w:trPr>
          <w:tblHeader/>
        </w:trPr>
        <w:tc>
          <w:tcPr>
            <w:tcW w:type="dxa" w:w="34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Check</w:t>
            </w:r>
          </w:p>
        </w:tc>
        <w:tc>
          <w:tcPr>
            <w:tcW w:type="dxa" w:w="27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1</w:t>
            </w:r>
          </w:p>
        </w:tc>
        <w:tc>
          <w:tcPr>
            <w:tcW w:type="dxa" w:w="29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20</w:t>
            </w:r>
          </w:p>
        </w:tc>
      </w:tr>
      <w:tr>
        <w:tc>
          <w:tcPr>
            <w:tcW w:type="dxa" w:w="3400"/>
            <w:tcMar>
              <w:top w:type="dxa" w:w="50"/>
              <w:left w:type="dxa" w:w="90"/>
              <w:bottom w:type="dxa" w:w="50"/>
              <w:right w:type="dxa" w:w="90"/>
            </w:tcMar>
          </w:tcPr>
          <w:p>
            <w:pPr>
              <w:spacing w:after="0" w:line="230"/>
            </w:pPr>
            <w:r>
              <w:rPr>
                <w:rFonts w:ascii="Calibri" w:cs="Calibri" w:eastAsia="Calibri" w:hAnsi="Calibri"/>
                <w:sz w:val="18"/>
                <w:szCs w:val="18"/>
              </w:rPr>
              <w:t xml:space="preserve">Mass balance residual (supply / return)</w:t>
            </w:r>
          </w:p>
        </w:tc>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0.0 / 1.4e-14 kg/s</w:t>
            </w:r>
          </w:p>
        </w:tc>
        <w:tc>
          <w:tcPr>
            <w:tcW w:type="dxa" w:w="2920"/>
            <w:tcMar>
              <w:top w:type="dxa" w:w="50"/>
              <w:left w:type="dxa" w:w="90"/>
              <w:bottom w:type="dxa" w:w="50"/>
              <w:right w:type="dxa" w:w="90"/>
            </w:tcMar>
          </w:tcPr>
          <w:p>
            <w:pPr>
              <w:spacing w:after="0" w:line="230"/>
            </w:pPr>
            <w:r>
              <w:rPr>
                <w:rFonts w:ascii="Calibri" w:cs="Calibri" w:eastAsia="Calibri" w:hAnsi="Calibri"/>
                <w:sz w:val="18"/>
                <w:szCs w:val="18"/>
              </w:rPr>
              <w:t xml:space="preserve">0.0 / 1.4e-14 kg/s</w:t>
            </w:r>
          </w:p>
        </w:tc>
      </w:tr>
      <w:tr>
        <w:tc>
          <w:tcPr>
            <w:tcW w:type="dxa" w:w="34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Heat balance residual</w:t>
            </w:r>
          </w:p>
        </w:tc>
        <w:tc>
          <w:tcPr>
            <w:tcW w:type="dxa" w:w="27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−2.8e-14 MW</w:t>
            </w:r>
          </w:p>
        </w:tc>
        <w:tc>
          <w:tcPr>
            <w:tcW w:type="dxa" w:w="29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4.3e-14 MW</w:t>
            </w:r>
          </w:p>
        </w:tc>
      </w:tr>
      <w:tr>
        <w:tc>
          <w:tcPr>
            <w:tcW w:type="dxa" w:w="3400"/>
            <w:tcMar>
              <w:top w:type="dxa" w:w="50"/>
              <w:left w:type="dxa" w:w="90"/>
              <w:bottom w:type="dxa" w:w="50"/>
              <w:right w:type="dxa" w:w="90"/>
            </w:tcMar>
          </w:tcPr>
          <w:p>
            <w:pPr>
              <w:spacing w:after="0" w:line="230"/>
            </w:pPr>
            <w:r>
              <w:rPr>
                <w:rFonts w:ascii="Calibri" w:cs="Calibri" w:eastAsia="Calibri" w:hAnsi="Calibri"/>
                <w:sz w:val="18"/>
                <w:szCs w:val="18"/>
              </w:rPr>
              <w:t xml:space="preserve">DC power balance residual</w:t>
            </w:r>
          </w:p>
        </w:tc>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8.9e-11 MW</w:t>
            </w:r>
          </w:p>
        </w:tc>
        <w:tc>
          <w:tcPr>
            <w:tcW w:type="dxa" w:w="2920"/>
            <w:tcMar>
              <w:top w:type="dxa" w:w="50"/>
              <w:left w:type="dxa" w:w="90"/>
              <w:bottom w:type="dxa" w:w="50"/>
              <w:right w:type="dxa" w:w="90"/>
            </w:tcMar>
          </w:tcPr>
          <w:p>
            <w:pPr>
              <w:spacing w:after="0" w:line="230"/>
            </w:pPr>
            <w:r>
              <w:rPr>
                <w:rFonts w:ascii="Calibri" w:cs="Calibri" w:eastAsia="Calibri" w:hAnsi="Calibri"/>
                <w:sz w:val="18"/>
                <w:szCs w:val="18"/>
              </w:rPr>
              <w:t xml:space="preserve">4.5e-11 MW</w:t>
            </w:r>
          </w:p>
        </w:tc>
      </w:tr>
      <w:tr>
        <w:tc>
          <w:tcPr>
            <w:tcW w:type="dxa" w:w="34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CHP in its (28)/(29) region</w:t>
            </w:r>
          </w:p>
        </w:tc>
        <w:tc>
          <w:tcPr>
            <w:tcW w:type="dxa" w:w="27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yes (idle)</w:t>
            </w:r>
          </w:p>
        </w:tc>
        <w:tc>
          <w:tcPr>
            <w:tcW w:type="dxa" w:w="29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yes, P − r·Q = 98.76, fuel 250.0/250.0</w:t>
            </w:r>
          </w:p>
        </w:tc>
      </w:tr>
      <w:tr>
        <w:tc>
          <w:tcPr>
            <w:tcW w:type="dxa" w:w="3400"/>
            <w:tcMar>
              <w:top w:type="dxa" w:w="50"/>
              <w:left w:type="dxa" w:w="90"/>
              <w:bottom w:type="dxa" w:w="50"/>
              <w:right w:type="dxa" w:w="90"/>
            </w:tcMar>
          </w:tcPr>
          <w:p>
            <w:pPr>
              <w:spacing w:after="0" w:line="230"/>
            </w:pPr>
            <w:r>
              <w:rPr>
                <w:rFonts w:ascii="Calibri" w:cs="Calibri" w:eastAsia="Calibri" w:hAnsi="Calibri"/>
                <w:sz w:val="18"/>
                <w:szCs w:val="18"/>
              </w:rPr>
              <w:t xml:space="preserve">Heat pump, Q − COP·L</w:t>
            </w:r>
          </w:p>
        </w:tc>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0.0</w:t>
            </w:r>
          </w:p>
        </w:tc>
        <w:tc>
          <w:tcPr>
            <w:tcW w:type="dxa" w:w="2920"/>
            <w:tcMar>
              <w:top w:type="dxa" w:w="50"/>
              <w:left w:type="dxa" w:w="90"/>
              <w:bottom w:type="dxa" w:w="50"/>
              <w:right w:type="dxa" w:w="90"/>
            </w:tcMar>
          </w:tcPr>
          <w:p>
            <w:pPr>
              <w:spacing w:after="0" w:line="230"/>
            </w:pPr>
            <w:r>
              <w:rPr>
                <w:rFonts w:ascii="Calibri" w:cs="Calibri" w:eastAsia="Calibri" w:hAnsi="Calibri"/>
                <w:sz w:val="18"/>
                <w:szCs w:val="18"/>
              </w:rPr>
              <w:t xml:space="preserve">0.0</w:t>
            </w:r>
          </w:p>
        </w:tc>
      </w:tr>
      <w:tr>
        <w:tc>
          <w:tcPr>
            <w:tcW w:type="dxa" w:w="34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Worst line loading</w:t>
            </w:r>
          </w:p>
        </w:tc>
        <w:tc>
          <w:tcPr>
            <w:tcW w:type="dxa" w:w="27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60.2 %</w:t>
            </w:r>
          </w:p>
        </w:tc>
        <w:tc>
          <w:tcPr>
            <w:tcW w:type="dxa" w:w="29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52.9 %</w:t>
            </w:r>
          </w:p>
        </w:tc>
      </w:tr>
      <w:tr>
        <w:tc>
          <w:tcPr>
            <w:tcW w:type="dxa" w:w="3400"/>
            <w:tcMar>
              <w:top w:type="dxa" w:w="50"/>
              <w:left w:type="dxa" w:w="90"/>
              <w:bottom w:type="dxa" w:w="50"/>
              <w:right w:type="dxa" w:w="90"/>
            </w:tcMar>
          </w:tcPr>
          <w:p>
            <w:pPr>
              <w:spacing w:after="0" w:line="230"/>
            </w:pPr>
            <w:r>
              <w:rPr>
                <w:rFonts w:ascii="Calibri" w:cs="Calibri" w:eastAsia="Calibri" w:hAnsi="Calibri"/>
                <w:sz w:val="18"/>
                <w:szCs w:val="18"/>
              </w:rPr>
              <w:t xml:space="preserve">Water pump consumption</w:t>
            </w:r>
          </w:p>
        </w:tc>
        <w:tc>
          <w:tcPr>
            <w:tcW w:type="dxa" w:w="2700"/>
            <w:tcMar>
              <w:top w:type="dxa" w:w="50"/>
              <w:left w:type="dxa" w:w="90"/>
              <w:bottom w:type="dxa" w:w="50"/>
              <w:right w:type="dxa" w:w="90"/>
            </w:tcMar>
          </w:tcPr>
          <w:p>
            <w:pPr>
              <w:spacing w:after="0" w:line="230"/>
            </w:pPr>
            <w:r>
              <w:rPr>
                <w:rFonts w:ascii="Calibri" w:cs="Calibri" w:eastAsia="Calibri" w:hAnsi="Calibri"/>
                <w:sz w:val="18"/>
                <w:szCs w:val="18"/>
              </w:rPr>
              <w:t xml:space="preserve">0.497 MW</w:t>
            </w:r>
          </w:p>
        </w:tc>
        <w:tc>
          <w:tcPr>
            <w:tcW w:type="dxa" w:w="2920"/>
            <w:tcMar>
              <w:top w:type="dxa" w:w="50"/>
              <w:left w:type="dxa" w:w="90"/>
              <w:bottom w:type="dxa" w:w="50"/>
              <w:right w:type="dxa" w:w="90"/>
            </w:tcMar>
          </w:tcPr>
          <w:p>
            <w:pPr>
              <w:spacing w:after="0" w:line="230"/>
            </w:pPr>
            <w:r>
              <w:rPr>
                <w:rFonts w:ascii="Calibri" w:cs="Calibri" w:eastAsia="Calibri" w:hAnsi="Calibri"/>
                <w:sz w:val="18"/>
                <w:szCs w:val="18"/>
              </w:rPr>
              <w:t xml:space="preserve">0.543 MW</w:t>
            </w:r>
          </w:p>
        </w:tc>
      </w:tr>
    </w:tbl>
    <w:p>
      <w:pPr>
        <w:spacing w:after="180" w:before="40"/>
      </w:pPr>
      <w:r>
        <w:rPr>
          <w:rFonts w:ascii="Calibri" w:cs="Calibri" w:eastAsia="Calibri" w:hAnsi="Calibri"/>
          <w:i/>
          <w:iCs/>
          <w:color w:val="595959"/>
          <w:sz w:val="17"/>
          <w:szCs w:val="17"/>
        </w:rPr>
        <w:t xml:space="preserve">Table 4. Physical checks on the Section II solution. All close at or near machine precision.</w:t>
      </w:r>
    </w:p>
    <w:p>
      <w:pPr>
        <w:pStyle w:val="Heading2"/>
        <w:spacing w:after="120" w:before="240"/>
        <w:outlineLvl w:val="1"/>
      </w:pPr>
      <w:r>
        <w:t xml:space="preserve">Quality of the relaxation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4020"/>
        <w:gridCol w:w="2500"/>
        <w:gridCol w:w="2500"/>
      </w:tblGrid>
      <w:tr>
        <w:trPr>
          <w:tblHeader/>
        </w:trPr>
        <w:tc>
          <w:tcPr>
            <w:tcW w:type="dxa" w:w="40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Measure</w:t>
            </w:r>
          </w:p>
        </w:tc>
        <w:tc>
          <w:tcPr>
            <w:tcW w:type="dxa" w:w="25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1</w:t>
            </w:r>
          </w:p>
        </w:tc>
        <w:tc>
          <w:tcPr>
            <w:tcW w:type="dxa" w:w="25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Hour 20</w:t>
            </w:r>
          </w:p>
        </w:tc>
      </w:tr>
      <w:tr>
        <w:tc>
          <w:tcPr>
            <w:tcW w:type="dxa" w:w="4020"/>
            <w:tcMar>
              <w:top w:type="dxa" w:w="50"/>
              <w:left w:type="dxa" w:w="90"/>
              <w:bottom w:type="dxa" w:w="50"/>
              <w:right w:type="dxa" w:w="90"/>
            </w:tcMar>
          </w:tcPr>
          <w:p>
            <w:pPr>
              <w:spacing w:after="0" w:line="230"/>
            </w:pPr>
            <w:r>
              <w:rPr>
                <w:rFonts w:ascii="Calibri" w:cs="Calibri" w:eastAsia="Calibri" w:hAnsi="Calibri"/>
                <w:sz w:val="18"/>
                <w:szCs w:val="18"/>
              </w:rPr>
              <w:t xml:space="preserve">Eq. (36) worst slack (pressure loss)</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7.2 Pa</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0.0 Pa</w:t>
            </w:r>
          </w:p>
        </w:tc>
      </w:tr>
      <w:tr>
        <w:tc>
          <w:tcPr>
            <w:tcW w:type="dxa" w:w="40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 (16)/(17) mixing residual</w:t>
            </w:r>
          </w:p>
        </w:tc>
        <w:tc>
          <w:tcPr>
            <w:tcW w:type="dxa" w:w="2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0.0 (never active)</w:t>
            </w:r>
          </w:p>
        </w:tc>
        <w:tc>
          <w:tcPr>
            <w:tcW w:type="dxa" w:w="2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0.0 (never active)</w:t>
            </w:r>
          </w:p>
        </w:tc>
      </w:tr>
      <w:tr>
        <w:tc>
          <w:tcPr>
            <w:tcW w:type="dxa" w:w="4020"/>
            <w:tcMar>
              <w:top w:type="dxa" w:w="50"/>
              <w:left w:type="dxa" w:w="90"/>
              <w:bottom w:type="dxa" w:w="50"/>
              <w:right w:type="dxa" w:w="90"/>
            </w:tcMar>
          </w:tcPr>
          <w:p>
            <w:pPr>
              <w:spacing w:after="0" w:line="230"/>
            </w:pPr>
            <w:r>
              <w:rPr>
                <w:rFonts w:ascii="Calibri" w:cs="Calibri" w:eastAsia="Calibri" w:hAnsi="Calibri"/>
                <w:sz w:val="18"/>
                <w:szCs w:val="18"/>
              </w:rPr>
              <w:t xml:space="preserve">Eq. (21) HES heat residual</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2.94 MW</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1.7e-8 MW</w:t>
            </w:r>
          </w:p>
        </w:tc>
      </w:tr>
      <w:tr>
        <w:tc>
          <w:tcPr>
            <w:tcW w:type="dxa" w:w="40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 (24) station heat residual</w:t>
            </w:r>
          </w:p>
        </w:tc>
        <w:tc>
          <w:tcPr>
            <w:tcW w:type="dxa" w:w="2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2.28 MW</w:t>
            </w:r>
          </w:p>
        </w:tc>
        <w:tc>
          <w:tcPr>
            <w:tcW w:type="dxa" w:w="25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2.59 MW</w:t>
            </w:r>
          </w:p>
        </w:tc>
      </w:tr>
      <w:tr>
        <w:tc>
          <w:tcPr>
            <w:tcW w:type="dxa" w:w="4020"/>
            <w:tcMar>
              <w:top w:type="dxa" w:w="50"/>
              <w:left w:type="dxa" w:w="90"/>
              <w:bottom w:type="dxa" w:w="50"/>
              <w:right w:type="dxa" w:w="90"/>
            </w:tcMar>
          </w:tcPr>
          <w:p>
            <w:pPr>
              <w:spacing w:after="0" w:line="230"/>
            </w:pPr>
            <w:r>
              <w:rPr>
                <w:rFonts w:ascii="Calibri" w:cs="Calibri" w:eastAsia="Calibri" w:hAnsi="Calibri"/>
                <w:sz w:val="18"/>
                <w:szCs w:val="18"/>
              </w:rPr>
              <w:t xml:space="preserve">Eq. (27) pump power residual</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0.033 MW</w:t>
            </w:r>
          </w:p>
        </w:tc>
        <w:tc>
          <w:tcPr>
            <w:tcW w:type="dxa" w:w="2500"/>
            <w:tcMar>
              <w:top w:type="dxa" w:w="50"/>
              <w:left w:type="dxa" w:w="90"/>
              <w:bottom w:type="dxa" w:w="50"/>
              <w:right w:type="dxa" w:w="90"/>
            </w:tcMar>
          </w:tcPr>
          <w:p>
            <w:pPr>
              <w:spacing w:after="0" w:line="230"/>
            </w:pPr>
            <w:r>
              <w:rPr>
                <w:rFonts w:ascii="Calibri" w:cs="Calibri" w:eastAsia="Calibri" w:hAnsi="Calibri"/>
                <w:sz w:val="18"/>
                <w:szCs w:val="18"/>
              </w:rPr>
              <w:t xml:space="preserve">0.076 MW</w:t>
            </w:r>
          </w:p>
        </w:tc>
      </w:tr>
    </w:tbl>
    <w:p>
      <w:pPr>
        <w:spacing w:after="180" w:before="40"/>
      </w:pPr>
      <w:r>
        <w:rPr>
          <w:rFonts w:ascii="Calibri" w:cs="Calibri" w:eastAsia="Calibri" w:hAnsi="Calibri"/>
          <w:i/>
          <w:iCs/>
          <w:color w:val="595959"/>
          <w:sz w:val="17"/>
          <w:szCs w:val="17"/>
        </w:rPr>
        <w:t xml:space="preserve">Table 5. Where the gap comes from. A residual of zero means the envelope is exact at the optimum.</w:t>
      </w:r>
    </w:p>
    <w:p>
      <w:pPr>
        <w:spacing w:after="110" w:line="264"/>
      </w:pPr>
      <w:r>
        <w:rPr>
          <w:rFonts w:ascii="Calibri" w:cs="Calibri" w:eastAsia="Calibri" w:hAnsi="Calibri"/>
          <w:b/>
          <w:bCs/>
          <w:sz w:val="21"/>
          <w:szCs w:val="21"/>
        </w:rPr>
        <w:t xml:space="preserve">The convex quadratic part is nearly free. </w:t>
      </w:r>
      <w:r>
        <w:rPr>
          <w:rFonts w:ascii="Calibri" w:cs="Calibri" w:eastAsia="Calibri" w:hAnsi="Calibri"/>
          <w:sz w:val="21"/>
          <w:szCs w:val="21"/>
        </w:rPr>
        <w:t xml:space="preserve">Eq. (36) is slack by at most 7.2 Pa at hour 1 and by exactly 0.0 Pa at hour 20, so it holds with equality at the optimum. That is expected rather than lucky: pump cost (27) rises with the pressure difference, so the objective pushes the inequality back onto the original surface. The gap is McCormick's, essentially all of it.</w:t>
      </w:r>
    </w:p>
    <w:p>
      <w:pPr>
        <w:spacing w:after="110" w:line="264"/>
      </w:pPr>
      <w:r>
        <w:rPr>
          <w:rFonts w:ascii="Calibri" w:cs="Calibri" w:eastAsia="Calibri" w:hAnsi="Calibri"/>
          <w:sz w:val="21"/>
          <w:szCs w:val="21"/>
        </w:rPr>
        <w:t xml:space="preserve">Inside McCormick, the residuals follow the box widths. At hour 20 the load-implied bounds pin the heat exchanger flow into a 7 kg/s band and the Eq. (21) residual falls to 1.7e-8 MW, numerically exact, while the station envelope — its flow free across the full 0–301 kg/s equipment range — holds a residual near 2.6 MW.</w:t>
      </w:r>
    </w:p>
    <w:p>
      <w:pPr>
        <w:spacing w:after="110" w:line="264"/>
      </w:pPr>
      <w:r>
        <w:rPr>
          <w:rFonts w:ascii="Calibri" w:cs="Calibri" w:eastAsia="Calibri" w:hAnsi="Calibri"/>
          <w:b/>
          <w:bCs/>
          <w:sz w:val="21"/>
          <w:szCs w:val="21"/>
        </w:rPr>
        <w:t xml:space="preserve">Which box matters was worth testing rather than assuming. </w:t>
      </w:r>
      <w:r>
        <w:rPr>
          <w:rFonts w:ascii="Calibri" w:cs="Calibri" w:eastAsia="Calibri" w:hAnsi="Calibri"/>
          <w:sz w:val="21"/>
          <w:szCs w:val="21"/>
        </w:rPr>
        <w:t xml:space="preserve">Relaxing the heat exchanger bounds all the way back to the equipment limits (7 → 150 kg/s) changes the gap at neither hour: it stays at 0.287 % and 0.889 % to three decimals. That negative result is useful — the Eq. (21) envelope is not what binds, so tightening it buys nothing. The station envelope carries the gap, with worst-case slack c·(mfᵤ−mfₗ)(ΔTᵤ−ΔTₗ)/4 = 19.0 MW on the equipment box. Figure 2 tightens that bound instead, down to the flow the original model actually uses.</w:t>
      </w:r>
    </w:p>
    <w:p>
      <w:pPr>
        <w:spacing w:after="60" w:before="120"/>
        <w:jc w:val="center"/>
      </w:pPr>
      <w:r>
        <w:drawing>
          <wp:inline distT="0" distB="0" distL="0" distR="0">
            <wp:extent cx="4381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14575"/>
                    </a:xfrm>
                    <a:prstGeom prst="rect">
                      <a:avLst/>
                    </a:prstGeom>
                  </pic:spPr>
                </pic:pic>
              </a:graphicData>
            </a:graphic>
          </wp:inline>
        </w:drawing>
      </w:r>
    </w:p>
    <w:p>
      <w:pPr>
        <w:spacing w:after="180" w:before="40"/>
      </w:pPr>
      <w:r>
        <w:rPr>
          <w:rFonts w:ascii="Calibri" w:cs="Calibri" w:eastAsia="Calibri" w:hAnsi="Calibri"/>
          <w:i/>
          <w:iCs/>
          <w:color w:val="595959"/>
          <w:sz w:val="17"/>
          <w:szCs w:val="17"/>
        </w:rPr>
        <w:t xml:space="preserve">Figure 2. Relaxation gap against the worst-case slack allowed to the Eq. (24) envelope, hour 20. Tightening the station flow bound from the 301 kg/s equipment limit to the 280 kg/s the dispatch needs cuts the slack from 19.0 to 17.7 MW and the gap from 0.287 % to 0.181 %, a 37 % reduction. The relation is monotone and near-linear: tightness comes from the bounds supplied, not from the envelope algebra.</w:t>
      </w:r>
    </w:p>
    <w:p>
      <w:pPr>
        <w:pStyle w:val="Heading2"/>
        <w:spacing w:after="120" w:before="240"/>
        <w:outlineLvl w:val="1"/>
      </w:pPr>
      <w:r>
        <w:t xml:space="preserve">Comparison with the paper, and extensions</w:t>
      </w:r>
    </w:p>
    <w:p>
      <w:pPr>
        <w:spacing w:after="110" w:line="264"/>
      </w:pPr>
      <w:r>
        <w:rPr>
          <w:rFonts w:ascii="Calibri" w:cs="Calibri" w:eastAsia="Calibri" w:hAnsi="Calibri"/>
          <w:sz w:val="21"/>
          <w:szCs w:val="21"/>
        </w:rPr>
        <w:t xml:space="preserve">The paper reports a 3.51 % saving for the CHPD against a conventional economic dispatch (CED) over 24 hours. That saving is a </w:t>
      </w:r>
      <w:r>
        <w:rPr>
          <w:rFonts w:ascii="Calibri" w:cs="Calibri" w:eastAsia="Calibri" w:hAnsi="Calibri"/>
          <w:i/>
          <w:iCs/>
          <w:sz w:val="21"/>
          <w:szCs w:val="21"/>
        </w:rPr>
        <w:t xml:space="preserve">storage</w:t>
      </w:r>
      <w:r>
        <w:rPr>
          <w:rFonts w:ascii="Calibri" w:cs="Calibri" w:eastAsia="Calibri" w:hAnsi="Calibri"/>
          <w:sz w:val="21"/>
          <w:szCs w:val="21"/>
        </w:rPr>
        <w:t xml:space="preserve"> effect, and one time step has nowhere to store anything, so it cannot appear above: at a single step the CHPD should cost </w:t>
      </w:r>
      <w:r>
        <w:rPr>
          <w:rFonts w:ascii="Calibri" w:cs="Calibri" w:eastAsia="Calibri" w:hAnsi="Calibri"/>
          <w:i/>
          <w:iCs/>
          <w:sz w:val="21"/>
          <w:szCs w:val="21"/>
        </w:rPr>
        <w:t xml:space="preserve">more</w:t>
      </w:r>
      <w:r>
        <w:rPr>
          <w:rFonts w:ascii="Calibri" w:cs="Calibri" w:eastAsia="Calibri" w:hAnsi="Calibri"/>
          <w:sz w:val="21"/>
          <w:szCs w:val="21"/>
        </w:rPr>
        <w:t xml:space="preserve"> than a CED, because it pays for water pumping the CED ignores. To check that the reproduction behaves as described once storage exists, the CED of Section IV-A and the delays of Eqs. (6)–(13) were built too, beyond what the assignment asks for.</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4300"/>
        <w:gridCol w:w="4720"/>
      </w:tblGrid>
      <w:tr>
        <w:trPr>
          <w:tblHeader/>
        </w:trPr>
        <w:tc>
          <w:tcPr>
            <w:tcW w:type="dxa" w:w="43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Extension result</w:t>
            </w:r>
          </w:p>
        </w:tc>
        <w:tc>
          <w:tcPr>
            <w:tcW w:type="dxa" w:w="47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Value</w:t>
            </w:r>
          </w:p>
        </w:tc>
      </w:tr>
      <w:tr>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CED over 24 h</w:t>
            </w:r>
          </w:p>
        </w:tc>
        <w:tc>
          <w:tcPr>
            <w:tcW w:type="dxa" w:w="4720"/>
            <w:tcMar>
              <w:top w:type="dxa" w:w="50"/>
              <w:left w:type="dxa" w:w="90"/>
              <w:bottom w:type="dxa" w:w="50"/>
              <w:right w:type="dxa" w:w="90"/>
            </w:tcMar>
          </w:tcPr>
          <w:p>
            <w:pPr>
              <w:spacing w:after="0" w:line="230"/>
            </w:pPr>
            <w:r>
              <w:rPr>
                <w:rFonts w:ascii="Calibri" w:cs="Calibri" w:eastAsia="Calibri" w:hAnsi="Calibri"/>
                <w:sz w:val="18"/>
                <w:szCs w:val="18"/>
              </w:rPr>
              <w:t xml:space="preserve">19276.98 $  (paper: 19277 $ — reproduced exactly)</w:t>
            </w:r>
          </w:p>
        </w:tc>
      </w:tr>
      <w:tr>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Section II CHPD over 24 h, delays off</w:t>
            </w:r>
          </w:p>
        </w:tc>
        <w:tc>
          <w:tcPr>
            <w:tcW w:type="dxa" w:w="47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21041.73 $  (relaxed 20749.78 $, gap 1.39 %)</w:t>
            </w:r>
          </w:p>
        </w:tc>
      </w:tr>
      <w:tr>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Hours 18–23, delays off vs delays on</w:t>
            </w:r>
          </w:p>
        </w:tc>
        <w:tc>
          <w:tcPr>
            <w:tcW w:type="dxa" w:w="4720"/>
            <w:tcMar>
              <w:top w:type="dxa" w:w="50"/>
              <w:left w:type="dxa" w:w="90"/>
              <w:bottom w:type="dxa" w:w="50"/>
              <w:right w:type="dxa" w:w="90"/>
            </w:tcMar>
          </w:tcPr>
          <w:p>
            <w:pPr>
              <w:spacing w:after="0" w:line="230"/>
            </w:pPr>
            <w:r>
              <w:rPr>
                <w:rFonts w:ascii="Calibri" w:cs="Calibri" w:eastAsia="Calibri" w:hAnsi="Calibri"/>
                <w:sz w:val="18"/>
                <w:szCs w:val="18"/>
              </w:rPr>
              <w:t xml:space="preserve">11583.52 $ → 11278.18 $, a saving of 2.64 %</w:t>
            </w:r>
          </w:p>
        </w:tc>
      </w:tr>
    </w:tbl>
    <w:p>
      <w:pPr>
        <w:spacing w:after="180" w:before="40"/>
      </w:pPr>
      <w:r>
        <w:rPr>
          <w:rFonts w:ascii="Calibri" w:cs="Calibri" w:eastAsia="Calibri" w:hAnsi="Calibri"/>
          <w:i/>
          <w:iCs/>
          <w:color w:val="595959"/>
          <w:sz w:val="17"/>
          <w:szCs w:val="17"/>
        </w:rPr>
        <w:t xml:space="preserve">Table 6. Extension results, beyond the scope of the assignment.</w:t>
      </w:r>
    </w:p>
    <w:p>
      <w:pPr>
        <w:spacing w:after="110" w:line="264"/>
      </w:pPr>
      <w:r>
        <w:rPr>
          <w:rFonts w:ascii="Calibri" w:cs="Calibri" w:eastAsia="Calibri" w:hAnsi="Calibri"/>
          <w:sz w:val="21"/>
          <w:szCs w:val="21"/>
        </w:rPr>
        <w:t xml:space="preserve">The CED landing on 19277 $ exactly is the strongest single check available, since that one number depends on the data, units, topology and formulation all being right at once. Switching the delays on over a six-hour evening window, spanning the sharpest wind drought of the day, saves 2.64 % against the same model with them off — produced by nothing but Eqs. (6)–(13), the paper's own mechanism, and the right order of magnitude for a window that long. The full-horizon 18600 $ is not reproduced: that needs 24 hours with delays, which exceeds the size-limited solver licence available. Getting a larger one was out of scope and was not attempted.</w:t>
      </w:r>
    </w:p>
    <w:p>
      <w:pPr>
        <w:pStyle w:val="Heading1"/>
        <w:spacing w:after="120" w:before="240"/>
        <w:outlineLvl w:val="0"/>
      </w:pPr>
      <w:r>
        <w:t xml:space="preserve">Critical Reflection</w:t>
      </w:r>
    </w:p>
    <w:p>
      <w:pPr>
        <w:spacing w:after="110" w:line="264"/>
      </w:pPr>
      <w:r>
        <w:rPr>
          <w:rFonts w:ascii="Calibri" w:cs="Calibri" w:eastAsia="Calibri" w:hAnsi="Calibri"/>
          <w:b/>
          <w:bCs/>
          <w:sz w:val="21"/>
          <w:szCs w:val="21"/>
        </w:rPr>
        <w:t xml:space="preserve">Eq. (5) loses no heat at zero delay. </w:t>
      </w:r>
      <w:r>
        <w:rPr>
          <w:rFonts w:ascii="Calibri" w:cs="Calibri" w:eastAsia="Calibri" w:hAnsi="Calibri"/>
          <w:sz w:val="21"/>
          <w:szCs w:val="21"/>
        </w:rPr>
        <w:t xml:space="preserve">The loss term is multiplied by τ, so water crossing a pipe inside one step arrives at exactly its inlet temperature. Every single-step result here therefore shows zero pipe losses — what the model says, not a coding shortcut, but plainly unphysical: real pipes lose heat continuously, not in whole-step quanta. The model understates losses at short travel times, precisely where flows are fastest. A subtler problem sits in the same equation: the loss scales with the absolute water temperature rather than its excess over the surroundings, which places the ambient at 0 K. Using (T − T_ambient) would fix it, and would make losses depend on season, which this model cannot represent at all.</w:t>
      </w:r>
    </w:p>
    <w:p>
      <w:pPr>
        <w:spacing w:after="110" w:line="264"/>
      </w:pPr>
      <w:r>
        <w:rPr>
          <w:rFonts w:ascii="Calibri" w:cs="Calibri" w:eastAsia="Calibri" w:hAnsi="Calibri"/>
          <w:b/>
          <w:bCs/>
          <w:sz w:val="21"/>
          <w:szCs w:val="21"/>
        </w:rPr>
        <w:t xml:space="preserve">Plain McCormick envelopes have a floor. </w:t>
      </w:r>
      <w:r>
        <w:rPr>
          <w:rFonts w:ascii="Calibri" w:cs="Calibri" w:eastAsia="Calibri" w:hAnsi="Calibri"/>
          <w:sz w:val="21"/>
          <w:szCs w:val="21"/>
        </w:rPr>
        <w:t xml:space="preserve">An envelope is one linear hull over the whole box, so no amount of tightening makes it exact; on the reconstructed data the gap stalled at 23.2 % once the justifiable bounds were in place. The usual remedy is piecewise McCormick — split the flow range, one binary per segment — which would tighten it considerably at the price of making even the single-period problem mixed-integer. That is the obvious next step, and was not attempted partly for the same reason: the delay model already adds about 224 constraints per time step on a two-pipe network, and a real network of hundreds of pipes would be hopeless in the original form. Which is exactly why the paper relaxes it.</w:t>
      </w:r>
    </w:p>
    <w:p>
      <w:pPr>
        <w:spacing w:after="110" w:line="264"/>
      </w:pPr>
      <w:r>
        <w:rPr>
          <w:rFonts w:ascii="Calibri" w:cs="Calibri" w:eastAsia="Calibri" w:hAnsi="Calibri"/>
          <w:b/>
          <w:bCs/>
          <w:sz w:val="21"/>
          <w:szCs w:val="21"/>
        </w:rPr>
        <w:t xml:space="preserve">The case study is hard to reproduce exactly. </w:t>
      </w:r>
      <w:r>
        <w:rPr>
          <w:rFonts w:ascii="Calibri" w:cs="Calibri" w:eastAsia="Calibri" w:hAnsi="Calibri"/>
          <w:sz w:val="21"/>
          <w:szCs w:val="21"/>
        </w:rPr>
        <w:t xml:space="preserve">The appendix PDF and the authors' own code disagree on pressure bounds, minimum heat exchanger flow, water density, and even which units exist. The code was followed, since it is what produces the published numbers, and the disagreements were recorded rather than quietly reconciled. Their code also carries two devices the paper never mentions: elastic slacks on the mass balances with a heavy penalty, and a regularisation on the delays. Neither is reproduced here — the mass balances are hard equalities and close at machine precision unaided — and the CED still lands on 19277 $ exactly, which suggests those devices are numerical aids rather than modelling choices.</w:t>
      </w:r>
    </w:p>
    <w:p>
      <w:pPr>
        <w:pStyle w:val="Heading1"/>
        <w:spacing w:after="120" w:before="240"/>
        <w:outlineLvl w:val="0"/>
      </w:pPr>
      <w:r>
        <w:t xml:space="preserve">Conclusion</w:t>
      </w:r>
    </w:p>
    <w:p>
      <w:pPr>
        <w:spacing w:after="110" w:line="264"/>
      </w:pPr>
      <w:r>
        <w:rPr>
          <w:rFonts w:ascii="Calibri" w:cs="Calibri" w:eastAsia="Calibri" w:hAnsi="Calibri"/>
          <w:sz w:val="21"/>
          <w:szCs w:val="21"/>
        </w:rPr>
        <w:t xml:space="preserve">The Section II formulation and its Section III-B convex relaxation were built in full and validated at a single time step on the authors' own data. At both hours both models solve to optimality, the relaxation is a valid lower bound (gaps of 0.89 % and 0.29 %), mass, heat and power balances close at machine precision, the CHP stays inside its feasible region, and the heat pump sits exactly on its conversion characteristic.</w:t>
      </w:r>
    </w:p>
    <w:p>
      <w:pPr>
        <w:spacing w:after="110" w:line="264"/>
      </w:pPr>
      <w:r>
        <w:rPr>
          <w:rFonts w:ascii="Calibri" w:cs="Calibri" w:eastAsia="Calibri" w:hAnsi="Calibri"/>
          <w:sz w:val="21"/>
          <w:szCs w:val="21"/>
        </w:rPr>
        <w:t xml:space="preserve">The gap is explained rather than merely measured. The convex quadratic reformulation is essentially free, because pump cost pushes it back onto the original surface, so the whole gap is McCormick's — and one envelope carries it. Tightening the station flow bound to the flow actually used cuts the gap by 37 %, while loosening the heat exchanger bound twentyfold does nothing at all. A McCormick relaxation is only as good as the bounds it is given, those bounds should come from the model's own constraints rather than equipment nameplates, and it pays to find out which envelope binds before tightening anything.</w:t>
      </w:r>
    </w:p>
    <w:p>
      <w:pPr>
        <w:spacing w:after="110" w:line="264"/>
      </w:pPr>
      <w:r>
        <w:rPr>
          <w:rFonts w:ascii="Calibri" w:cs="Calibri" w:eastAsia="Calibri" w:hAnsi="Calibri"/>
          <w:sz w:val="21"/>
          <w:szCs w:val="21"/>
        </w:rPr>
        <w:t xml:space="preserve">Beyond the assignment, the CED reproduces the paper's published 19277 $ exactly, and switching on the pipeline delays over a six-hour window recovers a 2.64 % saving by the storage mechanism the paper describes. The failures taught more than the successes: an infeasibility that exposed a misread loss term, a hand-derived test that was wrong where the model was right, and a relaxation gap that turned out to be a statement about variable bounds.</w:t>
      </w:r>
    </w:p>
    <w:p>
      <w:pPr>
        <w:pStyle w:val="Heading1"/>
        <w:spacing w:after="120" w:before="240"/>
        <w:outlineLvl w:val="0"/>
      </w:pPr>
      <w:r>
        <w:t xml:space="preserve">References</w:t>
      </w:r>
    </w:p>
    <w:p>
      <w:pPr>
        <w:spacing w:after="60" w:line="264"/>
      </w:pPr>
      <w:r>
        <w:rPr>
          <w:rFonts w:ascii="Calibri" w:cs="Calibri" w:eastAsia="Calibri" w:hAnsi="Calibri"/>
          <w:sz w:val="21"/>
          <w:szCs w:val="21"/>
        </w:rPr>
        <w:t xml:space="preserve">[1]  L. Mitridati and J. A. Taylor, “Power systems flexibility from district heating networks,” </w:t>
      </w:r>
      <w:r>
        <w:rPr>
          <w:rFonts w:ascii="Calibri" w:cs="Calibri" w:eastAsia="Calibri" w:hAnsi="Calibri"/>
          <w:i/>
          <w:iCs/>
          <w:sz w:val="21"/>
          <w:szCs w:val="21"/>
        </w:rPr>
        <w:t xml:space="preserve">2018 Power Systems Computation Conference (PSCC)</w:t>
      </w:r>
      <w:r>
        <w:rPr>
          <w:rFonts w:ascii="Calibri" w:cs="Calibri" w:eastAsia="Calibri" w:hAnsi="Calibri"/>
          <w:sz w:val="21"/>
          <w:szCs w:val="21"/>
        </w:rPr>
        <w:t xml:space="preserve">, Dublin, Ireland, 2018, pp. 1–7. doi:10.23919/PSCC.2018.8442617</w:t>
      </w:r>
    </w:p>
    <w:p>
      <w:pPr>
        <w:spacing w:after="60" w:line="264"/>
      </w:pPr>
      <w:r>
        <w:rPr>
          <w:rFonts w:ascii="Calibri" w:cs="Calibri" w:eastAsia="Calibri" w:hAnsi="Calibri"/>
          <w:sz w:val="21"/>
          <w:szCs w:val="21"/>
        </w:rPr>
        <w:t xml:space="preserve">[2]  L. Mitridati and J. A. Taylor, </w:t>
      </w:r>
      <w:r>
        <w:rPr>
          <w:rFonts w:ascii="Calibri" w:cs="Calibri" w:eastAsia="Calibri" w:hAnsi="Calibri"/>
          <w:i/>
          <w:iCs/>
          <w:sz w:val="21"/>
          <w:szCs w:val="21"/>
        </w:rPr>
        <w:t xml:space="preserve">Power Systems Flexibility from District Heating Networks — Online Appendix</w:t>
      </w:r>
      <w:r>
        <w:rPr>
          <w:rFonts w:ascii="Calibri" w:cs="Calibri" w:eastAsia="Calibri" w:hAnsi="Calibri"/>
          <w:sz w:val="21"/>
          <w:szCs w:val="21"/>
        </w:rPr>
        <w:t xml:space="preserve">. Zenodo, 2018. doi:10.5281/zenodo.1195508</w:t>
      </w:r>
    </w:p>
    <w:p>
      <w:pPr>
        <w:spacing w:after="60" w:line="264"/>
      </w:pPr>
      <w:r>
        <w:rPr>
          <w:rFonts w:ascii="Calibri" w:cs="Calibri" w:eastAsia="Calibri" w:hAnsi="Calibri"/>
          <w:sz w:val="21"/>
          <w:szCs w:val="21"/>
        </w:rPr>
        <w:t xml:space="preserve">[3]  G. P. McCormick, “Computability of global solutions to factorable nonconvex programs: Part I,” </w:t>
      </w:r>
      <w:r>
        <w:rPr>
          <w:rFonts w:ascii="Calibri" w:cs="Calibri" w:eastAsia="Calibri" w:hAnsi="Calibri"/>
          <w:i/>
          <w:iCs/>
          <w:sz w:val="21"/>
          <w:szCs w:val="21"/>
        </w:rPr>
        <w:t xml:space="preserve">Mathematical Programming</w:t>
      </w:r>
      <w:r>
        <w:rPr>
          <w:rFonts w:ascii="Calibri" w:cs="Calibri" w:eastAsia="Calibri" w:hAnsi="Calibri"/>
          <w:sz w:val="21"/>
          <w:szCs w:val="21"/>
        </w:rPr>
        <w:t xml:space="preserve">, vol. 10, pp. 147–175, 1976.</w:t>
      </w:r>
    </w:p>
    <w:p>
      <w:pPr>
        <w:spacing w:after="60" w:line="264"/>
      </w:pPr>
      <w:r>
        <w:rPr>
          <w:rFonts w:ascii="Calibri" w:cs="Calibri" w:eastAsia="Calibri" w:hAnsi="Calibri"/>
          <w:sz w:val="21"/>
          <w:szCs w:val="21"/>
        </w:rPr>
        <w:t xml:space="preserve">[4]  I. Dunning, J. Huchette and M. Lubin, “JuMP: A modeling language for mathematical optimization,” </w:t>
      </w:r>
      <w:r>
        <w:rPr>
          <w:rFonts w:ascii="Calibri" w:cs="Calibri" w:eastAsia="Calibri" w:hAnsi="Calibri"/>
          <w:i/>
          <w:iCs/>
          <w:sz w:val="21"/>
          <w:szCs w:val="21"/>
        </w:rPr>
        <w:t xml:space="preserve">SIAM Review</w:t>
      </w:r>
      <w:r>
        <w:rPr>
          <w:rFonts w:ascii="Calibri" w:cs="Calibri" w:eastAsia="Calibri" w:hAnsi="Calibri"/>
          <w:sz w:val="21"/>
          <w:szCs w:val="21"/>
        </w:rPr>
        <w:t xml:space="preserve">, vol. 59, no. 2, pp. 295–320, 2017.</w:t>
      </w:r>
    </w:p>
    <w:p>
      <w:r>
        <w:br w:type="page"/>
      </w:r>
    </w:p>
    <w:p>
      <w:pPr>
        <w:pStyle w:val="Heading1"/>
        <w:spacing w:after="120" w:before="240"/>
        <w:outlineLvl w:val="0"/>
      </w:pPr>
      <w:r>
        <w:t xml:space="preserve">Appendix A — Case study data</w:t>
      </w:r>
    </w:p>
    <w:p>
      <w:pPr>
        <w:spacing w:after="110" w:line="264"/>
      </w:pPr>
      <w:r>
        <w:rPr>
          <w:rFonts w:ascii="Calibri" w:cs="Calibri" w:eastAsia="Calibri" w:hAnsi="Calibri"/>
          <w:sz w:val="21"/>
          <w:szCs w:val="21"/>
        </w:rPr>
        <w:t xml:space="preserve">From the authors' online appendix and reference implementation. The DHN is a line and its three nodes coincide with buses 1, 2 and 3.</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6120"/>
      </w:tblGrid>
      <w:tr>
        <w:trPr>
          <w:tblHeader/>
        </w:trPr>
        <w:tc>
          <w:tcPr>
            <w:tcW w:type="dxa" w:w="29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Parameter</w:t>
            </w:r>
          </w:p>
        </w:tc>
        <w:tc>
          <w:tcPr>
            <w:tcW w:type="dxa" w:w="61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Value</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Water density ρ / specific heat c</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1000 kg/m³ / 4.21344e-3 MJ/(kg·K), i.e. 4213 J/(kg·K)</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Time step Δt</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3600 s</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Pipes (2)</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R = 0.8 m, L = 500 m, μ = 20 W/(m²·K), φ = 1.93253e-3 kPa/(kg/s)²</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Pipe mass flow bounds</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50–300 kg/s</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Supply / return temperature bounds</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363.15–393.15 K (90–120 °C) / 303.15–333.15 K (30–60 °C)</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Nodal pressure bounds</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50–5000 kPa</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HES1 (node 3)</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mass flow 150–300 kg/s, minimum pressure difference 1000 kPa</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CHP1 (node 2, bus 2)</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r = 0.6, ρE = 2.4, ρH = 0.25, F̄ = 250 MW, 12.5 $/MWh fuel, Q̄ = 100 MW</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HP1 (node 1, bus 1)</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COP = 2.5, Q̄ = 150 MW, L̄ = 60 MW</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G1 (bus 6) / G2 (bus 2)</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180 MW at 11 $/MWh / 100 MW at 33 $/MWh</w:t>
            </w:r>
          </w:p>
        </w:tc>
      </w:tr>
      <w:tr>
        <w:tc>
          <w:tcPr>
            <w:tcW w:type="dxa" w:w="2900"/>
            <w:tcMar>
              <w:top w:type="dxa" w:w="50"/>
              <w:left w:type="dxa" w:w="90"/>
              <w:bottom w:type="dxa" w:w="50"/>
              <w:right w:type="dxa" w:w="90"/>
            </w:tcMar>
          </w:tcPr>
          <w:p>
            <w:pPr>
              <w:spacing w:after="0" w:line="230"/>
            </w:pPr>
            <w:r>
              <w:rPr>
                <w:rFonts w:ascii="Calibri" w:cs="Calibri" w:eastAsia="Calibri" w:hAnsi="Calibri"/>
                <w:sz w:val="18"/>
                <w:szCs w:val="18"/>
              </w:rPr>
              <w:t xml:space="preserve">W1 (bus 1)</w:t>
            </w:r>
          </w:p>
        </w:tc>
        <w:tc>
          <w:tcPr>
            <w:tcW w:type="dxa" w:w="6120"/>
            <w:tcMar>
              <w:top w:type="dxa" w:w="50"/>
              <w:left w:type="dxa" w:w="90"/>
              <w:bottom w:type="dxa" w:w="50"/>
              <w:right w:type="dxa" w:w="90"/>
            </w:tcMar>
          </w:tcPr>
          <w:p>
            <w:pPr>
              <w:spacing w:after="0" w:line="230"/>
            </w:pPr>
            <w:r>
              <w:rPr>
                <w:rFonts w:ascii="Calibri" w:cs="Calibri" w:eastAsia="Calibri" w:hAnsi="Calibri"/>
                <w:sz w:val="18"/>
                <w:szCs w:val="18"/>
              </w:rPr>
              <w:t xml:space="preserve">500 MW installed, derated hourly, 0.0001 $/MWh</w:t>
            </w:r>
          </w:p>
        </w:tc>
      </w:tr>
      <w:tr>
        <w:tc>
          <w:tcPr>
            <w:tcW w:type="dxa" w:w="29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Electricity load split / lines</w:t>
            </w:r>
          </w:p>
        </w:tc>
        <w:tc>
          <w:tcPr>
            <w:tcW w:type="dxa" w:w="61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20 % bus 3, 40 % bus 4, 40 % bus 5 / 1-2, 2-3, 3-6, 6-5, 5-4, 4-1, 3-5</w:t>
            </w:r>
          </w:p>
        </w:tc>
      </w:tr>
    </w:tbl>
    <w:p>
      <w:pPr>
        <w:spacing w:after="180" w:before="40"/>
      </w:pPr>
      <w:r>
        <w:rPr>
          <w:rFonts w:ascii="Calibri" w:cs="Calibri" w:eastAsia="Calibri" w:hAnsi="Calibri"/>
          <w:i/>
          <w:iCs/>
          <w:color w:val="595959"/>
          <w:sz w:val="17"/>
          <w:szCs w:val="17"/>
        </w:rPr>
        <w:t xml:space="preserve">Table A1. Case study parameters.</w:t>
      </w:r>
    </w:p>
    <w:p>
      <w:pPr>
        <w:pStyle w:val="Heading1"/>
        <w:spacing w:after="120" w:before="240"/>
        <w:outlineLvl w:val="0"/>
      </w:pPr>
      <w:r>
        <w:t xml:space="preserve">Appendix B — Equation-to-code map</w:t>
      </w:r>
    </w:p>
    <w:p>
      <w:pPr>
        <w:spacing w:after="110" w:line="264"/>
      </w:pPr>
      <w:r>
        <w:rPr>
          <w:rFonts w:ascii="Calibri" w:cs="Calibri" w:eastAsia="Calibri" w:hAnsi="Calibri"/>
          <w:sz w:val="21"/>
          <w:szCs w:val="21"/>
        </w:rPr>
        <w:t xml:space="preserve">Paths are relative to the repository root; the model files are in </w:t>
      </w:r>
      <w:r>
        <w:rPr>
          <w:rFonts w:ascii="Consolas" w:cs="Consolas" w:eastAsia="Consolas" w:hAnsi="Consolas"/>
          <w:sz w:val="19"/>
          <w:szCs w:val="19"/>
        </w:rPr>
        <w:t xml:space="preserve">src/</w:t>
      </w:r>
      <w:r>
        <w:rPr>
          <w:rFonts w:ascii="Calibri" w:cs="Calibri" w:eastAsia="Calibri" w:hAnsi="Calibri"/>
          <w:sz w:val="21"/>
          <w:szCs w:val="21"/>
        </w:rPr>
        <w:t xml:space="preserve">. Constraint names are the JuMP keys used in the code.</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4300"/>
        <w:gridCol w:w="3620"/>
      </w:tblGrid>
      <w:tr>
        <w:trPr>
          <w:tblHeader/>
        </w:trPr>
        <w:tc>
          <w:tcPr>
            <w:tcW w:type="dxa" w:w="11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Eq.</w:t>
            </w:r>
          </w:p>
        </w:tc>
        <w:tc>
          <w:tcPr>
            <w:tcW w:type="dxa" w:w="430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Meaning</w:t>
            </w:r>
          </w:p>
        </w:tc>
        <w:tc>
          <w:tcPr>
            <w:tcW w:type="dxa" w:w="3620"/>
            <w:shd w:fill="DCE6F1" w:color="auto" w:val="clear"/>
            <w:tcMar>
              <w:top w:type="dxa" w:w="50"/>
              <w:left w:type="dxa" w:w="90"/>
              <w:bottom w:type="dxa" w:w="50"/>
              <w:right w:type="dxa" w:w="90"/>
            </w:tcMar>
          </w:tcPr>
          <w:p>
            <w:pPr>
              <w:spacing w:after="0" w:line="230"/>
            </w:pPr>
            <w:r>
              <w:rPr>
                <w:rFonts w:ascii="Calibri" w:cs="Calibri" w:eastAsia="Calibri" w:hAnsi="Calibri"/>
                <w:b/>
                <w:bCs/>
                <w:sz w:val="18"/>
                <w:szCs w:val="18"/>
              </w:rPr>
              <w:t xml:space="preserve">Location</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(1)</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Mass flow bounds in the pipes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build_chpd_minlp.jl, bounds on mfS, mfR</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Pressure loss, quadratic equality</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build_chpd_minlp.jl :eq2S, :eq2R</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(3), (4)</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Pipe inlet temperatures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:eq3, :eq4</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(5)</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Pipe outlet temperature, thermal loss</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:eq5S, :eq5R (zero-delay case)</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(6)–(13)</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Time delays, big-M linearisation</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delays.jl, add_delays!</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(14)</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Nodal mass balance</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:eq14S, :eq14R</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(15)</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Nodal pressure bounds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bounds on prS, prR</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(16), (17)</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Nodal temperature mixing, bilinear</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:eq16, :eq17</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(18)</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Nodal temperature bounds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bounds on TS, TR</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(19), (20)</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Single-pipe node shortcut</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:eq19, :eq20</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(21)</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HES heat load, bilinear</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:eq21</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(22)</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HES mass flow bounds</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bounds on mfHES</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(23)</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HES pressure difference threshold</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:eq23</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(24)</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Heat station output, bilinear</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:eq24</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(25), (26)</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Heat station heat and flow bounds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bounds on Q, mfHS</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(27)</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Water pump power, bilinear</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:eq27</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(28), (29)</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Extraction CHP region</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:eq28, :eq29</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(30)</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Heat pump COP</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:eq30</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(31)</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DC power balance</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:eq31</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(32)</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Line flow limits</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:eq32</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(33)</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Generator bounds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bounds on P</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(34), (35)</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Cost and objective</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m.ext[:objective]</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(36)</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Convex quadratic pressure loss</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build_chpd_misocp.jl :eq36S, :eq36R</w:t>
            </w:r>
          </w:p>
        </w:tc>
      </w:tr>
      <w:tr>
        <w:tc>
          <w:tcPr>
            <w:tcW w:type="dxa" w:w="11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III-A</w:t>
            </w:r>
          </w:p>
        </w:tc>
        <w:tc>
          <w:tcPr>
            <w:tcW w:type="dxa" w:w="430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McCormick envelopes of (16), (17), (21), (24), (27)</w:t>
            </w:r>
          </w:p>
        </w:tc>
        <w:tc>
          <w:tcPr>
            <w:tcW w:type="dxa" w:w="3620"/>
            <w:shd w:fill="F2F6FA" w:color="auto" w:val="clear"/>
            <w:tcMar>
              <w:top w:type="dxa" w:w="50"/>
              <w:left w:type="dxa" w:w="90"/>
              <w:bottom w:type="dxa" w:w="50"/>
              <w:right w:type="dxa" w:w="90"/>
            </w:tcMar>
          </w:tcPr>
          <w:p>
            <w:pPr>
              <w:spacing w:after="0" w:line="230"/>
            </w:pPr>
            <w:r>
              <w:rPr>
                <w:rFonts w:ascii="Calibri" w:cs="Calibri" w:eastAsia="Calibri" w:hAnsi="Calibri"/>
                <w:sz w:val="18"/>
                <w:szCs w:val="18"/>
              </w:rPr>
              <w:t xml:space="preserve">build_chpd_misocp.jl :eq16mc … :eq27mc</w:t>
            </w:r>
          </w:p>
        </w:tc>
      </w:tr>
      <w:tr>
        <w:tc>
          <w:tcPr>
            <w:tcW w:type="dxa" w:w="1100"/>
            <w:tcMar>
              <w:top w:type="dxa" w:w="50"/>
              <w:left w:type="dxa" w:w="90"/>
              <w:bottom w:type="dxa" w:w="50"/>
              <w:right w:type="dxa" w:w="90"/>
            </w:tcMar>
          </w:tcPr>
          <w:p>
            <w:pPr>
              <w:spacing w:after="0" w:line="230"/>
            </w:pPr>
            <w:r>
              <w:rPr>
                <w:rFonts w:ascii="Calibri" w:cs="Calibri" w:eastAsia="Calibri" w:hAnsi="Calibri"/>
                <w:sz w:val="18"/>
                <w:szCs w:val="18"/>
              </w:rPr>
              <w:t xml:space="preserve">(38), (39)</w:t>
            </w:r>
          </w:p>
        </w:tc>
        <w:tc>
          <w:tcPr>
            <w:tcW w:type="dxa" w:w="4300"/>
            <w:tcMar>
              <w:top w:type="dxa" w:w="50"/>
              <w:left w:type="dxa" w:w="90"/>
              <w:bottom w:type="dxa" w:w="50"/>
              <w:right w:type="dxa" w:w="90"/>
            </w:tcMar>
          </w:tcPr>
          <w:p>
            <w:pPr>
              <w:spacing w:after="0" w:line="230"/>
            </w:pPr>
            <w:r>
              <w:rPr>
                <w:rFonts w:ascii="Calibri" w:cs="Calibri" w:eastAsia="Calibri" w:hAnsi="Calibri"/>
                <w:sz w:val="18"/>
                <w:szCs w:val="18"/>
              </w:rPr>
              <w:t xml:space="preserve">CED benchmark (extension)</w:t>
            </w:r>
          </w:p>
        </w:tc>
        <w:tc>
          <w:tcPr>
            <w:tcW w:type="dxa" w:w="3620"/>
            <w:tcMar>
              <w:top w:type="dxa" w:w="50"/>
              <w:left w:type="dxa" w:w="90"/>
              <w:bottom w:type="dxa" w:w="50"/>
              <w:right w:type="dxa" w:w="90"/>
            </w:tcMar>
          </w:tcPr>
          <w:p>
            <w:pPr>
              <w:spacing w:after="0" w:line="230"/>
            </w:pPr>
            <w:r>
              <w:rPr>
                <w:rFonts w:ascii="Calibri" w:cs="Calibri" w:eastAsia="Calibri" w:hAnsi="Calibri"/>
                <w:sz w:val="18"/>
                <w:szCs w:val="18"/>
              </w:rPr>
              <w:t xml:space="preserve">build_ced.jl :eq38, :eq39</w:t>
            </w:r>
          </w:p>
        </w:tc>
      </w:tr>
    </w:tbl>
    <w:p>
      <w:pPr>
        <w:spacing w:after="180" w:before="40"/>
      </w:pPr>
      <w:r>
        <w:rPr>
          <w:rFonts w:ascii="Calibri" w:cs="Calibri" w:eastAsia="Calibri" w:hAnsi="Calibri"/>
          <w:i/>
          <w:iCs/>
          <w:color w:val="595959"/>
          <w:sz w:val="17"/>
          <w:szCs w:val="17"/>
        </w:rPr>
        <w:t xml:space="preserve">Table B1. Where each equation of the paper is implemented.</w:t>
      </w:r>
    </w:p>
    <w:p>
      <w:pPr>
        <w:spacing w:after="110" w:line="264"/>
      </w:pPr>
      <w:r>
        <w:rPr>
          <w:rFonts w:ascii="Calibri" w:cs="Calibri" w:eastAsia="Calibri" w:hAnsi="Calibri"/>
          <w:sz w:val="21"/>
          <w:szCs w:val="21"/>
        </w:rPr>
        <w:t xml:space="preserve">The full source, data and tests are in the repository at </w:t>
      </w:r>
      <w:r>
        <w:rPr>
          <w:rFonts w:ascii="Consolas" w:cs="Consolas" w:eastAsia="Consolas" w:hAnsi="Consolas"/>
          <w:sz w:val="19"/>
          <w:szCs w:val="19"/>
        </w:rPr>
        <w:t xml:space="preserve">https://github.com/DeusExMachina25/chpd-dhn-flexibility</w:t>
      </w:r>
      <w:r>
        <w:rPr>
          <w:rFonts w:ascii="Calibri" w:cs="Calibri" w:eastAsia="Calibri" w:hAnsi="Calibri"/>
          <w:sz w:val="21"/>
          <w:szCs w:val="21"/>
        </w:rPr>
        <w:t xml:space="preserve">. It runs with </w:t>
      </w:r>
      <w:r>
        <w:rPr>
          <w:rFonts w:ascii="Consolas" w:cs="Consolas" w:eastAsia="Consolas" w:hAnsi="Consolas"/>
          <w:sz w:val="19"/>
          <w:szCs w:val="19"/>
        </w:rPr>
        <w:t xml:space="preserve">julia --project=. src/chpd.jl</w:t>
      </w:r>
      <w:r>
        <w:rPr>
          <w:rFonts w:ascii="Calibri" w:cs="Calibri" w:eastAsia="Calibri" w:hAnsi="Calibri"/>
          <w:sz w:val="21"/>
          <w:szCs w:val="21"/>
        </w:rPr>
        <w:t xml:space="preserve">; see its README for the other scenarios and the expected output.</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outlineLvl w:val="0"/>
      <w:spacing w:after="150" w:before="300"/>
    </w:pPr>
    <w:rPr>
      <w:rFonts w:ascii="Calibri" w:cs="Calibri" w:eastAsia="Calibri" w:hAnsi="Calibri"/>
      <w:b/>
      <w:bCs/>
      <w:color w:val="1F3864"/>
      <w:sz w:val="28"/>
      <w:szCs w:val="28"/>
    </w:rPr>
  </w:style>
  <w:style w:type="paragraph" w:styleId="Heading2">
    <w:name w:val="heading 2"/>
    <w:basedOn w:val="Normal"/>
    <w:next w:val="Normal"/>
    <w:qFormat/>
    <w:pPr>
      <w:keepNext/>
      <w:outlineLvl w:val="1"/>
      <w:spacing w:after="120" w:before="240"/>
    </w:pPr>
    <w:rPr>
      <w:rFonts w:ascii="Calibri" w:cs="Calibri" w:eastAsia="Calibri" w:hAnsi="Calibri"/>
      <w:b/>
      <w:bCs/>
      <w:color w:val="2E5496"/>
      <w:sz w:val="24"/>
      <w:szCs w:val="24"/>
    </w:rPr>
  </w:style>
  <w:style w:type="paragraph" w:styleId="Heading3">
    <w:name w:val="heading 3"/>
    <w:basedOn w:val="Normal"/>
    <w:next w:val="Normal"/>
    <w:qFormat/>
    <w:pPr>
      <w:keepNext/>
      <w:outlineLvl w:val="2"/>
      <w:spacing w:after="100" w:before="200"/>
    </w:pPr>
    <w:rPr>
      <w:rFonts w:ascii="Calibri" w:cs="Calibri" w:eastAsia="Calibri" w:hAnsi="Calibri"/>
      <w:b/>
      <w:bCs/>
      <w:color w:val="404040"/>
      <w:sz w:val="22"/>
      <w:szCs w:val="22"/>
    </w:rPr>
  </w:style>
  <w:style w:type="paragraph" w:styleId="Heading4">
    <w:name w:val="heading 4"/>
    <w:basedOn w:val="Normal"/>
    <w:next w:val="Normal"/>
    <w:qFormat/>
    <w:pPr>
      <w:keepNext/>
      <w:outlineLvl w:val="3"/>
    </w:pPr>
    <w:rPr>
      <w:i/>
      <w:iCs/>
      <w:color w:val="2E74B5"/>
    </w:rPr>
  </w:style>
  <w:style w:type="paragraph" w:styleId="Heading5">
    <w:name w:val="heading 5"/>
    <w:basedOn w:val="Normal"/>
    <w:next w:val="Normal"/>
    <w:qFormat/>
    <w:pPr>
      <w:keepNext/>
      <w:outlineLvl w:val="4"/>
    </w:pPr>
    <w:rPr>
      <w:color w:val="2E74B5"/>
    </w:rPr>
  </w:style>
  <w:style w:type="paragraph" w:styleId="Heading6">
    <w:name w:val="heading 6"/>
    <w:basedOn w:val="Normal"/>
    <w:next w:val="Normal"/>
    <w:qFormat/>
    <w:pPr>
      <w:keepNext/>
      <w:outlineLvl w:val="5"/>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38af534762a099552bbf79ccd8ab98a9aa0a48.png"/><Relationship Id="rId8" Type="http://schemas.openxmlformats.org/officeDocument/2006/relationships/image" Target="media/a5680f7c3d2a3cdc61857e3e97924e5b138bc1ab.png"/><Relationship Id="rId9" Type="http://schemas.openxmlformats.org/officeDocument/2006/relationships/image" Target="media/f67cd8c350874abe4cd792cfdc514c28eb0a94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Systems Flexibility from District Heating Networks</dc:title>
  <dc:creator>Sudhamshu M Reddy</dc:creator>
  <dc:description>Optimization of Energy Systems assignment report</dc:description>
  <cp:lastModifiedBy>Un-named</cp:lastModifiedBy>
  <cp:revision>1</cp:revision>
  <dcterms:created xsi:type="dcterms:W3CDTF">2026-08-12T22:36:48.767Z</dcterms:created>
  <dcterms:modified xsi:type="dcterms:W3CDTF">2026-08-12T22:36:48.795Z</dcterms:modified>
</cp:coreProperties>
</file>

<file path=docProps/custom.xml><?xml version="1.0" encoding="utf-8"?>
<Properties xmlns="http://schemas.openxmlformats.org/officeDocument/2006/custom-properties" xmlns:vt="http://schemas.openxmlformats.org/officeDocument/2006/docPropsVTypes"/>
</file>