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60"/>
      </w:pPr>
      <w:r>
        <w:drawing>
          <wp:inline distT="0" distB="0" distL="0" distR="0">
            <wp:extent cx="24765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476500" cy="923925"/>
                    </a:xfrm>
                    <a:prstGeom prst="rect">
                      <a:avLst/>
                    </a:prstGeom>
                  </pic:spPr>
                </pic:pic>
              </a:graphicData>
            </a:graphic>
          </wp:inline>
        </w:drawing>
      </w:r>
    </w:p>
    <w:p>
      <w:pPr>
        <w:spacing w:after="420"/>
      </w:pPr>
      <w:r>
        <w:rPr>
          <w:rFonts w:ascii="Calibri" w:cs="Calibri" w:eastAsia="Calibri" w:hAnsi="Calibri"/>
          <w:b/>
          <w:bCs/>
          <w:sz w:val="30"/>
          <w:szCs w:val="30"/>
        </w:rPr>
        <w:t xml:space="preserve">Optimization of Energy Systems [XXXXXX]</w:t>
      </w:r>
    </w:p>
    <w:p>
      <w:pPr>
        <w:spacing w:after="180"/>
      </w:pPr>
      <w:r>
        <w:rPr>
          <w:rFonts w:ascii="Calibri" w:cs="Calibri" w:eastAsia="Calibri" w:hAnsi="Calibri"/>
          <w:b/>
          <w:bCs/>
          <w:color w:val="1F3864"/>
          <w:sz w:val="38"/>
          <w:szCs w:val="38"/>
        </w:rPr>
        <w:t xml:space="preserve">Power Systems Flexibility from District Heating Networks</w:t>
      </w:r>
    </w:p>
    <w:p>
      <w:pPr>
        <w:spacing w:after="360"/>
      </w:pPr>
      <w:r>
        <w:rPr>
          <w:rFonts w:ascii="Calibri" w:cs="Calibri" w:eastAsia="Calibri" w:hAnsi="Calibri"/>
          <w:color w:val="404040"/>
          <w:sz w:val="24"/>
          <w:szCs w:val="24"/>
        </w:rPr>
        <w:t xml:space="preserve">Reproducing the Combined Heat and Power Dispatch and its convex relaxation</w:t>
      </w:r>
    </w:p>
    <w:p>
      <w:pPr>
        <w:spacing w:after="50"/>
      </w:pPr>
      <w:r>
        <w:rPr>
          <w:rFonts w:ascii="Calibri" w:cs="Calibri" w:eastAsia="Calibri" w:hAnsi="Calibri"/>
          <w:b/>
          <w:bCs/>
          <w:sz w:val="23"/>
          <w:szCs w:val="23"/>
        </w:rPr>
        <w:t xml:space="preserve">L. Mitridati and J. A. Taylor</w:t>
      </w:r>
    </w:p>
    <w:p>
      <w:pPr>
        <w:spacing w:after="40"/>
      </w:pPr>
      <w:r>
        <w:rPr>
          <w:rFonts w:ascii="Calibri" w:cs="Calibri" w:eastAsia="Calibri" w:hAnsi="Calibri"/>
          <w:i/>
          <w:iCs/>
          <w:sz w:val="21"/>
          <w:szCs w:val="21"/>
        </w:rPr>
        <w:t xml:space="preserve">2018 Power Systems Computation Conference (PSCC), Dublin, Ireland, pp. 1–7</w:t>
      </w:r>
    </w:p>
    <w:p>
      <w:pPr>
        <w:spacing w:after="700"/>
      </w:pPr>
      <w:r>
        <w:rPr>
          <w:rFonts w:ascii="Consolas" w:cs="Consolas" w:eastAsia="Consolas" w:hAnsi="Consolas"/>
          <w:sz w:val="17"/>
          <w:szCs w:val="17"/>
        </w:rPr>
        <w:t xml:space="preserve">doi:10.23919/PSCC.2018.8442617</w:t>
      </w:r>
    </w:p>
    <w:p>
      <w:pPr>
        <w:spacing w:after="50"/>
      </w:pPr>
      <w:r>
        <w:rPr>
          <w:rFonts w:ascii="Calibri" w:cs="Calibri" w:eastAsia="Calibri" w:hAnsi="Calibri"/>
          <w:i/>
          <w:iCs/>
          <w:sz w:val="21"/>
          <w:szCs w:val="21"/>
        </w:rPr>
        <w:t xml:space="preserve">By</w:t>
      </w:r>
    </w:p>
    <w:p>
      <w:pPr>
        <w:spacing w:after="300"/>
      </w:pPr>
      <w:r>
        <w:rPr>
          <w:rFonts w:ascii="Calibri" w:cs="Calibri" w:eastAsia="Calibri" w:hAnsi="Calibri"/>
          <w:b/>
          <w:bCs/>
          <w:i/>
          <w:iCs/>
          <w:sz w:val="27"/>
          <w:szCs w:val="27"/>
        </w:rPr>
        <w:t xml:space="preserve">Sudhamshu M Reddy</w:t>
      </w:r>
    </w:p>
    <w:p>
      <w:pPr>
        <w:spacing w:after="110" w:line="264"/>
      </w:pPr>
      <w:r>
        <w:rPr>
          <w:rFonts w:ascii="Calibri" w:cs="Calibri" w:eastAsia="Calibri" w:hAnsi="Calibri"/>
          <w:sz w:val="19"/>
          <w:szCs w:val="19"/>
        </w:rPr>
        <w:t xml:space="preserve">Code and data: </w:t>
      </w:r>
      <w:r>
        <w:rPr>
          <w:rFonts w:ascii="Consolas" w:cs="Consolas" w:eastAsia="Consolas" w:hAnsi="Consolas"/>
          <w:sz w:val="19"/>
          <w:szCs w:val="19"/>
        </w:rPr>
        <w:t xml:space="preserve">https://github.com/&lt;your-account&gt;/chpd-dhn-flexibility</w:t>
      </w:r>
    </w:p>
    <w:p>
      <w:r>
        <w:br w:type="page"/>
      </w:r>
    </w:p>
    <w:p>
      <w:pPr>
        <w:pStyle w:val="Heading1"/>
        <w:spacing w:after="120" w:before="240"/>
        <w:outlineLvl w:val="0"/>
      </w:pPr>
      <w:r>
        <w:t xml:space="preserve">Introduction</w:t>
      </w:r>
    </w:p>
    <w:p>
      <w:pPr>
        <w:spacing w:after="110" w:line="264"/>
      </w:pPr>
      <w:r>
        <w:rPr>
          <w:rFonts w:ascii="Calibri" w:cs="Calibri" w:eastAsia="Calibri" w:hAnsi="Calibri"/>
          <w:sz w:val="21"/>
          <w:szCs w:val="21"/>
        </w:rPr>
        <w:t xml:space="preserve">A district heating network (DHN) delivers heat by circulating hot water from heat stations to consumers and returning it cooled. Because water takes a finite time to travel down a pipe, the network itself stores thermal energy: heat can be produced before it is needed and delivered later.</w:t>
      </w:r>
    </w:p>
    <w:p>
      <w:pPr>
        <w:spacing w:after="110" w:line="264"/>
      </w:pPr>
      <w:r>
        <w:rPr>
          <w:rFonts w:ascii="Calibri" w:cs="Calibri" w:eastAsia="Calibri" w:hAnsi="Calibri"/>
          <w:sz w:val="21"/>
          <w:szCs w:val="21"/>
        </w:rPr>
        <w:t xml:space="preserve">That matters because an extraction combined heat and power (CHP) unit cannot set its electrical and thermal output independently. A CHP forced to follow the heat load is pushed away from its electrically efficient operating point, and wind may have to be curtailed to accommodate it. If the network can store heat, the CHP is free to follow the electricity system instead.</w:t>
      </w:r>
    </w:p>
    <w:p>
      <w:pPr>
        <w:spacing w:after="110" w:line="264"/>
      </w:pPr>
      <w:r>
        <w:rPr>
          <w:rFonts w:ascii="Calibri" w:cs="Calibri" w:eastAsia="Calibri" w:hAnsi="Calibri"/>
          <w:sz w:val="21"/>
          <w:szCs w:val="21"/>
        </w:rPr>
        <w:t xml:space="preserve">Mitridati and Taylor formalise this as a Combined Heat and Power Dispatch (CHPD), co-optimising a DC optimal power flow with the hydraulic and thermal state of the heating network. The model is non-convex, so they also propose a convex relaxation. This report reproduces both: the </w:t>
      </w:r>
      <w:r>
        <w:rPr>
          <w:rFonts w:ascii="Calibri" w:cs="Calibri" w:eastAsia="Calibri" w:hAnsi="Calibri"/>
          <w:b/>
          <w:bCs/>
          <w:sz w:val="21"/>
          <w:szCs w:val="21"/>
        </w:rPr>
        <w:t xml:space="preserve">Section II</w:t>
      </w:r>
      <w:r>
        <w:rPr>
          <w:rFonts w:ascii="Calibri" w:cs="Calibri" w:eastAsia="Calibri" w:hAnsi="Calibri"/>
          <w:sz w:val="21"/>
          <w:szCs w:val="21"/>
        </w:rPr>
        <w:t xml:space="preserve"> formulation and the </w:t>
      </w:r>
      <w:r>
        <w:rPr>
          <w:rFonts w:ascii="Calibri" w:cs="Calibri" w:eastAsia="Calibri" w:hAnsi="Calibri"/>
          <w:b/>
          <w:bCs/>
          <w:sz w:val="21"/>
          <w:szCs w:val="21"/>
        </w:rPr>
        <w:t xml:space="preserve">Section III-B</w:t>
      </w:r>
      <w:r>
        <w:rPr>
          <w:rFonts w:ascii="Calibri" w:cs="Calibri" w:eastAsia="Calibri" w:hAnsi="Calibri"/>
          <w:sz w:val="21"/>
          <w:szCs w:val="21"/>
        </w:rPr>
        <w:t xml:space="preserve"> relaxation, implemented in Julia/JuMP and validated at a single time step, which is the scope of the assignment. A conventional economic dispatch benchmark and the pipeline time delays were also implemented and are reported briefly as extensions.</w:t>
      </w:r>
    </w:p>
    <w:p>
      <w:pPr>
        <w:pStyle w:val="Heading1"/>
        <w:spacing w:after="120" w:before="240"/>
        <w:outlineLvl w:val="0"/>
      </w:pPr>
      <w:r>
        <w:t xml:space="preserve">Problem Statement</w:t>
      </w:r>
    </w:p>
    <w:p>
      <w:pPr>
        <w:spacing w:after="110" w:line="264"/>
      </w:pPr>
      <w:r>
        <w:rPr>
          <w:rFonts w:ascii="Calibri" w:cs="Calibri" w:eastAsia="Calibri" w:hAnsi="Calibri"/>
          <w:sz w:val="21"/>
          <w:szCs w:val="21"/>
        </w:rPr>
        <w:t xml:space="preserve">The CHPD minimises total operating cost over a scheduling horizon subject to the physics of both networks at once. On the electricity side it is a linearised optimal power flow: generator outputs, voltage angles and line flows, subject to nodal power balance, line limits and generator bounds. On the heating side it carries the mass flows, nodal pressures and temperatures, and pipe inlet and outlet temperatures, subject to friction pressure loss, thermal loss, nodal mass balance and temperature mixing. The two are coupled by CHP units, heat pumps, and the water pumps that drive flow against the supply-to-return pressure difference.</w:t>
      </w:r>
    </w:p>
    <w:p>
      <w:pPr>
        <w:spacing w:after="110" w:line="264"/>
      </w:pPr>
      <w:r>
        <w:rPr>
          <w:rFonts w:ascii="Calibri" w:cs="Calibri" w:eastAsia="Calibri" w:hAnsi="Calibri"/>
          <w:sz w:val="21"/>
          <w:szCs w:val="21"/>
        </w:rPr>
        <w:t xml:space="preserve">Three structural features make it hard, and they are why a relaxation is needed:</w:t>
      </w:r>
    </w:p>
    <w:p>
      <w:pPr>
        <w:pStyle w:val="ListParagraph"/>
        <w:numPr>
          <w:ilvl w:val="0"/>
          <w:numId w:val="1"/>
        </w:numPr>
        <w:spacing w:after="70" w:line="264"/>
      </w:pPr>
      <w:r>
        <w:rPr>
          <w:rFonts w:ascii="Calibri" w:cs="Calibri" w:eastAsia="Calibri" w:hAnsi="Calibri"/>
          <w:b/>
          <w:bCs/>
          <w:sz w:val="21"/>
          <w:szCs w:val="21"/>
        </w:rPr>
        <w:t xml:space="preserve">Bilinear equalities. </w:t>
      </w:r>
      <w:r>
        <w:rPr>
          <w:rFonts w:ascii="Calibri" w:cs="Calibri" w:eastAsia="Calibri" w:hAnsi="Calibri"/>
          <w:sz w:val="21"/>
          <w:szCs w:val="21"/>
        </w:rPr>
        <w:t xml:space="preserve">Heat transported is a mass flow times a temperature difference, so heat delivered at a load, heat produced at a station, nodal temperature mixing and water pump power — Eqs. (16), (17), (21), (24), (27) — are all products of two decision variables.</w:t>
      </w:r>
    </w:p>
    <w:p>
      <w:pPr>
        <w:pStyle w:val="ListParagraph"/>
        <w:numPr>
          <w:ilvl w:val="0"/>
          <w:numId w:val="1"/>
        </w:numPr>
        <w:spacing w:after="70" w:line="264"/>
      </w:pPr>
      <w:r>
        <w:rPr>
          <w:rFonts w:ascii="Calibri" w:cs="Calibri" w:eastAsia="Calibri" w:hAnsi="Calibri"/>
          <w:b/>
          <w:bCs/>
          <w:sz w:val="21"/>
          <w:szCs w:val="21"/>
        </w:rPr>
        <w:t xml:space="preserve">A quadratic equality. </w:t>
      </w:r>
      <w:r>
        <w:rPr>
          <w:rFonts w:ascii="Calibri" w:cs="Calibri" w:eastAsia="Calibri" w:hAnsi="Calibri"/>
          <w:sz w:val="21"/>
          <w:szCs w:val="21"/>
        </w:rPr>
        <w:t xml:space="preserve">Pressure loss is proportional to the square of the mass flow, Eq. (2); as an equality this is a non-convex surface.</w:t>
      </w:r>
    </w:p>
    <w:p>
      <w:pPr>
        <w:pStyle w:val="ListParagraph"/>
        <w:numPr>
          <w:ilvl w:val="0"/>
          <w:numId w:val="1"/>
        </w:numPr>
        <w:spacing w:after="70" w:line="264"/>
      </w:pPr>
      <w:r>
        <w:rPr>
          <w:rFonts w:ascii="Calibri" w:cs="Calibri" w:eastAsia="Calibri" w:hAnsi="Calibri"/>
          <w:b/>
          <w:bCs/>
          <w:sz w:val="21"/>
          <w:szCs w:val="21"/>
        </w:rPr>
        <w:t xml:space="preserve">Integer time delays. </w:t>
      </w:r>
      <w:r>
        <w:rPr>
          <w:rFonts w:ascii="Calibri" w:cs="Calibri" w:eastAsia="Calibri" w:hAnsi="Calibri"/>
          <w:sz w:val="21"/>
          <w:szCs w:val="21"/>
        </w:rPr>
        <w:t xml:space="preserve">Pipe travel time is itself a decision variable, discretised into whole steps with binaries and big-M logic, Eqs. (6)–(13).</w:t>
      </w:r>
    </w:p>
    <w:p>
      <w:pPr>
        <w:spacing w:after="110" w:line="264"/>
      </w:pPr>
      <w:r>
        <w:rPr>
          <w:rFonts w:ascii="Calibri" w:cs="Calibri" w:eastAsia="Calibri" w:hAnsi="Calibri"/>
          <w:sz w:val="21"/>
          <w:szCs w:val="21"/>
        </w:rPr>
        <w:t xml:space="preserve">The result is a mixed-integer non-linear program, which Section III relaxes to a tractable second-order cone program.</w:t>
      </w:r>
    </w:p>
    <w:p>
      <w:pPr>
        <w:pStyle w:val="Heading1"/>
        <w:spacing w:after="120" w:before="240"/>
        <w:outlineLvl w:val="0"/>
      </w:pPr>
      <w:r>
        <w:t xml:space="preserve">Mathematical Formulation</w:t>
      </w:r>
    </w:p>
    <w:p>
      <w:pPr>
        <w:spacing w:after="110" w:line="264"/>
      </w:pPr>
      <w:r>
        <w:rPr>
          <w:rFonts w:ascii="Calibri" w:cs="Calibri" w:eastAsia="Calibri" w:hAnsi="Calibri"/>
          <w:sz w:val="21"/>
          <w:szCs w:val="21"/>
        </w:rPr>
        <w:t xml:space="preserve">Both models are built on identical data, so any difference comes from the formulation alone: the relaxation is constructed by building the Section II model and replacing exactly the constraints the paper replaces, guaranteeing the two differ nowhere else.</w:t>
      </w:r>
    </w:p>
    <w:p>
      <w:pPr>
        <w:pStyle w:val="Heading2"/>
        <w:spacing w:after="120" w:before="240"/>
        <w:outlineLvl w:val="1"/>
      </w:pPr>
      <w:r>
        <w:t xml:space="preserve">Section II — the original model</w:t>
      </w:r>
    </w:p>
    <w:p>
      <w:pPr>
        <w:spacing w:after="110" w:line="264"/>
      </w:pPr>
      <w:r>
        <w:rPr>
          <w:rFonts w:ascii="Calibri" w:cs="Calibri" w:eastAsia="Calibri" w:hAnsi="Calibri"/>
          <w:sz w:val="21"/>
          <w:szCs w:val="21"/>
        </w:rPr>
        <w:t xml:space="preserve">The objective, Eqs. (34)–(35), is the marginal cost of the electricity-only generators plus the fuel cost of the CHP units:</w:t>
      </w:r>
    </w:p>
    <w:p>
      <w:pPr>
        <w:spacing w:after="120" w:before="90"/>
        <w:jc w:val="center"/>
      </w:pPr>
      <w:r>
        <w:rPr>
          <w:rFonts w:ascii="Consolas" w:cs="Consolas" w:eastAsia="Consolas" w:hAnsi="Consolas"/>
          <w:sz w:val="19"/>
          <w:szCs w:val="19"/>
        </w:rPr>
        <w:t xml:space="preserve">min   Σ_g  α_g · P_g   +   Σ_j  α_j · ( ρE_j · P_j  +  ρH_j · Q_j )</w:t>
      </w:r>
    </w:p>
    <w:p>
      <w:pPr>
        <w:spacing w:after="110" w:line="264"/>
      </w:pPr>
      <w:r>
        <w:rPr>
          <w:rFonts w:ascii="Calibri" w:cs="Calibri" w:eastAsia="Calibri" w:hAnsi="Calibri"/>
          <w:sz w:val="21"/>
          <w:szCs w:val="21"/>
        </w:rPr>
        <w:t xml:space="preserve">where g indexes electricity-only generators and j the CHP units, α is a marginal or fuel cost, and ρE, ρH are the fuel needed per unit of electrical and thermal output. Heat pumps carry no direct cost: they pay through the electricity they consume, which the power balance already prices.</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500"/>
        <w:gridCol w:w="5000"/>
        <w:gridCol w:w="2520"/>
      </w:tblGrid>
      <w:tr>
        <w:trPr>
          <w:tblHeader/>
        </w:trPr>
        <w:tc>
          <w:tcPr>
            <w:tcW w:type="dxa" w:w="15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Eqs.</w:t>
            </w:r>
          </w:p>
        </w:tc>
        <w:tc>
          <w:tcPr>
            <w:tcW w:type="dxa" w:w="50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Constraint family</w:t>
            </w:r>
          </w:p>
        </w:tc>
        <w:tc>
          <w:tcPr>
            <w:tcW w:type="dxa" w:w="252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Form</w:t>
            </w:r>
          </w:p>
        </w:tc>
      </w:tr>
      <w:tr>
        <w:tc>
          <w:tcPr>
            <w:tcW w:type="dxa" w:w="1500"/>
            <w:tcMar>
              <w:top w:type="dxa" w:w="50"/>
              <w:left w:type="dxa" w:w="90"/>
              <w:bottom w:type="dxa" w:w="50"/>
              <w:right w:type="dxa" w:w="90"/>
            </w:tcMar>
          </w:tcPr>
          <w:p>
            <w:pPr>
              <w:spacing w:after="0" w:line="230"/>
            </w:pPr>
            <w:r>
              <w:rPr>
                <w:rFonts w:ascii="Calibri" w:cs="Calibri" w:eastAsia="Calibri" w:hAnsi="Calibri"/>
                <w:sz w:val="18"/>
                <w:szCs w:val="18"/>
              </w:rPr>
              <w:t xml:space="preserve">(1), (15), (18)</w:t>
            </w:r>
          </w:p>
        </w:tc>
        <w:tc>
          <w:tcPr>
            <w:tcW w:type="dxa" w:w="5000"/>
            <w:tcMar>
              <w:top w:type="dxa" w:w="50"/>
              <w:left w:type="dxa" w:w="90"/>
              <w:bottom w:type="dxa" w:w="50"/>
              <w:right w:type="dxa" w:w="90"/>
            </w:tcMar>
          </w:tcPr>
          <w:p>
            <w:pPr>
              <w:spacing w:after="0" w:line="230"/>
            </w:pPr>
            <w:r>
              <w:rPr>
                <w:rFonts w:ascii="Calibri" w:cs="Calibri" w:eastAsia="Calibri" w:hAnsi="Calibri"/>
                <w:sz w:val="18"/>
                <w:szCs w:val="18"/>
              </w:rPr>
              <w:t xml:space="preserve">Pipe mass flow, nodal pressure and nodal temperature limits</w:t>
            </w:r>
          </w:p>
        </w:tc>
        <w:tc>
          <w:tcPr>
            <w:tcW w:type="dxa" w:w="2520"/>
            <w:tcMar>
              <w:top w:type="dxa" w:w="50"/>
              <w:left w:type="dxa" w:w="90"/>
              <w:bottom w:type="dxa" w:w="50"/>
              <w:right w:type="dxa" w:w="90"/>
            </w:tcMar>
          </w:tcPr>
          <w:p>
            <w:pPr>
              <w:spacing w:after="0" w:line="230"/>
            </w:pPr>
            <w:r>
              <w:rPr>
                <w:rFonts w:ascii="Calibri" w:cs="Calibri" w:eastAsia="Calibri" w:hAnsi="Calibri"/>
                <w:sz w:val="18"/>
                <w:szCs w:val="18"/>
              </w:rPr>
              <w:t xml:space="preserve">Bounds</w:t>
            </w:r>
          </w:p>
        </w:tc>
      </w:tr>
      <w:tr>
        <w:tc>
          <w:tcPr>
            <w:tcW w:type="dxa" w:w="1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w:t>
            </w:r>
          </w:p>
        </w:tc>
        <w:tc>
          <w:tcPr>
            <w:tcW w:type="dxa" w:w="50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Pressure loss from friction, Δpr = φ·mf²</w:t>
            </w:r>
          </w:p>
        </w:tc>
        <w:tc>
          <w:tcPr>
            <w:tcW w:type="dxa" w:w="25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Quadratic equality</w:t>
            </w:r>
          </w:p>
        </w:tc>
      </w:tr>
      <w:tr>
        <w:tc>
          <w:tcPr>
            <w:tcW w:type="dxa" w:w="1500"/>
            <w:tcMar>
              <w:top w:type="dxa" w:w="50"/>
              <w:left w:type="dxa" w:w="90"/>
              <w:bottom w:type="dxa" w:w="50"/>
              <w:right w:type="dxa" w:w="90"/>
            </w:tcMar>
          </w:tcPr>
          <w:p>
            <w:pPr>
              <w:spacing w:after="0" w:line="230"/>
            </w:pPr>
            <w:r>
              <w:rPr>
                <w:rFonts w:ascii="Calibri" w:cs="Calibri" w:eastAsia="Calibri" w:hAnsi="Calibri"/>
                <w:sz w:val="18"/>
                <w:szCs w:val="18"/>
              </w:rPr>
              <w:t xml:space="preserve">(3), (4)</w:t>
            </w:r>
          </w:p>
        </w:tc>
        <w:tc>
          <w:tcPr>
            <w:tcW w:type="dxa" w:w="5000"/>
            <w:tcMar>
              <w:top w:type="dxa" w:w="50"/>
              <w:left w:type="dxa" w:w="90"/>
              <w:bottom w:type="dxa" w:w="50"/>
              <w:right w:type="dxa" w:w="90"/>
            </w:tcMar>
          </w:tcPr>
          <w:p>
            <w:pPr>
              <w:spacing w:after="0" w:line="230"/>
            </w:pPr>
            <w:r>
              <w:rPr>
                <w:rFonts w:ascii="Calibri" w:cs="Calibri" w:eastAsia="Calibri" w:hAnsi="Calibri"/>
                <w:sz w:val="18"/>
                <w:szCs w:val="18"/>
              </w:rPr>
              <w:t xml:space="preserve">Pipe inlet temperature equals the upstream nodal temperature</w:t>
            </w:r>
          </w:p>
        </w:tc>
        <w:tc>
          <w:tcPr>
            <w:tcW w:type="dxa" w:w="2520"/>
            <w:tcMar>
              <w:top w:type="dxa" w:w="50"/>
              <w:left w:type="dxa" w:w="90"/>
              <w:bottom w:type="dxa" w:w="50"/>
              <w:right w:type="dxa" w:w="90"/>
            </w:tcMar>
          </w:tcPr>
          <w:p>
            <w:pPr>
              <w:spacing w:after="0" w:line="230"/>
            </w:pPr>
            <w:r>
              <w:rPr>
                <w:rFonts w:ascii="Calibri" w:cs="Calibri" w:eastAsia="Calibri" w:hAnsi="Calibri"/>
                <w:sz w:val="18"/>
                <w:szCs w:val="18"/>
              </w:rPr>
              <w:t xml:space="preserve">Linear</w:t>
            </w:r>
          </w:p>
        </w:tc>
      </w:tr>
      <w:tr>
        <w:tc>
          <w:tcPr>
            <w:tcW w:type="dxa" w:w="1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(5)</w:t>
            </w:r>
          </w:p>
        </w:tc>
        <w:tc>
          <w:tcPr>
            <w:tcW w:type="dxa" w:w="50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Pipe outlet temperature after transport and thermal loss</w:t>
            </w:r>
          </w:p>
        </w:tc>
        <w:tc>
          <w:tcPr>
            <w:tcW w:type="dxa" w:w="25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Linear given the delay</w:t>
            </w:r>
          </w:p>
        </w:tc>
      </w:tr>
      <w:tr>
        <w:tc>
          <w:tcPr>
            <w:tcW w:type="dxa" w:w="1500"/>
            <w:tcMar>
              <w:top w:type="dxa" w:w="50"/>
              <w:left w:type="dxa" w:w="90"/>
              <w:bottom w:type="dxa" w:w="50"/>
              <w:right w:type="dxa" w:w="90"/>
            </w:tcMar>
          </w:tcPr>
          <w:p>
            <w:pPr>
              <w:spacing w:after="0" w:line="230"/>
            </w:pPr>
            <w:r>
              <w:rPr>
                <w:rFonts w:ascii="Calibri" w:cs="Calibri" w:eastAsia="Calibri" w:hAnsi="Calibri"/>
                <w:sz w:val="18"/>
                <w:szCs w:val="18"/>
              </w:rPr>
              <w:t xml:space="preserve">(6)–(13)</w:t>
            </w:r>
          </w:p>
        </w:tc>
        <w:tc>
          <w:tcPr>
            <w:tcW w:type="dxa" w:w="5000"/>
            <w:tcMar>
              <w:top w:type="dxa" w:w="50"/>
              <w:left w:type="dxa" w:w="90"/>
              <w:bottom w:type="dxa" w:w="50"/>
              <w:right w:type="dxa" w:w="90"/>
            </w:tcMar>
          </w:tcPr>
          <w:p>
            <w:pPr>
              <w:spacing w:after="0" w:line="230"/>
            </w:pPr>
            <w:r>
              <w:rPr>
                <w:rFonts w:ascii="Calibri" w:cs="Calibri" w:eastAsia="Calibri" w:hAnsi="Calibri"/>
                <w:sz w:val="18"/>
                <w:szCs w:val="18"/>
              </w:rPr>
              <w:t xml:space="preserve">Travel time as an integer number of steps; pipeline storage</w:t>
            </w:r>
          </w:p>
        </w:tc>
        <w:tc>
          <w:tcPr>
            <w:tcW w:type="dxa" w:w="2520"/>
            <w:tcMar>
              <w:top w:type="dxa" w:w="50"/>
              <w:left w:type="dxa" w:w="90"/>
              <w:bottom w:type="dxa" w:w="50"/>
              <w:right w:type="dxa" w:w="90"/>
            </w:tcMar>
          </w:tcPr>
          <w:p>
            <w:pPr>
              <w:spacing w:after="0" w:line="230"/>
            </w:pPr>
            <w:r>
              <w:rPr>
                <w:rFonts w:ascii="Calibri" w:cs="Calibri" w:eastAsia="Calibri" w:hAnsi="Calibri"/>
                <w:sz w:val="18"/>
                <w:szCs w:val="18"/>
              </w:rPr>
              <w:t xml:space="preserve">Binary, big-M</w:t>
            </w:r>
          </w:p>
        </w:tc>
      </w:tr>
      <w:tr>
        <w:tc>
          <w:tcPr>
            <w:tcW w:type="dxa" w:w="1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(14)</w:t>
            </w:r>
          </w:p>
        </w:tc>
        <w:tc>
          <w:tcPr>
            <w:tcW w:type="dxa" w:w="50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Nodal mass balance, supply and return</w:t>
            </w:r>
          </w:p>
        </w:tc>
        <w:tc>
          <w:tcPr>
            <w:tcW w:type="dxa" w:w="25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Linear</w:t>
            </w:r>
          </w:p>
        </w:tc>
      </w:tr>
      <w:tr>
        <w:tc>
          <w:tcPr>
            <w:tcW w:type="dxa" w:w="1500"/>
            <w:tcMar>
              <w:top w:type="dxa" w:w="50"/>
              <w:left w:type="dxa" w:w="90"/>
              <w:bottom w:type="dxa" w:w="50"/>
              <w:right w:type="dxa" w:w="90"/>
            </w:tcMar>
          </w:tcPr>
          <w:p>
            <w:pPr>
              <w:spacing w:after="0" w:line="230"/>
            </w:pPr>
            <w:r>
              <w:rPr>
                <w:rFonts w:ascii="Calibri" w:cs="Calibri" w:eastAsia="Calibri" w:hAnsi="Calibri"/>
                <w:sz w:val="18"/>
                <w:szCs w:val="18"/>
              </w:rPr>
              <w:t xml:space="preserve">(16), (17)</w:t>
            </w:r>
          </w:p>
        </w:tc>
        <w:tc>
          <w:tcPr>
            <w:tcW w:type="dxa" w:w="5000"/>
            <w:tcMar>
              <w:top w:type="dxa" w:w="50"/>
              <w:left w:type="dxa" w:w="90"/>
              <w:bottom w:type="dxa" w:w="50"/>
              <w:right w:type="dxa" w:w="90"/>
            </w:tcMar>
          </w:tcPr>
          <w:p>
            <w:pPr>
              <w:spacing w:after="0" w:line="230"/>
            </w:pPr>
            <w:r>
              <w:rPr>
                <w:rFonts w:ascii="Calibri" w:cs="Calibri" w:eastAsia="Calibri" w:hAnsi="Calibri"/>
                <w:sz w:val="18"/>
                <w:szCs w:val="18"/>
              </w:rPr>
              <w:t xml:space="preserve">Nodal temperature mixing, flow-weighted</w:t>
            </w:r>
          </w:p>
        </w:tc>
        <w:tc>
          <w:tcPr>
            <w:tcW w:type="dxa" w:w="2520"/>
            <w:tcMar>
              <w:top w:type="dxa" w:w="50"/>
              <w:left w:type="dxa" w:w="90"/>
              <w:bottom w:type="dxa" w:w="50"/>
              <w:right w:type="dxa" w:w="90"/>
            </w:tcMar>
          </w:tcPr>
          <w:p>
            <w:pPr>
              <w:spacing w:after="0" w:line="230"/>
            </w:pPr>
            <w:r>
              <w:rPr>
                <w:rFonts w:ascii="Calibri" w:cs="Calibri" w:eastAsia="Calibri" w:hAnsi="Calibri"/>
                <w:sz w:val="18"/>
                <w:szCs w:val="18"/>
              </w:rPr>
              <w:t xml:space="preserve">Bilinear equality</w:t>
            </w:r>
          </w:p>
        </w:tc>
      </w:tr>
      <w:tr>
        <w:tc>
          <w:tcPr>
            <w:tcW w:type="dxa" w:w="1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(19), (20)</w:t>
            </w:r>
          </w:p>
        </w:tc>
        <w:tc>
          <w:tcPr>
            <w:tcW w:type="dxa" w:w="50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Mixing at a node with a single arriving pipe</w:t>
            </w:r>
          </w:p>
        </w:tc>
        <w:tc>
          <w:tcPr>
            <w:tcW w:type="dxa" w:w="25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Linear (exact)</w:t>
            </w:r>
          </w:p>
        </w:tc>
      </w:tr>
      <w:tr>
        <w:tc>
          <w:tcPr>
            <w:tcW w:type="dxa" w:w="1500"/>
            <w:tcMar>
              <w:top w:type="dxa" w:w="50"/>
              <w:left w:type="dxa" w:w="90"/>
              <w:bottom w:type="dxa" w:w="50"/>
              <w:right w:type="dxa" w:w="90"/>
            </w:tcMar>
          </w:tcPr>
          <w:p>
            <w:pPr>
              <w:spacing w:after="0" w:line="230"/>
            </w:pPr>
            <w:r>
              <w:rPr>
                <w:rFonts w:ascii="Calibri" w:cs="Calibri" w:eastAsia="Calibri" w:hAnsi="Calibri"/>
                <w:sz w:val="18"/>
                <w:szCs w:val="18"/>
              </w:rPr>
              <w:t xml:space="preserve">(21)–(23)</w:t>
            </w:r>
          </w:p>
        </w:tc>
        <w:tc>
          <w:tcPr>
            <w:tcW w:type="dxa" w:w="5000"/>
            <w:tcMar>
              <w:top w:type="dxa" w:w="50"/>
              <w:left w:type="dxa" w:w="90"/>
              <w:bottom w:type="dxa" w:w="50"/>
              <w:right w:type="dxa" w:w="90"/>
            </w:tcMar>
          </w:tcPr>
          <w:p>
            <w:pPr>
              <w:spacing w:after="0" w:line="230"/>
            </w:pPr>
            <w:r>
              <w:rPr>
                <w:rFonts w:ascii="Calibri" w:cs="Calibri" w:eastAsia="Calibri" w:hAnsi="Calibri"/>
                <w:sz w:val="18"/>
                <w:szCs w:val="18"/>
              </w:rPr>
              <w:t xml:space="preserve">Heat delivered at a heat exchanger station, its flow limits and minimum Δpr</w:t>
            </w:r>
          </w:p>
        </w:tc>
        <w:tc>
          <w:tcPr>
            <w:tcW w:type="dxa" w:w="2520"/>
            <w:tcMar>
              <w:top w:type="dxa" w:w="50"/>
              <w:left w:type="dxa" w:w="90"/>
              <w:bottom w:type="dxa" w:w="50"/>
              <w:right w:type="dxa" w:w="90"/>
            </w:tcMar>
          </w:tcPr>
          <w:p>
            <w:pPr>
              <w:spacing w:after="0" w:line="230"/>
            </w:pPr>
            <w:r>
              <w:rPr>
                <w:rFonts w:ascii="Calibri" w:cs="Calibri" w:eastAsia="Calibri" w:hAnsi="Calibri"/>
                <w:sz w:val="18"/>
                <w:szCs w:val="18"/>
              </w:rPr>
              <w:t xml:space="preserve">Bilinear equality</w:t>
            </w:r>
          </w:p>
        </w:tc>
      </w:tr>
      <w:tr>
        <w:tc>
          <w:tcPr>
            <w:tcW w:type="dxa" w:w="1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(24)–(26)</w:t>
            </w:r>
          </w:p>
        </w:tc>
        <w:tc>
          <w:tcPr>
            <w:tcW w:type="dxa" w:w="50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Heat station output Q = c·mf·ΔT, and its limits</w:t>
            </w:r>
          </w:p>
        </w:tc>
        <w:tc>
          <w:tcPr>
            <w:tcW w:type="dxa" w:w="25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Bilinear equality</w:t>
            </w:r>
          </w:p>
        </w:tc>
      </w:tr>
      <w:tr>
        <w:tc>
          <w:tcPr>
            <w:tcW w:type="dxa" w:w="1500"/>
            <w:tcMar>
              <w:top w:type="dxa" w:w="50"/>
              <w:left w:type="dxa" w:w="90"/>
              <w:bottom w:type="dxa" w:w="50"/>
              <w:right w:type="dxa" w:w="90"/>
            </w:tcMar>
          </w:tcPr>
          <w:p>
            <w:pPr>
              <w:spacing w:after="0" w:line="230"/>
            </w:pPr>
            <w:r>
              <w:rPr>
                <w:rFonts w:ascii="Calibri" w:cs="Calibri" w:eastAsia="Calibri" w:hAnsi="Calibri"/>
                <w:sz w:val="18"/>
                <w:szCs w:val="18"/>
              </w:rPr>
              <w:t xml:space="preserve">(27)</w:t>
            </w:r>
          </w:p>
        </w:tc>
        <w:tc>
          <w:tcPr>
            <w:tcW w:type="dxa" w:w="5000"/>
            <w:tcMar>
              <w:top w:type="dxa" w:w="50"/>
              <w:left w:type="dxa" w:w="90"/>
              <w:bottom w:type="dxa" w:w="50"/>
              <w:right w:type="dxa" w:w="90"/>
            </w:tcMar>
          </w:tcPr>
          <w:p>
            <w:pPr>
              <w:spacing w:after="0" w:line="230"/>
            </w:pPr>
            <w:r>
              <w:rPr>
                <w:rFonts w:ascii="Calibri" w:cs="Calibri" w:eastAsia="Calibri" w:hAnsi="Calibri"/>
                <w:sz w:val="18"/>
                <w:szCs w:val="18"/>
              </w:rPr>
              <w:t xml:space="preserve">Water pump power, L = mf·Δpr / (ρ·η)</w:t>
            </w:r>
          </w:p>
        </w:tc>
        <w:tc>
          <w:tcPr>
            <w:tcW w:type="dxa" w:w="2520"/>
            <w:tcMar>
              <w:top w:type="dxa" w:w="50"/>
              <w:left w:type="dxa" w:w="90"/>
              <w:bottom w:type="dxa" w:w="50"/>
              <w:right w:type="dxa" w:w="90"/>
            </w:tcMar>
          </w:tcPr>
          <w:p>
            <w:pPr>
              <w:spacing w:after="0" w:line="230"/>
            </w:pPr>
            <w:r>
              <w:rPr>
                <w:rFonts w:ascii="Calibri" w:cs="Calibri" w:eastAsia="Calibri" w:hAnsi="Calibri"/>
                <w:sz w:val="18"/>
                <w:szCs w:val="18"/>
              </w:rPr>
              <w:t xml:space="preserve">Bilinear equality</w:t>
            </w:r>
          </w:p>
        </w:tc>
      </w:tr>
      <w:tr>
        <w:tc>
          <w:tcPr>
            <w:tcW w:type="dxa" w:w="1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(28)–(30)</w:t>
            </w:r>
          </w:p>
        </w:tc>
        <w:tc>
          <w:tcPr>
            <w:tcW w:type="dxa" w:w="50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Extraction CHP region (P ≥ r·Q, fuel limit); heat pump Q = COP·L</w:t>
            </w:r>
          </w:p>
        </w:tc>
        <w:tc>
          <w:tcPr>
            <w:tcW w:type="dxa" w:w="25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Linear</w:t>
            </w:r>
          </w:p>
        </w:tc>
      </w:tr>
      <w:tr>
        <w:tc>
          <w:tcPr>
            <w:tcW w:type="dxa" w:w="1500"/>
            <w:tcMar>
              <w:top w:type="dxa" w:w="50"/>
              <w:left w:type="dxa" w:w="90"/>
              <w:bottom w:type="dxa" w:w="50"/>
              <w:right w:type="dxa" w:w="90"/>
            </w:tcMar>
          </w:tcPr>
          <w:p>
            <w:pPr>
              <w:spacing w:after="0" w:line="230"/>
            </w:pPr>
            <w:r>
              <w:rPr>
                <w:rFonts w:ascii="Calibri" w:cs="Calibri" w:eastAsia="Calibri" w:hAnsi="Calibri"/>
                <w:sz w:val="18"/>
                <w:szCs w:val="18"/>
              </w:rPr>
              <w:t xml:space="preserve">(31)–(33)</w:t>
            </w:r>
          </w:p>
        </w:tc>
        <w:tc>
          <w:tcPr>
            <w:tcW w:type="dxa" w:w="5000"/>
            <w:tcMar>
              <w:top w:type="dxa" w:w="50"/>
              <w:left w:type="dxa" w:w="90"/>
              <w:bottom w:type="dxa" w:w="50"/>
              <w:right w:type="dxa" w:w="90"/>
            </w:tcMar>
          </w:tcPr>
          <w:p>
            <w:pPr>
              <w:spacing w:after="0" w:line="230"/>
            </w:pPr>
            <w:r>
              <w:rPr>
                <w:rFonts w:ascii="Calibri" w:cs="Calibri" w:eastAsia="Calibri" w:hAnsi="Calibri"/>
                <w:sz w:val="18"/>
                <w:szCs w:val="18"/>
              </w:rPr>
              <w:t xml:space="preserve">Nodal power balance, line flow limits, generator bounds</w:t>
            </w:r>
          </w:p>
        </w:tc>
        <w:tc>
          <w:tcPr>
            <w:tcW w:type="dxa" w:w="2520"/>
            <w:tcMar>
              <w:top w:type="dxa" w:w="50"/>
              <w:left w:type="dxa" w:w="90"/>
              <w:bottom w:type="dxa" w:w="50"/>
              <w:right w:type="dxa" w:w="90"/>
            </w:tcMar>
          </w:tcPr>
          <w:p>
            <w:pPr>
              <w:spacing w:after="0" w:line="230"/>
            </w:pPr>
            <w:r>
              <w:rPr>
                <w:rFonts w:ascii="Calibri" w:cs="Calibri" w:eastAsia="Calibri" w:hAnsi="Calibri"/>
                <w:sz w:val="18"/>
                <w:szCs w:val="18"/>
              </w:rPr>
              <w:t xml:space="preserve">Linear</w:t>
            </w:r>
          </w:p>
        </w:tc>
      </w:tr>
    </w:tbl>
    <w:p>
      <w:pPr>
        <w:spacing w:after="180" w:before="40"/>
      </w:pPr>
      <w:r>
        <w:rPr>
          <w:rFonts w:ascii="Calibri" w:cs="Calibri" w:eastAsia="Calibri" w:hAnsi="Calibri"/>
          <w:i/>
          <w:iCs/>
          <w:color w:val="595959"/>
          <w:sz w:val="17"/>
          <w:szCs w:val="17"/>
        </w:rPr>
        <w:t xml:space="preserve">Table 1. Section II constraints. A per-equation map to the code is given in Appendix B.</w:t>
      </w:r>
    </w:p>
    <w:p>
      <w:pPr>
        <w:pStyle w:val="Heading2"/>
        <w:spacing w:after="120" w:before="240"/>
        <w:outlineLvl w:val="1"/>
      </w:pPr>
      <w:r>
        <w:t xml:space="preserve">Section III-B — the convex relaxation</w:t>
      </w:r>
    </w:p>
    <w:p>
      <w:pPr>
        <w:spacing w:after="110" w:line="264"/>
      </w:pPr>
      <w:r>
        <w:rPr>
          <w:rFonts w:ascii="Calibri" w:cs="Calibri" w:eastAsia="Calibri" w:hAnsi="Calibri"/>
          <w:b/>
          <w:bCs/>
          <w:sz w:val="21"/>
          <w:szCs w:val="21"/>
        </w:rPr>
        <w:t xml:space="preserve">Pressure loss. </w:t>
      </w:r>
      <w:r>
        <w:rPr>
          <w:rFonts w:ascii="Calibri" w:cs="Calibri" w:eastAsia="Calibri" w:hAnsi="Calibri"/>
          <w:sz w:val="21"/>
          <w:szCs w:val="21"/>
        </w:rPr>
        <w:t xml:space="preserve">The quadratic equality (2) is replaced by the convex quadratic inequality (36), relaxing it to the convex side of the surface:</w:t>
      </w:r>
    </w:p>
    <w:p>
      <w:pPr>
        <w:spacing w:after="120" w:before="90"/>
        <w:jc w:val="center"/>
      </w:pPr>
      <w:r>
        <w:rPr>
          <w:rFonts w:ascii="Consolas" w:cs="Consolas" w:eastAsia="Consolas" w:hAnsi="Consolas"/>
          <w:sz w:val="19"/>
          <w:szCs w:val="19"/>
        </w:rPr>
        <w:t xml:space="preserve">φ · mf²   ≤   pr_from − pr_to</w:t>
      </w:r>
    </w:p>
    <w:p>
      <w:pPr>
        <w:spacing w:after="110" w:line="264"/>
      </w:pPr>
      <w:r>
        <w:rPr>
          <w:rFonts w:ascii="Calibri" w:cs="Calibri" w:eastAsia="Calibri" w:hAnsi="Calibri"/>
          <w:b/>
          <w:bCs/>
          <w:sz w:val="21"/>
          <w:szCs w:val="21"/>
        </w:rPr>
        <w:t xml:space="preserve">Bilinear terms. </w:t>
      </w:r>
      <w:r>
        <w:rPr>
          <w:rFonts w:ascii="Calibri" w:cs="Calibri" w:eastAsia="Calibri" w:hAnsi="Calibri"/>
          <w:sz w:val="21"/>
          <w:szCs w:val="21"/>
        </w:rPr>
        <w:t xml:space="preserve">Each product w = x·y over a box [xₗ, xᵤ] × [yₗ, yᵤ] is replaced by its McCormick envelope, the tightest linear relaxation of a bilinear term on a box:</w:t>
      </w:r>
    </w:p>
    <w:p>
      <w:pPr>
        <w:spacing w:after="120" w:before="90"/>
        <w:jc w:val="center"/>
      </w:pPr>
      <w:r>
        <w:rPr>
          <w:rFonts w:ascii="Consolas" w:cs="Consolas" w:eastAsia="Consolas" w:hAnsi="Consolas"/>
          <w:sz w:val="19"/>
          <w:szCs w:val="19"/>
        </w:rPr>
        <w:t xml:space="preserve">w ≥ xₗy + xyₗ − xₗyₗ      w ≥ xᵤy + xyᵤ − xᵤyᵤ</w:t>
      </w:r>
    </w:p>
    <w:p>
      <w:pPr>
        <w:spacing w:after="120" w:before="90"/>
        <w:jc w:val="center"/>
      </w:pPr>
      <w:r>
        <w:rPr>
          <w:rFonts w:ascii="Consolas" w:cs="Consolas" w:eastAsia="Consolas" w:hAnsi="Consolas"/>
          <w:sz w:val="19"/>
          <w:szCs w:val="19"/>
        </w:rPr>
        <w:t xml:space="preserve">w ≤ xᵤy + xyₗ − xᵤyₗ      w ≤ xₗy + xyᵤ − xₗyᵤ</w:t>
      </w:r>
    </w:p>
    <w:p>
      <w:pPr>
        <w:spacing w:after="110" w:line="264"/>
      </w:pPr>
      <w:r>
        <w:rPr>
          <w:rFonts w:ascii="Calibri" w:cs="Calibri" w:eastAsia="Calibri" w:hAnsi="Calibri"/>
          <w:sz w:val="21"/>
          <w:szCs w:val="21"/>
        </w:rPr>
        <w:t xml:space="preserve">Two implementation choices materially improve tightness, since the quality of a McCormick relaxation is set almost entirely by the width of the box:</w:t>
      </w:r>
    </w:p>
    <w:p>
      <w:pPr>
        <w:pStyle w:val="ListParagraph"/>
        <w:numPr>
          <w:ilvl w:val="0"/>
          <w:numId w:val="1"/>
        </w:numPr>
        <w:spacing w:after="70" w:line="264"/>
      </w:pPr>
      <w:r>
        <w:rPr>
          <w:rFonts w:ascii="Calibri" w:cs="Calibri" w:eastAsia="Calibri" w:hAnsi="Calibri"/>
          <w:b/>
          <w:bCs/>
          <w:sz w:val="21"/>
          <w:szCs w:val="21"/>
        </w:rPr>
        <w:t xml:space="preserve">The temperature difference is enveloped as a single variable. </w:t>
      </w:r>
      <w:r>
        <w:rPr>
          <w:rFonts w:ascii="Calibri" w:cs="Calibri" w:eastAsia="Calibri" w:hAnsi="Calibri"/>
          <w:sz w:val="21"/>
          <w:szCs w:val="21"/>
        </w:rPr>
        <w:t xml:space="preserve">For (21) and (24) the envelope is built on ΔT = TS − TR rather than on TS and TR separately — one product instead of two, over a much narrower interval.</w:t>
      </w:r>
    </w:p>
    <w:p>
      <w:pPr>
        <w:pStyle w:val="ListParagraph"/>
        <w:numPr>
          <w:ilvl w:val="0"/>
          <w:numId w:val="1"/>
        </w:numPr>
        <w:spacing w:after="70" w:line="264"/>
      </w:pPr>
      <w:r>
        <w:rPr>
          <w:rFonts w:ascii="Calibri" w:cs="Calibri" w:eastAsia="Calibri" w:hAnsi="Calibri"/>
          <w:b/>
          <w:bCs/>
          <w:sz w:val="21"/>
          <w:szCs w:val="21"/>
        </w:rPr>
        <w:t xml:space="preserve">Exact constraints are not relaxed. </w:t>
      </w:r>
      <w:r>
        <w:rPr>
          <w:rFonts w:ascii="Calibri" w:cs="Calibri" w:eastAsia="Calibri" w:hAnsi="Calibri"/>
          <w:sz w:val="21"/>
          <w:szCs w:val="21"/>
        </w:rPr>
        <w:t xml:space="preserve">Where a node has one arriving pipe, Eqs. (19)/(20) are exact and linear, so the bilinear mixing constraint is dropped rather than relaxed.</w:t>
      </w:r>
    </w:p>
    <w:p>
      <w:pPr>
        <w:spacing w:after="110" w:line="264"/>
      </w:pPr>
      <w:r>
        <w:rPr>
          <w:rFonts w:ascii="Calibri" w:cs="Calibri" w:eastAsia="Calibri" w:hAnsi="Calibri"/>
          <w:sz w:val="21"/>
          <w:szCs w:val="21"/>
        </w:rPr>
        <w:t xml:space="preserve">With the delays off there are no binaries left, so the relaxed model is a convex quadratically constrained program rather than a MISOCP.</w:t>
      </w:r>
    </w:p>
    <w:p>
      <w:pPr>
        <w:pStyle w:val="Heading1"/>
        <w:spacing w:after="120" w:before="240"/>
        <w:outlineLvl w:val="0"/>
      </w:pPr>
      <w:r>
        <w:t xml:space="preserve">Implementation and Challenges</w:t>
      </w:r>
    </w:p>
    <w:p>
      <w:pPr>
        <w:spacing w:after="110" w:line="264"/>
      </w:pPr>
      <w:r>
        <w:rPr>
          <w:rFonts w:ascii="Calibri" w:cs="Calibri" w:eastAsia="Calibri" w:hAnsi="Calibri"/>
          <w:sz w:val="21"/>
          <w:szCs w:val="21"/>
        </w:rPr>
        <w:t xml:space="preserve">The study is a Julia/JuMP project driven by one entry point, </w:t>
      </w:r>
      <w:r>
        <w:rPr>
          <w:rFonts w:ascii="Consolas" w:cs="Consolas" w:eastAsia="Consolas" w:hAnsi="Consolas"/>
          <w:sz w:val="19"/>
          <w:szCs w:val="19"/>
        </w:rPr>
        <w:t xml:space="preserve">src/chpd.jl</w:t>
      </w:r>
      <w:r>
        <w:rPr>
          <w:rFonts w:ascii="Calibri" w:cs="Calibri" w:eastAsia="Calibri" w:hAnsi="Calibri"/>
          <w:sz w:val="21"/>
          <w:szCs w:val="21"/>
        </w:rPr>
        <w:t xml:space="preserve">, with the horizon, start hour and delay switch given as command-line arguments so no file needs editing to change what is solved. Section II is non-convex and is solved with Gurobi's spatial branch and bound (</w:t>
      </w:r>
      <w:r>
        <w:rPr>
          <w:rFonts w:ascii="Consolas" w:cs="Consolas" w:eastAsia="Consolas" w:hAnsi="Consolas"/>
          <w:sz w:val="19"/>
          <w:szCs w:val="19"/>
        </w:rPr>
        <w:t xml:space="preserve">NonConvex=2</w:t>
      </w:r>
      <w:r>
        <w:rPr>
          <w:rFonts w:ascii="Calibri" w:cs="Calibri" w:eastAsia="Calibri" w:hAnsi="Calibri"/>
          <w:sz w:val="21"/>
          <w:szCs w:val="21"/>
        </w:rPr>
        <w:t xml:space="preserve">), which returns a certified global optimum; Section III-B is convex. The code detects whether a licensed Gurobi is present and falls back to Ipopt and HiGHS otherwise, so it runs without a commercial licence.</w:t>
      </w:r>
    </w:p>
    <w:p>
      <w:pPr>
        <w:pStyle w:val="Heading2"/>
        <w:spacing w:after="120" w:before="240"/>
        <w:outlineLvl w:val="1"/>
      </w:pPr>
      <w:r>
        <w:t xml:space="preserve">Ambiguities in the paper</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700"/>
        <w:gridCol w:w="6320"/>
      </w:tblGrid>
      <w:tr>
        <w:trPr>
          <w:tblHeader/>
        </w:trPr>
        <w:tc>
          <w:tcPr>
            <w:tcW w:type="dxa" w:w="27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Issue</w:t>
            </w:r>
          </w:p>
        </w:tc>
        <w:tc>
          <w:tcPr>
            <w:tcW w:type="dxa" w:w="632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Interpretation adopted</w:t>
            </w:r>
          </w:p>
        </w:tc>
      </w:tr>
      <w:tr>
        <w:tc>
          <w:tcPr>
            <w:tcW w:type="dxa" w:w="2700"/>
            <w:tcMar>
              <w:top w:type="dxa" w:w="50"/>
              <w:left w:type="dxa" w:w="90"/>
              <w:bottom w:type="dxa" w:w="50"/>
              <w:right w:type="dxa" w:w="90"/>
            </w:tcMar>
          </w:tcPr>
          <w:p>
            <w:pPr>
              <w:spacing w:after="0" w:line="230"/>
            </w:pPr>
            <w:r>
              <w:rPr>
                <w:rFonts w:ascii="Calibri" w:cs="Calibri" w:eastAsia="Calibri" w:hAnsi="Calibri"/>
                <w:sz w:val="18"/>
                <w:szCs w:val="18"/>
              </w:rPr>
              <w:t xml:space="preserve">Eqs. (29), (34): η called an efficiency but multiplying an output</w:t>
            </w:r>
          </w:p>
        </w:tc>
        <w:tc>
          <w:tcPr>
            <w:tcW w:type="dxa" w:w="6320"/>
            <w:tcMar>
              <w:top w:type="dxa" w:w="50"/>
              <w:left w:type="dxa" w:w="90"/>
              <w:bottom w:type="dxa" w:w="50"/>
              <w:right w:type="dxa" w:w="90"/>
            </w:tcMar>
          </w:tcPr>
          <w:p>
            <w:pPr>
              <w:spacing w:after="0" w:line="230"/>
            </w:pPr>
            <w:r>
              <w:rPr>
                <w:rFonts w:ascii="Calibri" w:cs="Calibri" w:eastAsia="Calibri" w:hAnsi="Calibri"/>
                <w:sz w:val="18"/>
                <w:szCs w:val="18"/>
              </w:rPr>
              <w:t xml:space="preserve">Read literally as an efficiency the expression is dimensionally inconsistent. Implemented as fuel per unit of output, i.e. 1/η.</w:t>
            </w:r>
          </w:p>
        </w:tc>
      </w:tr>
      <w:tr>
        <w:tc>
          <w:tcPr>
            <w:tcW w:type="dxa" w:w="27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 (14) in the return network</w:t>
            </w:r>
          </w:p>
        </w:tc>
        <w:tc>
          <w:tcPr>
            <w:tcW w:type="dxa" w:w="63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A return pipe runs opposite its supply pipe, so the return balance is the mirror image. The only reading that conserves mass.</w:t>
            </w:r>
          </w:p>
        </w:tc>
      </w:tr>
      <w:tr>
        <w:tc>
          <w:tcPr>
            <w:tcW w:type="dxa" w:w="2700"/>
            <w:tcMar>
              <w:top w:type="dxa" w:w="50"/>
              <w:left w:type="dxa" w:w="90"/>
              <w:bottom w:type="dxa" w:w="50"/>
              <w:right w:type="dxa" w:w="90"/>
            </w:tcMar>
          </w:tcPr>
          <w:p>
            <w:pPr>
              <w:spacing w:after="0" w:line="230"/>
            </w:pPr>
            <w:r>
              <w:rPr>
                <w:rFonts w:ascii="Calibri" w:cs="Calibri" w:eastAsia="Calibri" w:hAnsi="Calibri"/>
                <w:sz w:val="18"/>
                <w:szCs w:val="18"/>
              </w:rPr>
              <w:t xml:space="preserve">Wind cost, angle reference</w:t>
            </w:r>
          </w:p>
        </w:tc>
        <w:tc>
          <w:tcPr>
            <w:tcW w:type="dxa" w:w="6320"/>
            <w:tcMar>
              <w:top w:type="dxa" w:w="50"/>
              <w:left w:type="dxa" w:w="90"/>
              <w:bottom w:type="dxa" w:w="50"/>
              <w:right w:type="dxa" w:w="90"/>
            </w:tcMar>
          </w:tcPr>
          <w:p>
            <w:pPr>
              <w:spacing w:after="0" w:line="230"/>
            </w:pPr>
            <w:r>
              <w:rPr>
                <w:rFonts w:ascii="Calibri" w:cs="Calibri" w:eastAsia="Calibri" w:hAnsi="Calibri"/>
                <w:sz w:val="18"/>
                <w:szCs w:val="18"/>
              </w:rPr>
              <w:t xml:space="preserve">Neither is given. Wind is priced at near zero with an hourly availability cap; bus 1 is the reference.</w:t>
            </w:r>
          </w:p>
        </w:tc>
      </w:tr>
      <w:tr>
        <w:tc>
          <w:tcPr>
            <w:tcW w:type="dxa" w:w="27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One step implies zero delay</w:t>
            </w:r>
          </w:p>
        </w:tc>
        <w:tc>
          <w:tcPr>
            <w:tcW w:type="dxa" w:w="63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 (6) only returns zero if a full pipe volume clears within one step, so the consistency bound mf·Δt ≥ ρπR²L is imposed whenever delays are off.</w:t>
            </w:r>
          </w:p>
        </w:tc>
      </w:tr>
    </w:tbl>
    <w:p>
      <w:pPr>
        <w:spacing w:after="180" w:before="40"/>
      </w:pPr>
      <w:r>
        <w:rPr>
          <w:rFonts w:ascii="Calibri" w:cs="Calibri" w:eastAsia="Calibri" w:hAnsi="Calibri"/>
          <w:i/>
          <w:iCs/>
          <w:color w:val="595959"/>
          <w:sz w:val="17"/>
          <w:szCs w:val="17"/>
        </w:rPr>
        <w:t xml:space="preserve">Table 2. Where the paper is silent or ambiguous, and what was decided.</w:t>
      </w:r>
    </w:p>
    <w:p>
      <w:pPr>
        <w:spacing w:after="110" w:line="264"/>
      </w:pPr>
      <w:r>
        <w:rPr>
          <w:rFonts w:ascii="Calibri" w:cs="Calibri" w:eastAsia="Calibri" w:hAnsi="Calibri"/>
          <w:sz w:val="21"/>
          <w:szCs w:val="21"/>
        </w:rPr>
        <w:t xml:space="preserve">The first of these is the one that would normally be settled with the lecturer or TA before relying on it. The nomenclature calls ρE and ρH fuel efficiencies, but they appear multiplying outputs and being compared against a fuel limit, which only balances dimensionally if they are the reciprocals. Reading them as stated would change the CHP's fuel constraint and its cost by a factor of ρ², so the choice is not cosmetic. It is adopted here because it is the only dimensionally coherent reading and because the resulting CED reproduces the paper's published cost exactly, but it remains an assumption that ought to be confirmed rather than inferred.</w:t>
      </w:r>
    </w:p>
    <w:p>
      <w:pPr>
        <w:pStyle w:val="Heading2"/>
        <w:spacing w:after="120" w:before="240"/>
        <w:outlineLvl w:val="1"/>
      </w:pPr>
      <w:r>
        <w:t xml:space="preserve">Challenges</w:t>
      </w:r>
    </w:p>
    <w:p>
      <w:pPr>
        <w:spacing w:after="110" w:line="264"/>
      </w:pPr>
      <w:r>
        <w:rPr>
          <w:rFonts w:ascii="Calibri" w:cs="Calibri" w:eastAsia="Calibri" w:hAnsi="Calibri"/>
          <w:b/>
          <w:bCs/>
          <w:sz w:val="21"/>
          <w:szCs w:val="21"/>
        </w:rPr>
        <w:t xml:space="preserve">The relaxation was initially very loose, and the bound width was the whole story. </w:t>
      </w:r>
      <w:r>
        <w:rPr>
          <w:rFonts w:ascii="Calibri" w:cs="Calibri" w:eastAsia="Calibri" w:hAnsi="Calibri"/>
          <w:sz w:val="21"/>
          <w:szCs w:val="21"/>
        </w:rPr>
        <w:t xml:space="preserve">On an earlier case study reconstructed from the paper's figures, the first relaxed run came back 50 % below the original. Nothing was wrong with the formulation: the flow bounds were equipment nameplates while the actual flows sat in a narrow band. For w = x·y on a box the McCormick hull can sit (xᵤ−xₗ)(yᵤ−yₗ)/4 from the true surface — 83 MW of slack on a 98 MW load, enough to serve it without moving any water. Replacing those with bounds implied by the model's own constraints (a station moving heat X across a ΔT confined by (18) must run a flow between X/(c·ΔTᵤ) and X/(c·ΔTₗ)) closed it to 23.2 %, and on the authors' data it is under 1 %.</w:t>
      </w:r>
    </w:p>
    <w:p>
      <w:pPr>
        <w:spacing w:after="110" w:line="264"/>
      </w:pPr>
      <w:r>
        <w:rPr>
          <w:rFonts w:ascii="Calibri" w:cs="Calibri" w:eastAsia="Calibri" w:hAnsi="Calibri"/>
          <w:b/>
          <w:bCs/>
          <w:sz w:val="21"/>
          <w:szCs w:val="21"/>
        </w:rPr>
        <w:t xml:space="preserve">Two real bugs were exposed by switching to the authors' data. </w:t>
      </w:r>
      <w:r>
        <w:rPr>
          <w:rFonts w:ascii="Calibri" w:cs="Calibri" w:eastAsia="Calibri" w:hAnsi="Calibri"/>
          <w:sz w:val="21"/>
          <w:szCs w:val="21"/>
        </w:rPr>
        <w:t xml:space="preserve">The thermal loss bracket in Eq. (5) is multiplied by the delay τ, so at τ = 0 it equals one and a pipe crossed within one step loses nothing; the code was charging a full step of loss. On the reconstruction this merely inflated losses, but on the authors' data it made the model </w:t>
      </w:r>
      <w:r>
        <w:rPr>
          <w:rFonts w:ascii="Calibri" w:cs="Calibri" w:eastAsia="Calibri" w:hAnsi="Calibri"/>
          <w:i/>
          <w:iCs/>
          <w:sz w:val="21"/>
          <w:szCs w:val="21"/>
        </w:rPr>
        <w:t xml:space="preserve">infeasible</w:t>
      </w:r>
      <w:r>
        <w:rPr>
          <w:rFonts w:ascii="Calibri" w:cs="Calibri" w:eastAsia="Calibri" w:hAnsi="Calibri"/>
          <w:sz w:val="21"/>
          <w:szCs w:val="21"/>
        </w:rPr>
        <w:t xml:space="preserve"> — their pipes lose 4.27 % of absolute temperature per step, so two in series drop a 393.15 K supply below the 363.15 K floor of Eq. (18) — and that infeasibility is what exposed it. The second was the missing zero-delay consistency bound in Table 2.</w:t>
      </w:r>
    </w:p>
    <w:p>
      <w:pPr>
        <w:spacing w:after="110" w:line="264"/>
      </w:pPr>
      <w:r>
        <w:rPr>
          <w:rFonts w:ascii="Calibri" w:cs="Calibri" w:eastAsia="Calibri" w:hAnsi="Calibri"/>
          <w:b/>
          <w:bCs/>
          <w:sz w:val="21"/>
          <w:szCs w:val="21"/>
        </w:rPr>
        <w:t xml:space="preserve">Solver licensing turned into a cross-check. </w:t>
      </w:r>
      <w:r>
        <w:rPr>
          <w:rFonts w:ascii="Calibri" w:cs="Calibri" w:eastAsia="Calibri" w:hAnsi="Calibri"/>
          <w:sz w:val="21"/>
          <w:szCs w:val="21"/>
        </w:rPr>
        <w:t xml:space="preserve">Gurobi was initially unlicensed, so early work ran on Ipopt, which finds a </w:t>
      </w:r>
      <w:r>
        <w:rPr>
          <w:rFonts w:ascii="Calibri" w:cs="Calibri" w:eastAsia="Calibri" w:hAnsi="Calibri"/>
          <w:i/>
          <w:iCs/>
          <w:sz w:val="21"/>
          <w:szCs w:val="21"/>
        </w:rPr>
        <w:t xml:space="preserve">local</w:t>
      </w:r>
      <w:r>
        <w:rPr>
          <w:rFonts w:ascii="Calibri" w:cs="Calibri" w:eastAsia="Calibri" w:hAnsi="Calibri"/>
          <w:sz w:val="21"/>
          <w:szCs w:val="21"/>
        </w:rPr>
        <w:t xml:space="preserve"> solution of the non-convex Section II where Gurobi returns a certified </w:t>
      </w:r>
      <w:r>
        <w:rPr>
          <w:rFonts w:ascii="Calibri" w:cs="Calibri" w:eastAsia="Calibri" w:hAnsi="Calibri"/>
          <w:i/>
          <w:iCs/>
          <w:sz w:val="21"/>
          <w:szCs w:val="21"/>
        </w:rPr>
        <w:t xml:space="preserve">global</w:t>
      </w:r>
      <w:r>
        <w:rPr>
          <w:rFonts w:ascii="Calibri" w:cs="Calibri" w:eastAsia="Calibri" w:hAnsi="Calibri"/>
          <w:sz w:val="21"/>
          <w:szCs w:val="21"/>
        </w:rPr>
        <w:t xml:space="preserve"> one. Both agreed to six significant figures, which is evidence that this case has no stray local optima.</w:t>
      </w:r>
    </w:p>
    <w:p>
      <w:pPr>
        <w:pStyle w:val="Heading2"/>
        <w:spacing w:after="120" w:before="240"/>
        <w:outlineLvl w:val="1"/>
      </w:pPr>
      <w:r>
        <w:t xml:space="preserve">Validation strategy</w:t>
      </w:r>
    </w:p>
    <w:p>
      <w:pPr>
        <w:spacing w:after="110" w:line="264"/>
      </w:pPr>
      <w:r>
        <w:rPr>
          <w:rFonts w:ascii="Calibri" w:cs="Calibri" w:eastAsia="Calibri" w:hAnsi="Calibri"/>
          <w:sz w:val="21"/>
          <w:szCs w:val="21"/>
        </w:rPr>
        <w:t xml:space="preserve">Correctness is not asserted from an objective value. Four checks are applied: 15 unit tests, including one that the McCormick helper reproduces a known product exactly at the corners of its box and brackets it inside; a two-node network whose optimal dispatch is derived by hand and matched to 1e-4; physical checks on the solution (mass, heat and power balance, CHP region, heat pump conversion); and confirmation that the relaxation bounds the original from below.</w:t>
      </w:r>
    </w:p>
    <w:p>
      <w:pPr>
        <w:spacing w:after="110" w:line="264"/>
      </w:pPr>
      <w:r>
        <w:rPr>
          <w:rFonts w:ascii="Calibri" w:cs="Calibri" w:eastAsia="Calibri" w:hAnsi="Calibri"/>
          <w:sz w:val="21"/>
          <w:szCs w:val="21"/>
        </w:rPr>
        <w:t xml:space="preserve">The hand-derived test earned its place. Its first version assumed the return temperature at the load would sit on its own lower bound, and it failed. The model was right — the water arrives already cooled, so the bound at the far end of the pipe binds first. The derivation was corrected, not the code.</w:t>
      </w:r>
    </w:p>
    <w:p>
      <w:pPr>
        <w:pStyle w:val="Heading1"/>
        <w:spacing w:after="120" w:before="240"/>
        <w:outlineLvl w:val="0"/>
      </w:pPr>
      <w:r>
        <w:t xml:space="preserve">Results</w:t>
      </w:r>
    </w:p>
    <w:p>
      <w:pPr>
        <w:spacing w:after="110" w:line="264"/>
      </w:pPr>
      <w:r>
        <w:rPr>
          <w:rFonts w:ascii="Calibri" w:cs="Calibri" w:eastAsia="Calibri" w:hAnsi="Calibri"/>
          <w:sz w:val="21"/>
          <w:szCs w:val="21"/>
        </w:rPr>
        <w:t xml:space="preserve">All results use the authors' own data, from their online appendix (doi:10.5281/zenodo.1195508) and reference implementation. The system is a 6-bus network whose first three buses are also the DHN nodes, arranged as a line: node 1 (heat pump HP1, wind W1) → node 2 (CHP1, generator G2) → node 3 (the heat load HES1). Parameters are in Appendix A. Because every node has at most one arriving pipe, Eqs. (19)/(20) apply throughout and the mixing equations (16)/(17) are never active — their envelopes are implemented and correct but have nothing to relax here, which the measured mixing residuals of exactly zero confirm. Only (21), (24) and (27) are actually relaxed.</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3200"/>
        <w:gridCol w:w="3220"/>
      </w:tblGrid>
      <w:tr>
        <w:trPr>
          <w:tblHeader/>
        </w:trPr>
        <w:tc>
          <w:tcPr>
            <w:tcW w:type="dxa" w:w="26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
            </w:r>
          </w:p>
        </w:tc>
        <w:tc>
          <w:tcPr>
            <w:tcW w:type="dxa" w:w="32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Hour 1 — wind-rich</w:t>
            </w:r>
          </w:p>
        </w:tc>
        <w:tc>
          <w:tcPr>
            <w:tcW w:type="dxa" w:w="322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Hour 20 — wind-scarce</w:t>
            </w:r>
          </w:p>
        </w:tc>
      </w:tr>
      <w:tr>
        <w:tc>
          <w:tcPr>
            <w:tcW w:type="dxa" w:w="2600"/>
            <w:tcMar>
              <w:top w:type="dxa" w:w="50"/>
              <w:left w:type="dxa" w:w="90"/>
              <w:bottom w:type="dxa" w:w="50"/>
              <w:right w:type="dxa" w:w="90"/>
            </w:tcMar>
          </w:tcPr>
          <w:p>
            <w:pPr>
              <w:spacing w:after="0" w:line="230"/>
            </w:pPr>
            <w:r>
              <w:rPr>
                <w:rFonts w:ascii="Calibri" w:cs="Calibri" w:eastAsia="Calibri" w:hAnsi="Calibri"/>
                <w:sz w:val="18"/>
                <w:szCs w:val="18"/>
              </w:rPr>
              <w:t xml:space="preserve">Electricity load</w:t>
            </w:r>
          </w:p>
        </w:tc>
        <w:tc>
          <w:tcPr>
            <w:tcW w:type="dxa" w:w="3200"/>
            <w:tcMar>
              <w:top w:type="dxa" w:w="50"/>
              <w:left w:type="dxa" w:w="90"/>
              <w:bottom w:type="dxa" w:w="50"/>
              <w:right w:type="dxa" w:w="90"/>
            </w:tcMar>
          </w:tcPr>
          <w:p>
            <w:pPr>
              <w:spacing w:after="0" w:line="230"/>
            </w:pPr>
            <w:r>
              <w:rPr>
                <w:rFonts w:ascii="Calibri" w:cs="Calibri" w:eastAsia="Calibri" w:hAnsi="Calibri"/>
                <w:sz w:val="18"/>
                <w:szCs w:val="18"/>
              </w:rPr>
              <w:t xml:space="preserve">205 MW</w:t>
            </w:r>
          </w:p>
        </w:tc>
        <w:tc>
          <w:tcPr>
            <w:tcW w:type="dxa" w:w="3220"/>
            <w:tcMar>
              <w:top w:type="dxa" w:w="50"/>
              <w:left w:type="dxa" w:w="90"/>
              <w:bottom w:type="dxa" w:w="50"/>
              <w:right w:type="dxa" w:w="90"/>
            </w:tcMar>
          </w:tcPr>
          <w:p>
            <w:pPr>
              <w:spacing w:after="0" w:line="230"/>
            </w:pPr>
            <w:r>
              <w:rPr>
                <w:rFonts w:ascii="Calibri" w:cs="Calibri" w:eastAsia="Calibri" w:hAnsi="Calibri"/>
                <w:sz w:val="18"/>
                <w:szCs w:val="18"/>
              </w:rPr>
              <w:t xml:space="preserve">275 MW</w:t>
            </w:r>
          </w:p>
        </w:tc>
      </w:tr>
      <w:tr>
        <w:tc>
          <w:tcPr>
            <w:tcW w:type="dxa" w:w="26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Wind availability</w:t>
            </w:r>
          </w:p>
        </w:tc>
        <w:tc>
          <w:tcPr>
            <w:tcW w:type="dxa" w:w="32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0.499 (≈ 250 MW)</w:t>
            </w:r>
          </w:p>
        </w:tc>
        <w:tc>
          <w:tcPr>
            <w:tcW w:type="dxa" w:w="32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0.060 (≈ 30 MW)</w:t>
            </w:r>
          </w:p>
        </w:tc>
      </w:tr>
      <w:tr>
        <w:tc>
          <w:tcPr>
            <w:tcW w:type="dxa" w:w="2600"/>
            <w:tcMar>
              <w:top w:type="dxa" w:w="50"/>
              <w:left w:type="dxa" w:w="90"/>
              <w:bottom w:type="dxa" w:w="50"/>
              <w:right w:type="dxa" w:w="90"/>
            </w:tcMar>
          </w:tcPr>
          <w:p>
            <w:pPr>
              <w:spacing w:after="0" w:line="230"/>
            </w:pPr>
            <w:r>
              <w:rPr>
                <w:rFonts w:ascii="Calibri" w:cs="Calibri" w:eastAsia="Calibri" w:hAnsi="Calibri"/>
                <w:sz w:val="18"/>
                <w:szCs w:val="18"/>
              </w:rPr>
              <w:t xml:space="preserve">Heat load</w:t>
            </w:r>
          </w:p>
        </w:tc>
        <w:tc>
          <w:tcPr>
            <w:tcW w:type="dxa" w:w="3200"/>
            <w:tcMar>
              <w:top w:type="dxa" w:w="50"/>
              <w:left w:type="dxa" w:w="90"/>
              <w:bottom w:type="dxa" w:w="50"/>
              <w:right w:type="dxa" w:w="90"/>
            </w:tcMar>
          </w:tcPr>
          <w:p>
            <w:pPr>
              <w:spacing w:after="0" w:line="230"/>
            </w:pPr>
            <w:r>
              <w:rPr>
                <w:rFonts w:ascii="Calibri" w:cs="Calibri" w:eastAsia="Calibri" w:hAnsi="Calibri"/>
                <w:sz w:val="18"/>
                <w:szCs w:val="18"/>
              </w:rPr>
              <w:t xml:space="preserve">78.01 MW</w:t>
            </w:r>
          </w:p>
        </w:tc>
        <w:tc>
          <w:tcPr>
            <w:tcW w:type="dxa" w:w="3220"/>
            <w:tcMar>
              <w:top w:type="dxa" w:w="50"/>
              <w:left w:type="dxa" w:w="90"/>
              <w:bottom w:type="dxa" w:w="50"/>
              <w:right w:type="dxa" w:w="90"/>
            </w:tcMar>
          </w:tcPr>
          <w:p>
            <w:pPr>
              <w:spacing w:after="0" w:line="230"/>
            </w:pPr>
            <w:r>
              <w:rPr>
                <w:rFonts w:ascii="Calibri" w:cs="Calibri" w:eastAsia="Calibri" w:hAnsi="Calibri"/>
                <w:sz w:val="18"/>
                <w:szCs w:val="18"/>
              </w:rPr>
              <w:t xml:space="preserve">110.99 MW</w:t>
            </w:r>
          </w:p>
        </w:tc>
      </w:tr>
      <w:tr>
        <w:tc>
          <w:tcPr>
            <w:tcW w:type="dxa" w:w="26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Section II (original)</w:t>
            </w:r>
          </w:p>
        </w:tc>
        <w:tc>
          <w:tcPr>
            <w:tcW w:type="dxa" w:w="32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0.024 $</w:t>
            </w:r>
          </w:p>
        </w:tc>
        <w:tc>
          <w:tcPr>
            <w:tcW w:type="dxa" w:w="32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5223.62 $</w:t>
            </w:r>
          </w:p>
        </w:tc>
      </w:tr>
      <w:tr>
        <w:tc>
          <w:tcPr>
            <w:tcW w:type="dxa" w:w="2600"/>
            <w:tcMar>
              <w:top w:type="dxa" w:w="50"/>
              <w:left w:type="dxa" w:w="90"/>
              <w:bottom w:type="dxa" w:w="50"/>
              <w:right w:type="dxa" w:w="90"/>
            </w:tcMar>
          </w:tcPr>
          <w:p>
            <w:pPr>
              <w:spacing w:after="0" w:line="230"/>
            </w:pPr>
            <w:r>
              <w:rPr>
                <w:rFonts w:ascii="Calibri" w:cs="Calibri" w:eastAsia="Calibri" w:hAnsi="Calibri"/>
                <w:sz w:val="18"/>
                <w:szCs w:val="18"/>
              </w:rPr>
              <w:t xml:space="preserve">Section III-B (relaxed)</w:t>
            </w:r>
          </w:p>
        </w:tc>
        <w:tc>
          <w:tcPr>
            <w:tcW w:type="dxa" w:w="3200"/>
            <w:tcMar>
              <w:top w:type="dxa" w:w="50"/>
              <w:left w:type="dxa" w:w="90"/>
              <w:bottom w:type="dxa" w:w="50"/>
              <w:right w:type="dxa" w:w="90"/>
            </w:tcMar>
          </w:tcPr>
          <w:p>
            <w:pPr>
              <w:spacing w:after="0" w:line="230"/>
            </w:pPr>
            <w:r>
              <w:rPr>
                <w:rFonts w:ascii="Calibri" w:cs="Calibri" w:eastAsia="Calibri" w:hAnsi="Calibri"/>
                <w:sz w:val="18"/>
                <w:szCs w:val="18"/>
              </w:rPr>
              <w:t xml:space="preserve">0.023 $</w:t>
            </w:r>
          </w:p>
        </w:tc>
        <w:tc>
          <w:tcPr>
            <w:tcW w:type="dxa" w:w="3220"/>
            <w:tcMar>
              <w:top w:type="dxa" w:w="50"/>
              <w:left w:type="dxa" w:w="90"/>
              <w:bottom w:type="dxa" w:w="50"/>
              <w:right w:type="dxa" w:w="90"/>
            </w:tcMar>
          </w:tcPr>
          <w:p>
            <w:pPr>
              <w:spacing w:after="0" w:line="230"/>
            </w:pPr>
            <w:r>
              <w:rPr>
                <w:rFonts w:ascii="Calibri" w:cs="Calibri" w:eastAsia="Calibri" w:hAnsi="Calibri"/>
                <w:sz w:val="18"/>
                <w:szCs w:val="18"/>
              </w:rPr>
              <w:t xml:space="preserve">5208.64 $</w:t>
            </w:r>
          </w:p>
        </w:tc>
      </w:tr>
      <w:tr>
        <w:tc>
          <w:tcPr>
            <w:tcW w:type="dxa" w:w="26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Relaxation gap</w:t>
            </w:r>
          </w:p>
        </w:tc>
        <w:tc>
          <w:tcPr>
            <w:tcW w:type="dxa" w:w="32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0.89 %</w:t>
            </w:r>
          </w:p>
        </w:tc>
        <w:tc>
          <w:tcPr>
            <w:tcW w:type="dxa" w:w="32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0.29 %</w:t>
            </w:r>
          </w:p>
        </w:tc>
      </w:tr>
      <w:tr>
        <w:tc>
          <w:tcPr>
            <w:tcW w:type="dxa" w:w="2600"/>
            <w:tcMar>
              <w:top w:type="dxa" w:w="50"/>
              <w:left w:type="dxa" w:w="90"/>
              <w:bottom w:type="dxa" w:w="50"/>
              <w:right w:type="dxa" w:w="90"/>
            </w:tcMar>
          </w:tcPr>
          <w:p>
            <w:pPr>
              <w:spacing w:after="0" w:line="230"/>
            </w:pPr>
            <w:r>
              <w:rPr>
                <w:rFonts w:ascii="Calibri" w:cs="Calibri" w:eastAsia="Calibri" w:hAnsi="Calibri"/>
                <w:sz w:val="18"/>
                <w:szCs w:val="18"/>
              </w:rPr>
              <w:t xml:space="preserve">Valid lower bound</w:t>
            </w:r>
          </w:p>
        </w:tc>
        <w:tc>
          <w:tcPr>
            <w:tcW w:type="dxa" w:w="3200"/>
            <w:tcMar>
              <w:top w:type="dxa" w:w="50"/>
              <w:left w:type="dxa" w:w="90"/>
              <w:bottom w:type="dxa" w:w="50"/>
              <w:right w:type="dxa" w:w="90"/>
            </w:tcMar>
          </w:tcPr>
          <w:p>
            <w:pPr>
              <w:spacing w:after="0" w:line="230"/>
            </w:pPr>
            <w:r>
              <w:rPr>
                <w:rFonts w:ascii="Calibri" w:cs="Calibri" w:eastAsia="Calibri" w:hAnsi="Calibri"/>
                <w:sz w:val="18"/>
                <w:szCs w:val="18"/>
              </w:rPr>
              <w:t xml:space="preserve">yes</w:t>
            </w:r>
          </w:p>
        </w:tc>
        <w:tc>
          <w:tcPr>
            <w:tcW w:type="dxa" w:w="3220"/>
            <w:tcMar>
              <w:top w:type="dxa" w:w="50"/>
              <w:left w:type="dxa" w:w="90"/>
              <w:bottom w:type="dxa" w:w="50"/>
              <w:right w:type="dxa" w:w="90"/>
            </w:tcMar>
          </w:tcPr>
          <w:p>
            <w:pPr>
              <w:spacing w:after="0" w:line="230"/>
            </w:pPr>
            <w:r>
              <w:rPr>
                <w:rFonts w:ascii="Calibri" w:cs="Calibri" w:eastAsia="Calibri" w:hAnsi="Calibri"/>
                <w:sz w:val="18"/>
                <w:szCs w:val="18"/>
              </w:rPr>
              <w:t xml:space="preserve">yes</w:t>
            </w:r>
          </w:p>
        </w:tc>
      </w:tr>
    </w:tbl>
    <w:p>
      <w:pPr>
        <w:spacing w:after="180" w:before="40"/>
      </w:pPr>
      <w:r>
        <w:rPr>
          <w:rFonts w:ascii="Calibri" w:cs="Calibri" w:eastAsia="Calibri" w:hAnsi="Calibri"/>
          <w:i/>
          <w:iCs/>
          <w:color w:val="595959"/>
          <w:sz w:val="17"/>
          <w:szCs w:val="17"/>
        </w:rPr>
        <w:t xml:space="preserve">Table 3. Single-step results. Both models solve to optimality at both hours.</w:t>
      </w:r>
    </w:p>
    <w:p>
      <w:pPr>
        <w:spacing w:after="110" w:line="264"/>
      </w:pPr>
      <w:r>
        <w:rPr>
          <w:rFonts w:ascii="Calibri" w:cs="Calibri" w:eastAsia="Calibri" w:hAnsi="Calibri"/>
          <w:sz w:val="21"/>
          <w:szCs w:val="21"/>
        </w:rPr>
        <w:t xml:space="preserve">Hour 1 is degenerate and is reported as a validation case only: near-free wind covers all electricity demand, CHP1 sits at P = Q = 0, and the total cost is two cents, so its cost comparisons carry no economic meaning. Hour 20 is the informative one. Wind collapses while the heat load peaks, so every cheap resource is exhausted — all available wind is taken, G1 runs at its 180 MW cap, and CHP1 is driven to its fuel limit at exactly 250.0 of 250.0 MW — leaving the expensive G2 to cover the remaining 3.59 MW (Figure 1). The dispatch closes: 316.87 MW generated against 275 MW of load plus 41.32 MW of heat pump and 0.54 MW of water pump demand.</w:t>
      </w:r>
    </w:p>
    <w:p>
      <w:pPr>
        <w:spacing w:after="60" w:before="120"/>
        <w:jc w:val="center"/>
      </w:pPr>
      <w:r>
        <w:drawing>
          <wp:inline distT="0" distB="0" distL="0" distR="0">
            <wp:extent cx="45720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1924050"/>
                    </a:xfrm>
                    <a:prstGeom prst="rect">
                      <a:avLst/>
                    </a:prstGeom>
                  </pic:spPr>
                </pic:pic>
              </a:graphicData>
            </a:graphic>
          </wp:inline>
        </w:drawing>
      </w:r>
    </w:p>
    <w:p>
      <w:pPr>
        <w:spacing w:after="180" w:before="40"/>
      </w:pPr>
      <w:r>
        <w:rPr>
          <w:rFonts w:ascii="Calibri" w:cs="Calibri" w:eastAsia="Calibri" w:hAnsi="Calibri"/>
          <w:i/>
          <w:iCs/>
          <w:color w:val="595959"/>
          <w:sz w:val="17"/>
          <w:szCs w:val="17"/>
        </w:rPr>
        <w:t xml:space="preserve">Figure 1. Section II dispatch at hour 20. The 110.99 MW heat load is met by the heat pump (103.31 MW) with the CHP topping up (7.68 MW). On the electricity side G1 is at its 180 MW cap, all 29.91 MW of available wind is taken, the CHP supplies 103.37 MW at its fuel limit, and the expensive G2 is dispatched for only 3.59 MW.</w:t>
      </w:r>
    </w:p>
    <w:p>
      <w:pPr>
        <w:pStyle w:val="Heading2"/>
        <w:spacing w:after="120" w:before="240"/>
        <w:outlineLvl w:val="1"/>
      </w:pPr>
      <w:r>
        <w:t xml:space="preserve">Physical validity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400"/>
        <w:gridCol w:w="2700"/>
        <w:gridCol w:w="2920"/>
      </w:tblGrid>
      <w:tr>
        <w:trPr>
          <w:tblHeader/>
        </w:trPr>
        <w:tc>
          <w:tcPr>
            <w:tcW w:type="dxa" w:w="34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Check</w:t>
            </w:r>
          </w:p>
        </w:tc>
        <w:tc>
          <w:tcPr>
            <w:tcW w:type="dxa" w:w="27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Hour 1</w:t>
            </w:r>
          </w:p>
        </w:tc>
        <w:tc>
          <w:tcPr>
            <w:tcW w:type="dxa" w:w="292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Hour 20</w:t>
            </w:r>
          </w:p>
        </w:tc>
      </w:tr>
      <w:tr>
        <w:tc>
          <w:tcPr>
            <w:tcW w:type="dxa" w:w="3400"/>
            <w:tcMar>
              <w:top w:type="dxa" w:w="50"/>
              <w:left w:type="dxa" w:w="90"/>
              <w:bottom w:type="dxa" w:w="50"/>
              <w:right w:type="dxa" w:w="90"/>
            </w:tcMar>
          </w:tcPr>
          <w:p>
            <w:pPr>
              <w:spacing w:after="0" w:line="230"/>
            </w:pPr>
            <w:r>
              <w:rPr>
                <w:rFonts w:ascii="Calibri" w:cs="Calibri" w:eastAsia="Calibri" w:hAnsi="Calibri"/>
                <w:sz w:val="18"/>
                <w:szCs w:val="18"/>
              </w:rPr>
              <w:t xml:space="preserve">Mass balance residual (supply / return)</w:t>
            </w:r>
          </w:p>
        </w:tc>
        <w:tc>
          <w:tcPr>
            <w:tcW w:type="dxa" w:w="2700"/>
            <w:tcMar>
              <w:top w:type="dxa" w:w="50"/>
              <w:left w:type="dxa" w:w="90"/>
              <w:bottom w:type="dxa" w:w="50"/>
              <w:right w:type="dxa" w:w="90"/>
            </w:tcMar>
          </w:tcPr>
          <w:p>
            <w:pPr>
              <w:spacing w:after="0" w:line="230"/>
            </w:pPr>
            <w:r>
              <w:rPr>
                <w:rFonts w:ascii="Calibri" w:cs="Calibri" w:eastAsia="Calibri" w:hAnsi="Calibri"/>
                <w:sz w:val="18"/>
                <w:szCs w:val="18"/>
              </w:rPr>
              <w:t xml:space="preserve">0.0 / 1.4e-14 kg/s</w:t>
            </w:r>
          </w:p>
        </w:tc>
        <w:tc>
          <w:tcPr>
            <w:tcW w:type="dxa" w:w="2920"/>
            <w:tcMar>
              <w:top w:type="dxa" w:w="50"/>
              <w:left w:type="dxa" w:w="90"/>
              <w:bottom w:type="dxa" w:w="50"/>
              <w:right w:type="dxa" w:w="90"/>
            </w:tcMar>
          </w:tcPr>
          <w:p>
            <w:pPr>
              <w:spacing w:after="0" w:line="230"/>
            </w:pPr>
            <w:r>
              <w:rPr>
                <w:rFonts w:ascii="Calibri" w:cs="Calibri" w:eastAsia="Calibri" w:hAnsi="Calibri"/>
                <w:sz w:val="18"/>
                <w:szCs w:val="18"/>
              </w:rPr>
              <w:t xml:space="preserve">0.0 / 1.4e-14 kg/s</w:t>
            </w:r>
          </w:p>
        </w:tc>
      </w:tr>
      <w:tr>
        <w:tc>
          <w:tcPr>
            <w:tcW w:type="dxa" w:w="34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Heat balance residual</w:t>
            </w:r>
          </w:p>
        </w:tc>
        <w:tc>
          <w:tcPr>
            <w:tcW w:type="dxa" w:w="27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−2.8e-14 MW</w:t>
            </w:r>
          </w:p>
        </w:tc>
        <w:tc>
          <w:tcPr>
            <w:tcW w:type="dxa" w:w="29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4.3e-14 MW</w:t>
            </w:r>
          </w:p>
        </w:tc>
      </w:tr>
      <w:tr>
        <w:tc>
          <w:tcPr>
            <w:tcW w:type="dxa" w:w="3400"/>
            <w:tcMar>
              <w:top w:type="dxa" w:w="50"/>
              <w:left w:type="dxa" w:w="90"/>
              <w:bottom w:type="dxa" w:w="50"/>
              <w:right w:type="dxa" w:w="90"/>
            </w:tcMar>
          </w:tcPr>
          <w:p>
            <w:pPr>
              <w:spacing w:after="0" w:line="230"/>
            </w:pPr>
            <w:r>
              <w:rPr>
                <w:rFonts w:ascii="Calibri" w:cs="Calibri" w:eastAsia="Calibri" w:hAnsi="Calibri"/>
                <w:sz w:val="18"/>
                <w:szCs w:val="18"/>
              </w:rPr>
              <w:t xml:space="preserve">DC power balance residual</w:t>
            </w:r>
          </w:p>
        </w:tc>
        <w:tc>
          <w:tcPr>
            <w:tcW w:type="dxa" w:w="2700"/>
            <w:tcMar>
              <w:top w:type="dxa" w:w="50"/>
              <w:left w:type="dxa" w:w="90"/>
              <w:bottom w:type="dxa" w:w="50"/>
              <w:right w:type="dxa" w:w="90"/>
            </w:tcMar>
          </w:tcPr>
          <w:p>
            <w:pPr>
              <w:spacing w:after="0" w:line="230"/>
            </w:pPr>
            <w:r>
              <w:rPr>
                <w:rFonts w:ascii="Calibri" w:cs="Calibri" w:eastAsia="Calibri" w:hAnsi="Calibri"/>
                <w:sz w:val="18"/>
                <w:szCs w:val="18"/>
              </w:rPr>
              <w:t xml:space="preserve">8.9e-11 MW</w:t>
            </w:r>
          </w:p>
        </w:tc>
        <w:tc>
          <w:tcPr>
            <w:tcW w:type="dxa" w:w="2920"/>
            <w:tcMar>
              <w:top w:type="dxa" w:w="50"/>
              <w:left w:type="dxa" w:w="90"/>
              <w:bottom w:type="dxa" w:w="50"/>
              <w:right w:type="dxa" w:w="90"/>
            </w:tcMar>
          </w:tcPr>
          <w:p>
            <w:pPr>
              <w:spacing w:after="0" w:line="230"/>
            </w:pPr>
            <w:r>
              <w:rPr>
                <w:rFonts w:ascii="Calibri" w:cs="Calibri" w:eastAsia="Calibri" w:hAnsi="Calibri"/>
                <w:sz w:val="18"/>
                <w:szCs w:val="18"/>
              </w:rPr>
              <w:t xml:space="preserve">4.5e-11 MW</w:t>
            </w:r>
          </w:p>
        </w:tc>
      </w:tr>
      <w:tr>
        <w:tc>
          <w:tcPr>
            <w:tcW w:type="dxa" w:w="34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CHP in its (28)/(29) region</w:t>
            </w:r>
          </w:p>
        </w:tc>
        <w:tc>
          <w:tcPr>
            <w:tcW w:type="dxa" w:w="27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yes (idle)</w:t>
            </w:r>
          </w:p>
        </w:tc>
        <w:tc>
          <w:tcPr>
            <w:tcW w:type="dxa" w:w="29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yes, P − r·Q = 98.76, fuel 250.0/250.0</w:t>
            </w:r>
          </w:p>
        </w:tc>
      </w:tr>
      <w:tr>
        <w:tc>
          <w:tcPr>
            <w:tcW w:type="dxa" w:w="3400"/>
            <w:tcMar>
              <w:top w:type="dxa" w:w="50"/>
              <w:left w:type="dxa" w:w="90"/>
              <w:bottom w:type="dxa" w:w="50"/>
              <w:right w:type="dxa" w:w="90"/>
            </w:tcMar>
          </w:tcPr>
          <w:p>
            <w:pPr>
              <w:spacing w:after="0" w:line="230"/>
            </w:pPr>
            <w:r>
              <w:rPr>
                <w:rFonts w:ascii="Calibri" w:cs="Calibri" w:eastAsia="Calibri" w:hAnsi="Calibri"/>
                <w:sz w:val="18"/>
                <w:szCs w:val="18"/>
              </w:rPr>
              <w:t xml:space="preserve">Heat pump, Q − COP·L</w:t>
            </w:r>
          </w:p>
        </w:tc>
        <w:tc>
          <w:tcPr>
            <w:tcW w:type="dxa" w:w="2700"/>
            <w:tcMar>
              <w:top w:type="dxa" w:w="50"/>
              <w:left w:type="dxa" w:w="90"/>
              <w:bottom w:type="dxa" w:w="50"/>
              <w:right w:type="dxa" w:w="90"/>
            </w:tcMar>
          </w:tcPr>
          <w:p>
            <w:pPr>
              <w:spacing w:after="0" w:line="230"/>
            </w:pPr>
            <w:r>
              <w:rPr>
                <w:rFonts w:ascii="Calibri" w:cs="Calibri" w:eastAsia="Calibri" w:hAnsi="Calibri"/>
                <w:sz w:val="18"/>
                <w:szCs w:val="18"/>
              </w:rPr>
              <w:t xml:space="preserve">0.0</w:t>
            </w:r>
          </w:p>
        </w:tc>
        <w:tc>
          <w:tcPr>
            <w:tcW w:type="dxa" w:w="2920"/>
            <w:tcMar>
              <w:top w:type="dxa" w:w="50"/>
              <w:left w:type="dxa" w:w="90"/>
              <w:bottom w:type="dxa" w:w="50"/>
              <w:right w:type="dxa" w:w="90"/>
            </w:tcMar>
          </w:tcPr>
          <w:p>
            <w:pPr>
              <w:spacing w:after="0" w:line="230"/>
            </w:pPr>
            <w:r>
              <w:rPr>
                <w:rFonts w:ascii="Calibri" w:cs="Calibri" w:eastAsia="Calibri" w:hAnsi="Calibri"/>
                <w:sz w:val="18"/>
                <w:szCs w:val="18"/>
              </w:rPr>
              <w:t xml:space="preserve">0.0</w:t>
            </w:r>
          </w:p>
        </w:tc>
      </w:tr>
      <w:tr>
        <w:tc>
          <w:tcPr>
            <w:tcW w:type="dxa" w:w="34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Worst line loading</w:t>
            </w:r>
          </w:p>
        </w:tc>
        <w:tc>
          <w:tcPr>
            <w:tcW w:type="dxa" w:w="27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60.2 %</w:t>
            </w:r>
          </w:p>
        </w:tc>
        <w:tc>
          <w:tcPr>
            <w:tcW w:type="dxa" w:w="29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52.9 %</w:t>
            </w:r>
          </w:p>
        </w:tc>
      </w:tr>
      <w:tr>
        <w:tc>
          <w:tcPr>
            <w:tcW w:type="dxa" w:w="3400"/>
            <w:tcMar>
              <w:top w:type="dxa" w:w="50"/>
              <w:left w:type="dxa" w:w="90"/>
              <w:bottom w:type="dxa" w:w="50"/>
              <w:right w:type="dxa" w:w="90"/>
            </w:tcMar>
          </w:tcPr>
          <w:p>
            <w:pPr>
              <w:spacing w:after="0" w:line="230"/>
            </w:pPr>
            <w:r>
              <w:rPr>
                <w:rFonts w:ascii="Calibri" w:cs="Calibri" w:eastAsia="Calibri" w:hAnsi="Calibri"/>
                <w:sz w:val="18"/>
                <w:szCs w:val="18"/>
              </w:rPr>
              <w:t xml:space="preserve">Water pump consumption</w:t>
            </w:r>
          </w:p>
        </w:tc>
        <w:tc>
          <w:tcPr>
            <w:tcW w:type="dxa" w:w="2700"/>
            <w:tcMar>
              <w:top w:type="dxa" w:w="50"/>
              <w:left w:type="dxa" w:w="90"/>
              <w:bottom w:type="dxa" w:w="50"/>
              <w:right w:type="dxa" w:w="90"/>
            </w:tcMar>
          </w:tcPr>
          <w:p>
            <w:pPr>
              <w:spacing w:after="0" w:line="230"/>
            </w:pPr>
            <w:r>
              <w:rPr>
                <w:rFonts w:ascii="Calibri" w:cs="Calibri" w:eastAsia="Calibri" w:hAnsi="Calibri"/>
                <w:sz w:val="18"/>
                <w:szCs w:val="18"/>
              </w:rPr>
              <w:t xml:space="preserve">0.497 MW</w:t>
            </w:r>
          </w:p>
        </w:tc>
        <w:tc>
          <w:tcPr>
            <w:tcW w:type="dxa" w:w="2920"/>
            <w:tcMar>
              <w:top w:type="dxa" w:w="50"/>
              <w:left w:type="dxa" w:w="90"/>
              <w:bottom w:type="dxa" w:w="50"/>
              <w:right w:type="dxa" w:w="90"/>
            </w:tcMar>
          </w:tcPr>
          <w:p>
            <w:pPr>
              <w:spacing w:after="0" w:line="230"/>
            </w:pPr>
            <w:r>
              <w:rPr>
                <w:rFonts w:ascii="Calibri" w:cs="Calibri" w:eastAsia="Calibri" w:hAnsi="Calibri"/>
                <w:sz w:val="18"/>
                <w:szCs w:val="18"/>
              </w:rPr>
              <w:t xml:space="preserve">0.543 MW</w:t>
            </w:r>
          </w:p>
        </w:tc>
      </w:tr>
    </w:tbl>
    <w:p>
      <w:pPr>
        <w:spacing w:after="180" w:before="40"/>
      </w:pPr>
      <w:r>
        <w:rPr>
          <w:rFonts w:ascii="Calibri" w:cs="Calibri" w:eastAsia="Calibri" w:hAnsi="Calibri"/>
          <w:i/>
          <w:iCs/>
          <w:color w:val="595959"/>
          <w:sz w:val="17"/>
          <w:szCs w:val="17"/>
        </w:rPr>
        <w:t xml:space="preserve">Table 4. Physical checks on the Section II solution. All close at or near machine precision.</w:t>
      </w:r>
    </w:p>
    <w:p>
      <w:pPr>
        <w:pStyle w:val="Heading2"/>
        <w:spacing w:after="120" w:before="240"/>
        <w:outlineLvl w:val="1"/>
      </w:pPr>
      <w:r>
        <w:t xml:space="preserve">Quality of the relaxation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4020"/>
        <w:gridCol w:w="2500"/>
        <w:gridCol w:w="2500"/>
      </w:tblGrid>
      <w:tr>
        <w:trPr>
          <w:tblHeader/>
        </w:trPr>
        <w:tc>
          <w:tcPr>
            <w:tcW w:type="dxa" w:w="402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Measure</w:t>
            </w:r>
          </w:p>
        </w:tc>
        <w:tc>
          <w:tcPr>
            <w:tcW w:type="dxa" w:w="25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Hour 1</w:t>
            </w:r>
          </w:p>
        </w:tc>
        <w:tc>
          <w:tcPr>
            <w:tcW w:type="dxa" w:w="25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Hour 20</w:t>
            </w:r>
          </w:p>
        </w:tc>
      </w:tr>
      <w:tr>
        <w:tc>
          <w:tcPr>
            <w:tcW w:type="dxa" w:w="4020"/>
            <w:tcMar>
              <w:top w:type="dxa" w:w="50"/>
              <w:left w:type="dxa" w:w="90"/>
              <w:bottom w:type="dxa" w:w="50"/>
              <w:right w:type="dxa" w:w="90"/>
            </w:tcMar>
          </w:tcPr>
          <w:p>
            <w:pPr>
              <w:spacing w:after="0" w:line="230"/>
            </w:pPr>
            <w:r>
              <w:rPr>
                <w:rFonts w:ascii="Calibri" w:cs="Calibri" w:eastAsia="Calibri" w:hAnsi="Calibri"/>
                <w:sz w:val="18"/>
                <w:szCs w:val="18"/>
              </w:rPr>
              <w:t xml:space="preserve">Eq. (36) worst slack (pressure loss)</w:t>
            </w:r>
          </w:p>
        </w:tc>
        <w:tc>
          <w:tcPr>
            <w:tcW w:type="dxa" w:w="2500"/>
            <w:tcMar>
              <w:top w:type="dxa" w:w="50"/>
              <w:left w:type="dxa" w:w="90"/>
              <w:bottom w:type="dxa" w:w="50"/>
              <w:right w:type="dxa" w:w="90"/>
            </w:tcMar>
          </w:tcPr>
          <w:p>
            <w:pPr>
              <w:spacing w:after="0" w:line="230"/>
            </w:pPr>
            <w:r>
              <w:rPr>
                <w:rFonts w:ascii="Calibri" w:cs="Calibri" w:eastAsia="Calibri" w:hAnsi="Calibri"/>
                <w:sz w:val="18"/>
                <w:szCs w:val="18"/>
              </w:rPr>
              <w:t xml:space="preserve">7.2 Pa</w:t>
            </w:r>
          </w:p>
        </w:tc>
        <w:tc>
          <w:tcPr>
            <w:tcW w:type="dxa" w:w="2500"/>
            <w:tcMar>
              <w:top w:type="dxa" w:w="50"/>
              <w:left w:type="dxa" w:w="90"/>
              <w:bottom w:type="dxa" w:w="50"/>
              <w:right w:type="dxa" w:w="90"/>
            </w:tcMar>
          </w:tcPr>
          <w:p>
            <w:pPr>
              <w:spacing w:after="0" w:line="230"/>
            </w:pPr>
            <w:r>
              <w:rPr>
                <w:rFonts w:ascii="Calibri" w:cs="Calibri" w:eastAsia="Calibri" w:hAnsi="Calibri"/>
                <w:sz w:val="18"/>
                <w:szCs w:val="18"/>
              </w:rPr>
              <w:t xml:space="preserve">0.0 Pa</w:t>
            </w:r>
          </w:p>
        </w:tc>
      </w:tr>
      <w:tr>
        <w:tc>
          <w:tcPr>
            <w:tcW w:type="dxa" w:w="40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 (16)/(17) mixing residual</w:t>
            </w:r>
          </w:p>
        </w:tc>
        <w:tc>
          <w:tcPr>
            <w:tcW w:type="dxa" w:w="2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0.0 (never active)</w:t>
            </w:r>
          </w:p>
        </w:tc>
        <w:tc>
          <w:tcPr>
            <w:tcW w:type="dxa" w:w="2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0.0 (never active)</w:t>
            </w:r>
          </w:p>
        </w:tc>
      </w:tr>
      <w:tr>
        <w:tc>
          <w:tcPr>
            <w:tcW w:type="dxa" w:w="4020"/>
            <w:tcMar>
              <w:top w:type="dxa" w:w="50"/>
              <w:left w:type="dxa" w:w="90"/>
              <w:bottom w:type="dxa" w:w="50"/>
              <w:right w:type="dxa" w:w="90"/>
            </w:tcMar>
          </w:tcPr>
          <w:p>
            <w:pPr>
              <w:spacing w:after="0" w:line="230"/>
            </w:pPr>
            <w:r>
              <w:rPr>
                <w:rFonts w:ascii="Calibri" w:cs="Calibri" w:eastAsia="Calibri" w:hAnsi="Calibri"/>
                <w:sz w:val="18"/>
                <w:szCs w:val="18"/>
              </w:rPr>
              <w:t xml:space="preserve">Eq. (21) HES heat residual</w:t>
            </w:r>
          </w:p>
        </w:tc>
        <w:tc>
          <w:tcPr>
            <w:tcW w:type="dxa" w:w="2500"/>
            <w:tcMar>
              <w:top w:type="dxa" w:w="50"/>
              <w:left w:type="dxa" w:w="90"/>
              <w:bottom w:type="dxa" w:w="50"/>
              <w:right w:type="dxa" w:w="90"/>
            </w:tcMar>
          </w:tcPr>
          <w:p>
            <w:pPr>
              <w:spacing w:after="0" w:line="230"/>
            </w:pPr>
            <w:r>
              <w:rPr>
                <w:rFonts w:ascii="Calibri" w:cs="Calibri" w:eastAsia="Calibri" w:hAnsi="Calibri"/>
                <w:sz w:val="18"/>
                <w:szCs w:val="18"/>
              </w:rPr>
              <w:t xml:space="preserve">2.94 MW</w:t>
            </w:r>
          </w:p>
        </w:tc>
        <w:tc>
          <w:tcPr>
            <w:tcW w:type="dxa" w:w="2500"/>
            <w:tcMar>
              <w:top w:type="dxa" w:w="50"/>
              <w:left w:type="dxa" w:w="90"/>
              <w:bottom w:type="dxa" w:w="50"/>
              <w:right w:type="dxa" w:w="90"/>
            </w:tcMar>
          </w:tcPr>
          <w:p>
            <w:pPr>
              <w:spacing w:after="0" w:line="230"/>
            </w:pPr>
            <w:r>
              <w:rPr>
                <w:rFonts w:ascii="Calibri" w:cs="Calibri" w:eastAsia="Calibri" w:hAnsi="Calibri"/>
                <w:sz w:val="18"/>
                <w:szCs w:val="18"/>
              </w:rPr>
              <w:t xml:space="preserve">1.7e-8 MW</w:t>
            </w:r>
          </w:p>
        </w:tc>
      </w:tr>
      <w:tr>
        <w:tc>
          <w:tcPr>
            <w:tcW w:type="dxa" w:w="40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 (24) station heat residual</w:t>
            </w:r>
          </w:p>
        </w:tc>
        <w:tc>
          <w:tcPr>
            <w:tcW w:type="dxa" w:w="2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2.28 MW</w:t>
            </w:r>
          </w:p>
        </w:tc>
        <w:tc>
          <w:tcPr>
            <w:tcW w:type="dxa" w:w="25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2.59 MW</w:t>
            </w:r>
          </w:p>
        </w:tc>
      </w:tr>
      <w:tr>
        <w:tc>
          <w:tcPr>
            <w:tcW w:type="dxa" w:w="4020"/>
            <w:tcMar>
              <w:top w:type="dxa" w:w="50"/>
              <w:left w:type="dxa" w:w="90"/>
              <w:bottom w:type="dxa" w:w="50"/>
              <w:right w:type="dxa" w:w="90"/>
            </w:tcMar>
          </w:tcPr>
          <w:p>
            <w:pPr>
              <w:spacing w:after="0" w:line="230"/>
            </w:pPr>
            <w:r>
              <w:rPr>
                <w:rFonts w:ascii="Calibri" w:cs="Calibri" w:eastAsia="Calibri" w:hAnsi="Calibri"/>
                <w:sz w:val="18"/>
                <w:szCs w:val="18"/>
              </w:rPr>
              <w:t xml:space="preserve">Eq. (27) pump power residual</w:t>
            </w:r>
          </w:p>
        </w:tc>
        <w:tc>
          <w:tcPr>
            <w:tcW w:type="dxa" w:w="2500"/>
            <w:tcMar>
              <w:top w:type="dxa" w:w="50"/>
              <w:left w:type="dxa" w:w="90"/>
              <w:bottom w:type="dxa" w:w="50"/>
              <w:right w:type="dxa" w:w="90"/>
            </w:tcMar>
          </w:tcPr>
          <w:p>
            <w:pPr>
              <w:spacing w:after="0" w:line="230"/>
            </w:pPr>
            <w:r>
              <w:rPr>
                <w:rFonts w:ascii="Calibri" w:cs="Calibri" w:eastAsia="Calibri" w:hAnsi="Calibri"/>
                <w:sz w:val="18"/>
                <w:szCs w:val="18"/>
              </w:rPr>
              <w:t xml:space="preserve">0.033 MW</w:t>
            </w:r>
          </w:p>
        </w:tc>
        <w:tc>
          <w:tcPr>
            <w:tcW w:type="dxa" w:w="2500"/>
            <w:tcMar>
              <w:top w:type="dxa" w:w="50"/>
              <w:left w:type="dxa" w:w="90"/>
              <w:bottom w:type="dxa" w:w="50"/>
              <w:right w:type="dxa" w:w="90"/>
            </w:tcMar>
          </w:tcPr>
          <w:p>
            <w:pPr>
              <w:spacing w:after="0" w:line="230"/>
            </w:pPr>
            <w:r>
              <w:rPr>
                <w:rFonts w:ascii="Calibri" w:cs="Calibri" w:eastAsia="Calibri" w:hAnsi="Calibri"/>
                <w:sz w:val="18"/>
                <w:szCs w:val="18"/>
              </w:rPr>
              <w:t xml:space="preserve">0.076 MW</w:t>
            </w:r>
          </w:p>
        </w:tc>
      </w:tr>
    </w:tbl>
    <w:p>
      <w:pPr>
        <w:spacing w:after="180" w:before="40"/>
      </w:pPr>
      <w:r>
        <w:rPr>
          <w:rFonts w:ascii="Calibri" w:cs="Calibri" w:eastAsia="Calibri" w:hAnsi="Calibri"/>
          <w:i/>
          <w:iCs/>
          <w:color w:val="595959"/>
          <w:sz w:val="17"/>
          <w:szCs w:val="17"/>
        </w:rPr>
        <w:t xml:space="preserve">Table 5. Where the gap comes from. A residual of zero means the envelope is exact at the optimum.</w:t>
      </w:r>
    </w:p>
    <w:p>
      <w:pPr>
        <w:spacing w:after="110" w:line="264"/>
      </w:pPr>
      <w:r>
        <w:rPr>
          <w:rFonts w:ascii="Calibri" w:cs="Calibri" w:eastAsia="Calibri" w:hAnsi="Calibri"/>
          <w:b/>
          <w:bCs/>
          <w:sz w:val="21"/>
          <w:szCs w:val="21"/>
        </w:rPr>
        <w:t xml:space="preserve">The convex quadratic part costs almost nothing. </w:t>
      </w:r>
      <w:r>
        <w:rPr>
          <w:rFonts w:ascii="Calibri" w:cs="Calibri" w:eastAsia="Calibri" w:hAnsi="Calibri"/>
          <w:sz w:val="21"/>
          <w:szCs w:val="21"/>
        </w:rPr>
        <w:t xml:space="preserve">Eq. (36) is slack by at most 7.2 Pa at hour 1 and exactly 0.0 Pa at hour 20, i.e. it holds with equality at the optimum. This is expected rather than lucky: water pump cost (27) rises with the pressure difference, so the objective pushes the inequality back onto the original quadratic surface. Essentially the entire gap is McCormick's.</w:t>
      </w:r>
    </w:p>
    <w:p>
      <w:pPr>
        <w:spacing w:after="110" w:line="264"/>
      </w:pPr>
      <w:r>
        <w:rPr>
          <w:rFonts w:ascii="Calibri" w:cs="Calibri" w:eastAsia="Calibri" w:hAnsi="Calibri"/>
          <w:sz w:val="21"/>
          <w:szCs w:val="21"/>
        </w:rPr>
        <w:t xml:space="preserve">Within McCormick, the residuals track the box widths. At hour 20 the load-implied bounds pin the heat exchanger flow into a 7 kg/s band and the Eq. (21) residual collapses to 1.7e-8 MW — numerically exact — while the station envelope, whose flow stays free over the full 0–301 kg/s equipment range, keeps a residual near 2.6 MW.</w:t>
      </w:r>
    </w:p>
    <w:p>
      <w:pPr>
        <w:spacing w:after="110" w:line="264"/>
      </w:pPr>
      <w:r>
        <w:rPr>
          <w:rFonts w:ascii="Calibri" w:cs="Calibri" w:eastAsia="Calibri" w:hAnsi="Calibri"/>
          <w:b/>
          <w:bCs/>
          <w:sz w:val="21"/>
          <w:szCs w:val="21"/>
        </w:rPr>
        <w:t xml:space="preserve">Which box matters was worth testing rather than assuming. </w:t>
      </w:r>
      <w:r>
        <w:rPr>
          <w:rFonts w:ascii="Calibri" w:cs="Calibri" w:eastAsia="Calibri" w:hAnsi="Calibri"/>
          <w:sz w:val="21"/>
          <w:szCs w:val="21"/>
        </w:rPr>
        <w:t xml:space="preserve">Relaxing the heat exchanger bounds all the way back to the raw equipment limits (7 → 150 kg/s) changes the gap at neither hour: it stays at 0.287 % and 0.889 % to three decimals. That is a useful negative result — the Eq. (21) envelope is simply not what binds here, so tightening it further buys nothing. The gap is carried by the station envelope, whose worst-case slack is c·(mfᵤ−mfₗ)(ΔTᵤ−ΔTₗ)/4 = 19.0 MW on the equipment box. Figure 2 tightens </w:t>
      </w:r>
      <w:r>
        <w:rPr>
          <w:rFonts w:ascii="Calibri" w:cs="Calibri" w:eastAsia="Calibri" w:hAnsi="Calibri"/>
          <w:i/>
          <w:iCs/>
          <w:sz w:val="21"/>
          <w:szCs w:val="21"/>
        </w:rPr>
        <w:t xml:space="preserve">that</w:t>
      </w:r>
      <w:r>
        <w:rPr>
          <w:rFonts w:ascii="Calibri" w:cs="Calibri" w:eastAsia="Calibri" w:hAnsi="Calibri"/>
          <w:sz w:val="21"/>
          <w:szCs w:val="21"/>
        </w:rPr>
        <w:t xml:space="preserve"> bound instead, down to the flow the original model actually uses (279.3 kg/s), holding the Section II reference fixed.</w:t>
      </w:r>
    </w:p>
    <w:p>
      <w:pPr>
        <w:spacing w:after="60" w:before="120"/>
        <w:jc w:val="center"/>
      </w:pPr>
      <w:r>
        <w:drawing>
          <wp:inline distT="0" distB="0" distL="0" distR="0">
            <wp:extent cx="4381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14575"/>
                    </a:xfrm>
                    <a:prstGeom prst="rect">
                      <a:avLst/>
                    </a:prstGeom>
                  </pic:spPr>
                </pic:pic>
              </a:graphicData>
            </a:graphic>
          </wp:inline>
        </w:drawing>
      </w:r>
    </w:p>
    <w:p>
      <w:pPr>
        <w:spacing w:after="180" w:before="40"/>
      </w:pPr>
      <w:r>
        <w:rPr>
          <w:rFonts w:ascii="Calibri" w:cs="Calibri" w:eastAsia="Calibri" w:hAnsi="Calibri"/>
          <w:i/>
          <w:iCs/>
          <w:color w:val="595959"/>
          <w:sz w:val="17"/>
          <w:szCs w:val="17"/>
        </w:rPr>
        <w:t xml:space="preserve">Figure 2. Relaxation gap against the worst-case slack the Eq. (24) envelope is allowed, hour 20. Tightening the station flow bound from the 301 kg/s equipment limit to the 280 kg/s the dispatch actually needs cuts the slack from 19.0 to 17.7 MW and the gap from 0.287 % to 0.181 %, a 37 % reduction. The relation is monotone and near-linear: tightness is a property of the bounds supplied, not of the envelope algebra.</w:t>
      </w:r>
    </w:p>
    <w:p>
      <w:pPr>
        <w:pStyle w:val="Heading2"/>
        <w:spacing w:after="120" w:before="240"/>
        <w:outlineLvl w:val="1"/>
      </w:pPr>
      <w:r>
        <w:t xml:space="preserve">Comparison with the paper, and extensions</w:t>
      </w:r>
    </w:p>
    <w:p>
      <w:pPr>
        <w:spacing w:after="110" w:line="264"/>
      </w:pPr>
      <w:r>
        <w:rPr>
          <w:rFonts w:ascii="Calibri" w:cs="Calibri" w:eastAsia="Calibri" w:hAnsi="Calibri"/>
          <w:sz w:val="21"/>
          <w:szCs w:val="21"/>
        </w:rPr>
        <w:t xml:space="preserve">The paper reports a 3.51 % cost saving for the CHPD against a conventional economic dispatch (CED) over 24 hours. That saving is a </w:t>
      </w:r>
      <w:r>
        <w:rPr>
          <w:rFonts w:ascii="Calibri" w:cs="Calibri" w:eastAsia="Calibri" w:hAnsi="Calibri"/>
          <w:i/>
          <w:iCs/>
          <w:sz w:val="21"/>
          <w:szCs w:val="21"/>
        </w:rPr>
        <w:t xml:space="preserve">storage</w:t>
      </w:r>
      <w:r>
        <w:rPr>
          <w:rFonts w:ascii="Calibri" w:cs="Calibri" w:eastAsia="Calibri" w:hAnsi="Calibri"/>
          <w:sz w:val="21"/>
          <w:szCs w:val="21"/>
        </w:rPr>
        <w:t xml:space="preserve"> effect, and a single time step has nowhere to store anything, so it cannot appear in the results above; at one step the CHPD is expected to cost more than a CED, because it pays for water pumping the CED does not model. To check that the reproduction does behave as the paper describes once storage exists, the CED of Section IV-A and the time delays of Eqs. (6)–(13) were also implemented, beyond what the assignment requires.</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4300"/>
        <w:gridCol w:w="4720"/>
      </w:tblGrid>
      <w:tr>
        <w:trPr>
          <w:tblHeader/>
        </w:trPr>
        <w:tc>
          <w:tcPr>
            <w:tcW w:type="dxa" w:w="43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Extension result</w:t>
            </w:r>
          </w:p>
        </w:tc>
        <w:tc>
          <w:tcPr>
            <w:tcW w:type="dxa" w:w="472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Value</w:t>
            </w:r>
          </w:p>
        </w:tc>
      </w:tr>
      <w:tr>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CED over 24 h</w:t>
            </w:r>
          </w:p>
        </w:tc>
        <w:tc>
          <w:tcPr>
            <w:tcW w:type="dxa" w:w="4720"/>
            <w:tcMar>
              <w:top w:type="dxa" w:w="50"/>
              <w:left w:type="dxa" w:w="90"/>
              <w:bottom w:type="dxa" w:w="50"/>
              <w:right w:type="dxa" w:w="90"/>
            </w:tcMar>
          </w:tcPr>
          <w:p>
            <w:pPr>
              <w:spacing w:after="0" w:line="230"/>
            </w:pPr>
            <w:r>
              <w:rPr>
                <w:rFonts w:ascii="Calibri" w:cs="Calibri" w:eastAsia="Calibri" w:hAnsi="Calibri"/>
                <w:sz w:val="18"/>
                <w:szCs w:val="18"/>
              </w:rPr>
              <w:t xml:space="preserve">19276.98 $  (paper: 19277 $ — reproduced exactly)</w:t>
            </w:r>
          </w:p>
        </w:tc>
      </w:tr>
      <w:tr>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Section II CHPD over 24 h, delays off</w:t>
            </w:r>
          </w:p>
        </w:tc>
        <w:tc>
          <w:tcPr>
            <w:tcW w:type="dxa" w:w="47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21041.73 $  (relaxed 20749.78 $, gap 1.39 %)</w:t>
            </w:r>
          </w:p>
        </w:tc>
      </w:tr>
      <w:tr>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Hours 18–23, delays off vs delays on</w:t>
            </w:r>
          </w:p>
        </w:tc>
        <w:tc>
          <w:tcPr>
            <w:tcW w:type="dxa" w:w="4720"/>
            <w:tcMar>
              <w:top w:type="dxa" w:w="50"/>
              <w:left w:type="dxa" w:w="90"/>
              <w:bottom w:type="dxa" w:w="50"/>
              <w:right w:type="dxa" w:w="90"/>
            </w:tcMar>
          </w:tcPr>
          <w:p>
            <w:pPr>
              <w:spacing w:after="0" w:line="230"/>
            </w:pPr>
            <w:r>
              <w:rPr>
                <w:rFonts w:ascii="Calibri" w:cs="Calibri" w:eastAsia="Calibri" w:hAnsi="Calibri"/>
                <w:sz w:val="18"/>
                <w:szCs w:val="18"/>
              </w:rPr>
              <w:t xml:space="preserve">11583.52 $ → 11278.18 $, a saving of 2.64 %</w:t>
            </w:r>
          </w:p>
        </w:tc>
      </w:tr>
    </w:tbl>
    <w:p>
      <w:pPr>
        <w:spacing w:after="180" w:before="40"/>
      </w:pPr>
      <w:r>
        <w:rPr>
          <w:rFonts w:ascii="Calibri" w:cs="Calibri" w:eastAsia="Calibri" w:hAnsi="Calibri"/>
          <w:i/>
          <w:iCs/>
          <w:color w:val="595959"/>
          <w:sz w:val="17"/>
          <w:szCs w:val="17"/>
        </w:rPr>
        <w:t xml:space="preserve">Table 6. Extension results, beyond the scope of the assignment.</w:t>
      </w:r>
    </w:p>
    <w:p>
      <w:pPr>
        <w:spacing w:after="110" w:line="264"/>
      </w:pPr>
      <w:r>
        <w:rPr>
          <w:rFonts w:ascii="Calibri" w:cs="Calibri" w:eastAsia="Calibri" w:hAnsi="Calibri"/>
          <w:sz w:val="21"/>
          <w:szCs w:val="21"/>
        </w:rPr>
        <w:t xml:space="preserve">The CED reproducing 19277 $ exactly is the strongest single check available, since that one number depends on the data, units, topology and formulation all being right at once. Switching on the delays over a six-hour evening window spanning the sharpest wind drought of the day saves 2.64 % against the identical model with them off, produced by nothing but Eqs. (6)–(13) — the same mechanism the paper reports, at the right order of magnitude for a window of that length. The paper's full-horizon 18600 $ figure is not reproduced: it needs 24 hours with delays, which exceeds the size-limited solver licence available. Obtaining a larger licence was out of scope for this assignment and was not attempted.</w:t>
      </w:r>
    </w:p>
    <w:p>
      <w:pPr>
        <w:pStyle w:val="Heading1"/>
        <w:spacing w:after="120" w:before="240"/>
        <w:outlineLvl w:val="0"/>
      </w:pPr>
      <w:r>
        <w:t xml:space="preserve">Critical Reflection</w:t>
      </w:r>
    </w:p>
    <w:p>
      <w:pPr>
        <w:spacing w:after="110" w:line="264"/>
      </w:pPr>
      <w:r>
        <w:rPr>
          <w:rFonts w:ascii="Calibri" w:cs="Calibri" w:eastAsia="Calibri" w:hAnsi="Calibri"/>
          <w:b/>
          <w:bCs/>
          <w:sz w:val="21"/>
          <w:szCs w:val="21"/>
        </w:rPr>
        <w:t xml:space="preserve">Eq. (5) loses no heat at zero delay. </w:t>
      </w:r>
      <w:r>
        <w:rPr>
          <w:rFonts w:ascii="Calibri" w:cs="Calibri" w:eastAsia="Calibri" w:hAnsi="Calibri"/>
          <w:sz w:val="21"/>
          <w:szCs w:val="21"/>
        </w:rPr>
        <w:t xml:space="preserve">The loss term is multiplied by the delay τ, so water crossing a pipe within one step arrives at exactly its inlet temperature. Every single-step result here therefore has zero pipe losses — what the model says, not a coding shortcut, but clearly unphysical: a real pipe loses heat continuously, not in whole-step quanta. The model systematically understates losses at short travel times, precisely where flows are fastest. A subtler issue sits in the same equation: the loss is proportional to the </w:t>
      </w:r>
      <w:r>
        <w:rPr>
          <w:rFonts w:ascii="Calibri" w:cs="Calibri" w:eastAsia="Calibri" w:hAnsi="Calibri"/>
          <w:i/>
          <w:iCs/>
          <w:sz w:val="21"/>
          <w:szCs w:val="21"/>
        </w:rPr>
        <w:t xml:space="preserve">absolute</w:t>
      </w:r>
      <w:r>
        <w:rPr>
          <w:rFonts w:ascii="Calibri" w:cs="Calibri" w:eastAsia="Calibri" w:hAnsi="Calibri"/>
          <w:sz w:val="21"/>
          <w:szCs w:val="21"/>
        </w:rPr>
        <w:t xml:space="preserve"> water temperature rather than to its excess over the surroundings, which implicitly places the ambient at 0 K. A correct formulation would use (T − T_ambient) and would make thermal loss depend on season, a dependence this model cannot represent at all.</w:t>
      </w:r>
    </w:p>
    <w:p>
      <w:pPr>
        <w:spacing w:after="110" w:line="264"/>
      </w:pPr>
      <w:r>
        <w:rPr>
          <w:rFonts w:ascii="Calibri" w:cs="Calibri" w:eastAsia="Calibri" w:hAnsi="Calibri"/>
          <w:b/>
          <w:bCs/>
          <w:sz w:val="21"/>
          <w:szCs w:val="21"/>
        </w:rPr>
        <w:t xml:space="preserve">Plain McCormick envelopes have a floor. </w:t>
      </w:r>
      <w:r>
        <w:rPr>
          <w:rFonts w:ascii="Calibri" w:cs="Calibri" w:eastAsia="Calibri" w:hAnsi="Calibri"/>
          <w:sz w:val="21"/>
          <w:szCs w:val="21"/>
        </w:rPr>
        <w:t xml:space="preserve">An envelope is a single linear hull over the whole box, so no amount of box tightening makes it exact; on the reconstructed data the gap stalled at 23.2 % once the justifiable bounds were in place. The standard remedy is piecewise McCormick — partition the flow range and add one binary per segment — which would tighten it substantially at the cost of making even the single-period problem a mixed-integer program. That is the obvious extension of this work, and was not attempted partly because of the same solver size limit: the delay model already adds roughly 224 constraints per time step on a two-pipe network, and a real network with hundreds of pipes would be intractable in the original form, which is precisely the paper's motivation for relaxing it.</w:t>
      </w:r>
    </w:p>
    <w:p>
      <w:pPr>
        <w:spacing w:after="110" w:line="264"/>
      </w:pPr>
      <w:r>
        <w:rPr>
          <w:rFonts w:ascii="Calibri" w:cs="Calibri" w:eastAsia="Calibri" w:hAnsi="Calibri"/>
          <w:b/>
          <w:bCs/>
          <w:sz w:val="21"/>
          <w:szCs w:val="21"/>
        </w:rPr>
        <w:t xml:space="preserve">Reproducibility of the case study. </w:t>
      </w:r>
      <w:r>
        <w:rPr>
          <w:rFonts w:ascii="Calibri" w:cs="Calibri" w:eastAsia="Calibri" w:hAnsi="Calibri"/>
          <w:sz w:val="21"/>
          <w:szCs w:val="21"/>
        </w:rPr>
        <w:t xml:space="preserve">The appendix PDF and the authors' own reference code disagree on pressure bounds, minimum heat exchanger flow, water density, and even which units are present. The code was followed, since it is what produces the published numbers, and the disagreements were recorded rather than silently reconciled. Their implementation also carries two devices absent from the paper: elastic slacks on the mass balances with a large penalty, and a regularisation on the delays. Neither is reproduced here — the mass balances are hard equalities and close at machine precision unaided — and the CED still reproduces 19277 $ exactly, which suggests those devices are numerical aids rather than load-bearing modelling choices.</w:t>
      </w:r>
    </w:p>
    <w:p>
      <w:pPr>
        <w:pStyle w:val="Heading1"/>
        <w:spacing w:after="120" w:before="240"/>
        <w:outlineLvl w:val="0"/>
      </w:pPr>
      <w:r>
        <w:t xml:space="preserve">Conclusion</w:t>
      </w:r>
    </w:p>
    <w:p>
      <w:pPr>
        <w:spacing w:after="110" w:line="264"/>
      </w:pPr>
      <w:r>
        <w:rPr>
          <w:rFonts w:ascii="Calibri" w:cs="Calibri" w:eastAsia="Calibri" w:hAnsi="Calibri"/>
          <w:sz w:val="21"/>
          <w:szCs w:val="21"/>
        </w:rPr>
        <w:t xml:space="preserve">The Section II formulation and its Section III-B convex relaxation were implemented in full and validated at a single time step on the authors' own data. At both hours examined, both models solve to optimality, the relaxation is a valid lower bound (gaps of 0.89 % and 0.29 %), mass, heat and power balances close at machine precision, the CHP respects its feasible region and the heat pump sits exactly on its conversion characteristic.</w:t>
      </w:r>
    </w:p>
    <w:p>
      <w:pPr>
        <w:spacing w:after="110" w:line="264"/>
      </w:pPr>
      <w:r>
        <w:rPr>
          <w:rFonts w:ascii="Calibri" w:cs="Calibri" w:eastAsia="Calibri" w:hAnsi="Calibri"/>
          <w:sz w:val="21"/>
          <w:szCs w:val="21"/>
        </w:rPr>
        <w:t xml:space="preserve">The gap is understood mechanistically rather than merely measured. The convex quadratic reformulation of pressure loss is essentially free, because the pump cost pushes it back onto the original surface, so the whole gap is McCormick's. It is carried by one specific envelope: tightening the station flow bound to the flow actually used cuts the gap by 37 % (Figure 2), while loosening the heat-exchanger bound twentyfold changes it not at all. The lesson is that a McCormick relaxation is only as good as the bounds supplied to it, that those bounds should come from the model's own constraints rather than from equipment nameplates, and that it is worth identifying which envelope actually binds before tightening anything.</w:t>
      </w:r>
    </w:p>
    <w:p>
      <w:pPr>
        <w:spacing w:after="110" w:line="264"/>
      </w:pPr>
      <w:r>
        <w:rPr>
          <w:rFonts w:ascii="Calibri" w:cs="Calibri" w:eastAsia="Calibri" w:hAnsi="Calibri"/>
          <w:sz w:val="21"/>
          <w:szCs w:val="21"/>
        </w:rPr>
        <w:t xml:space="preserve">Beyond the assignment, the CED benchmark reproduces the paper's published 19277 $ exactly, and enabling the pipeline delays over a six-hour window recovers a 2.64 % saving by the storage mechanism the paper describes. The most useful outcomes, though, were the failures: an infeasibility that exposed a misreading of the thermal loss term, a hand-derived test that was wrong where the model was right, and a relaxation gap that turned out to be a statement about variable bounds rather than about the relaxation.</w:t>
      </w:r>
    </w:p>
    <w:p>
      <w:pPr>
        <w:pStyle w:val="Heading1"/>
        <w:spacing w:after="120" w:before="240"/>
        <w:outlineLvl w:val="0"/>
      </w:pPr>
      <w:r>
        <w:t xml:space="preserve">References</w:t>
      </w:r>
    </w:p>
    <w:p>
      <w:pPr>
        <w:spacing w:after="60" w:line="264"/>
      </w:pPr>
      <w:r>
        <w:rPr>
          <w:rFonts w:ascii="Calibri" w:cs="Calibri" w:eastAsia="Calibri" w:hAnsi="Calibri"/>
          <w:sz w:val="21"/>
          <w:szCs w:val="21"/>
        </w:rPr>
        <w:t xml:space="preserve">[1]  L. Mitridati and J. A. Taylor, “Power systems flexibility from district heating networks,” </w:t>
      </w:r>
      <w:r>
        <w:rPr>
          <w:rFonts w:ascii="Calibri" w:cs="Calibri" w:eastAsia="Calibri" w:hAnsi="Calibri"/>
          <w:i/>
          <w:iCs/>
          <w:sz w:val="21"/>
          <w:szCs w:val="21"/>
        </w:rPr>
        <w:t xml:space="preserve">2018 Power Systems Computation Conference (PSCC)</w:t>
      </w:r>
      <w:r>
        <w:rPr>
          <w:rFonts w:ascii="Calibri" w:cs="Calibri" w:eastAsia="Calibri" w:hAnsi="Calibri"/>
          <w:sz w:val="21"/>
          <w:szCs w:val="21"/>
        </w:rPr>
        <w:t xml:space="preserve">, Dublin, Ireland, 2018, pp. 1–7. doi:10.23919/PSCC.2018.8442617</w:t>
      </w:r>
    </w:p>
    <w:p>
      <w:pPr>
        <w:spacing w:after="60" w:line="264"/>
      </w:pPr>
      <w:r>
        <w:rPr>
          <w:rFonts w:ascii="Calibri" w:cs="Calibri" w:eastAsia="Calibri" w:hAnsi="Calibri"/>
          <w:sz w:val="21"/>
          <w:szCs w:val="21"/>
        </w:rPr>
        <w:t xml:space="preserve">[2]  L. Mitridati and J. A. Taylor, </w:t>
      </w:r>
      <w:r>
        <w:rPr>
          <w:rFonts w:ascii="Calibri" w:cs="Calibri" w:eastAsia="Calibri" w:hAnsi="Calibri"/>
          <w:i/>
          <w:iCs/>
          <w:sz w:val="21"/>
          <w:szCs w:val="21"/>
        </w:rPr>
        <w:t xml:space="preserve">Power Systems Flexibility from District Heating Networks — Online Appendix</w:t>
      </w:r>
      <w:r>
        <w:rPr>
          <w:rFonts w:ascii="Calibri" w:cs="Calibri" w:eastAsia="Calibri" w:hAnsi="Calibri"/>
          <w:sz w:val="21"/>
          <w:szCs w:val="21"/>
        </w:rPr>
        <w:t xml:space="preserve">. Zenodo, 2018. doi:10.5281/zenodo.1195508</w:t>
      </w:r>
    </w:p>
    <w:p>
      <w:pPr>
        <w:spacing w:after="60" w:line="264"/>
      </w:pPr>
      <w:r>
        <w:rPr>
          <w:rFonts w:ascii="Calibri" w:cs="Calibri" w:eastAsia="Calibri" w:hAnsi="Calibri"/>
          <w:sz w:val="21"/>
          <w:szCs w:val="21"/>
        </w:rPr>
        <w:t xml:space="preserve">[3]  G. P. McCormick, “Computability of global solutions to factorable nonconvex programs: Part I,” </w:t>
      </w:r>
      <w:r>
        <w:rPr>
          <w:rFonts w:ascii="Calibri" w:cs="Calibri" w:eastAsia="Calibri" w:hAnsi="Calibri"/>
          <w:i/>
          <w:iCs/>
          <w:sz w:val="21"/>
          <w:szCs w:val="21"/>
        </w:rPr>
        <w:t xml:space="preserve">Mathematical Programming</w:t>
      </w:r>
      <w:r>
        <w:rPr>
          <w:rFonts w:ascii="Calibri" w:cs="Calibri" w:eastAsia="Calibri" w:hAnsi="Calibri"/>
          <w:sz w:val="21"/>
          <w:szCs w:val="21"/>
        </w:rPr>
        <w:t xml:space="preserve">, vol. 10, pp. 147–175, 1976.</w:t>
      </w:r>
    </w:p>
    <w:p>
      <w:pPr>
        <w:spacing w:after="60" w:line="264"/>
      </w:pPr>
      <w:r>
        <w:rPr>
          <w:rFonts w:ascii="Calibri" w:cs="Calibri" w:eastAsia="Calibri" w:hAnsi="Calibri"/>
          <w:sz w:val="21"/>
          <w:szCs w:val="21"/>
        </w:rPr>
        <w:t xml:space="preserve">[4]  I. Dunning, J. Huchette and M. Lubin, “JuMP: A modeling language for mathematical optimization,” </w:t>
      </w:r>
      <w:r>
        <w:rPr>
          <w:rFonts w:ascii="Calibri" w:cs="Calibri" w:eastAsia="Calibri" w:hAnsi="Calibri"/>
          <w:i/>
          <w:iCs/>
          <w:sz w:val="21"/>
          <w:szCs w:val="21"/>
        </w:rPr>
        <w:t xml:space="preserve">SIAM Review</w:t>
      </w:r>
      <w:r>
        <w:rPr>
          <w:rFonts w:ascii="Calibri" w:cs="Calibri" w:eastAsia="Calibri" w:hAnsi="Calibri"/>
          <w:sz w:val="21"/>
          <w:szCs w:val="21"/>
        </w:rPr>
        <w:t xml:space="preserve">, vol. 59, no. 2, pp. 295–320, 2017.</w:t>
      </w:r>
    </w:p>
    <w:p>
      <w:r>
        <w:br w:type="page"/>
      </w:r>
    </w:p>
    <w:p>
      <w:pPr>
        <w:pStyle w:val="Heading1"/>
        <w:spacing w:after="120" w:before="240"/>
        <w:outlineLvl w:val="0"/>
      </w:pPr>
      <w:r>
        <w:t xml:space="preserve">Appendix A — Case study data</w:t>
      </w:r>
    </w:p>
    <w:p>
      <w:pPr>
        <w:spacing w:after="110" w:line="264"/>
      </w:pPr>
      <w:r>
        <w:rPr>
          <w:rFonts w:ascii="Calibri" w:cs="Calibri" w:eastAsia="Calibri" w:hAnsi="Calibri"/>
          <w:sz w:val="21"/>
          <w:szCs w:val="21"/>
        </w:rPr>
        <w:t xml:space="preserve">From the authors' online appendix and reference implementation. The DHN is a line and its three nodes coincide with buses 1, 2 and 3.</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6120"/>
      </w:tblGrid>
      <w:tr>
        <w:trPr>
          <w:tblHeader/>
        </w:trPr>
        <w:tc>
          <w:tcPr>
            <w:tcW w:type="dxa" w:w="29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Parameter</w:t>
            </w:r>
          </w:p>
        </w:tc>
        <w:tc>
          <w:tcPr>
            <w:tcW w:type="dxa" w:w="612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Value</w:t>
            </w:r>
          </w:p>
        </w:tc>
      </w:tr>
      <w:tr>
        <w:tc>
          <w:tcPr>
            <w:tcW w:type="dxa" w:w="2900"/>
            <w:tcMar>
              <w:top w:type="dxa" w:w="50"/>
              <w:left w:type="dxa" w:w="90"/>
              <w:bottom w:type="dxa" w:w="50"/>
              <w:right w:type="dxa" w:w="90"/>
            </w:tcMar>
          </w:tcPr>
          <w:p>
            <w:pPr>
              <w:spacing w:after="0" w:line="230"/>
            </w:pPr>
            <w:r>
              <w:rPr>
                <w:rFonts w:ascii="Calibri" w:cs="Calibri" w:eastAsia="Calibri" w:hAnsi="Calibri"/>
                <w:sz w:val="18"/>
                <w:szCs w:val="18"/>
              </w:rPr>
              <w:t xml:space="preserve">Water density ρ / specific heat c</w:t>
            </w:r>
          </w:p>
        </w:tc>
        <w:tc>
          <w:tcPr>
            <w:tcW w:type="dxa" w:w="6120"/>
            <w:tcMar>
              <w:top w:type="dxa" w:w="50"/>
              <w:left w:type="dxa" w:w="90"/>
              <w:bottom w:type="dxa" w:w="50"/>
              <w:right w:type="dxa" w:w="90"/>
            </w:tcMar>
          </w:tcPr>
          <w:p>
            <w:pPr>
              <w:spacing w:after="0" w:line="230"/>
            </w:pPr>
            <w:r>
              <w:rPr>
                <w:rFonts w:ascii="Calibri" w:cs="Calibri" w:eastAsia="Calibri" w:hAnsi="Calibri"/>
                <w:sz w:val="18"/>
                <w:szCs w:val="18"/>
              </w:rPr>
              <w:t xml:space="preserve">1000 kg/m³ / 4.21344e-3 MJ/(kg·K), i.e. 4213 J/(kg·K)</w:t>
            </w:r>
          </w:p>
        </w:tc>
      </w:tr>
      <w:tr>
        <w:tc>
          <w:tcPr>
            <w:tcW w:type="dxa" w:w="29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Time step Δt</w:t>
            </w:r>
          </w:p>
        </w:tc>
        <w:tc>
          <w:tcPr>
            <w:tcW w:type="dxa" w:w="61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3600 s</w:t>
            </w:r>
          </w:p>
        </w:tc>
      </w:tr>
      <w:tr>
        <w:tc>
          <w:tcPr>
            <w:tcW w:type="dxa" w:w="2900"/>
            <w:tcMar>
              <w:top w:type="dxa" w:w="50"/>
              <w:left w:type="dxa" w:w="90"/>
              <w:bottom w:type="dxa" w:w="50"/>
              <w:right w:type="dxa" w:w="90"/>
            </w:tcMar>
          </w:tcPr>
          <w:p>
            <w:pPr>
              <w:spacing w:after="0" w:line="230"/>
            </w:pPr>
            <w:r>
              <w:rPr>
                <w:rFonts w:ascii="Calibri" w:cs="Calibri" w:eastAsia="Calibri" w:hAnsi="Calibri"/>
                <w:sz w:val="18"/>
                <w:szCs w:val="18"/>
              </w:rPr>
              <w:t xml:space="preserve">Pipes (2)</w:t>
            </w:r>
          </w:p>
        </w:tc>
        <w:tc>
          <w:tcPr>
            <w:tcW w:type="dxa" w:w="6120"/>
            <w:tcMar>
              <w:top w:type="dxa" w:w="50"/>
              <w:left w:type="dxa" w:w="90"/>
              <w:bottom w:type="dxa" w:w="50"/>
              <w:right w:type="dxa" w:w="90"/>
            </w:tcMar>
          </w:tcPr>
          <w:p>
            <w:pPr>
              <w:spacing w:after="0" w:line="230"/>
            </w:pPr>
            <w:r>
              <w:rPr>
                <w:rFonts w:ascii="Calibri" w:cs="Calibri" w:eastAsia="Calibri" w:hAnsi="Calibri"/>
                <w:sz w:val="18"/>
                <w:szCs w:val="18"/>
              </w:rPr>
              <w:t xml:space="preserve">R = 0.8 m, L = 500 m, μ = 20 W/(m²·K), φ = 1.93253e-3 kPa/(kg/s)²</w:t>
            </w:r>
          </w:p>
        </w:tc>
      </w:tr>
      <w:tr>
        <w:tc>
          <w:tcPr>
            <w:tcW w:type="dxa" w:w="29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Pipe mass flow bounds</w:t>
            </w:r>
          </w:p>
        </w:tc>
        <w:tc>
          <w:tcPr>
            <w:tcW w:type="dxa" w:w="61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50–300 kg/s</w:t>
            </w:r>
          </w:p>
        </w:tc>
      </w:tr>
      <w:tr>
        <w:tc>
          <w:tcPr>
            <w:tcW w:type="dxa" w:w="2900"/>
            <w:tcMar>
              <w:top w:type="dxa" w:w="50"/>
              <w:left w:type="dxa" w:w="90"/>
              <w:bottom w:type="dxa" w:w="50"/>
              <w:right w:type="dxa" w:w="90"/>
            </w:tcMar>
          </w:tcPr>
          <w:p>
            <w:pPr>
              <w:spacing w:after="0" w:line="230"/>
            </w:pPr>
            <w:r>
              <w:rPr>
                <w:rFonts w:ascii="Calibri" w:cs="Calibri" w:eastAsia="Calibri" w:hAnsi="Calibri"/>
                <w:sz w:val="18"/>
                <w:szCs w:val="18"/>
              </w:rPr>
              <w:t xml:space="preserve">Supply / return temperature bounds</w:t>
            </w:r>
          </w:p>
        </w:tc>
        <w:tc>
          <w:tcPr>
            <w:tcW w:type="dxa" w:w="6120"/>
            <w:tcMar>
              <w:top w:type="dxa" w:w="50"/>
              <w:left w:type="dxa" w:w="90"/>
              <w:bottom w:type="dxa" w:w="50"/>
              <w:right w:type="dxa" w:w="90"/>
            </w:tcMar>
          </w:tcPr>
          <w:p>
            <w:pPr>
              <w:spacing w:after="0" w:line="230"/>
            </w:pPr>
            <w:r>
              <w:rPr>
                <w:rFonts w:ascii="Calibri" w:cs="Calibri" w:eastAsia="Calibri" w:hAnsi="Calibri"/>
                <w:sz w:val="18"/>
                <w:szCs w:val="18"/>
              </w:rPr>
              <w:t xml:space="preserve">363.15–393.15 K (90–120 °C) / 303.15–333.15 K (30–60 °C)</w:t>
            </w:r>
          </w:p>
        </w:tc>
      </w:tr>
      <w:tr>
        <w:tc>
          <w:tcPr>
            <w:tcW w:type="dxa" w:w="29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Nodal pressure bounds</w:t>
            </w:r>
          </w:p>
        </w:tc>
        <w:tc>
          <w:tcPr>
            <w:tcW w:type="dxa" w:w="61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50–5000 kPa</w:t>
            </w:r>
          </w:p>
        </w:tc>
      </w:tr>
      <w:tr>
        <w:tc>
          <w:tcPr>
            <w:tcW w:type="dxa" w:w="2900"/>
            <w:tcMar>
              <w:top w:type="dxa" w:w="50"/>
              <w:left w:type="dxa" w:w="90"/>
              <w:bottom w:type="dxa" w:w="50"/>
              <w:right w:type="dxa" w:w="90"/>
            </w:tcMar>
          </w:tcPr>
          <w:p>
            <w:pPr>
              <w:spacing w:after="0" w:line="230"/>
            </w:pPr>
            <w:r>
              <w:rPr>
                <w:rFonts w:ascii="Calibri" w:cs="Calibri" w:eastAsia="Calibri" w:hAnsi="Calibri"/>
                <w:sz w:val="18"/>
                <w:szCs w:val="18"/>
              </w:rPr>
              <w:t xml:space="preserve">HES1 (node 3)</w:t>
            </w:r>
          </w:p>
        </w:tc>
        <w:tc>
          <w:tcPr>
            <w:tcW w:type="dxa" w:w="6120"/>
            <w:tcMar>
              <w:top w:type="dxa" w:w="50"/>
              <w:left w:type="dxa" w:w="90"/>
              <w:bottom w:type="dxa" w:w="50"/>
              <w:right w:type="dxa" w:w="90"/>
            </w:tcMar>
          </w:tcPr>
          <w:p>
            <w:pPr>
              <w:spacing w:after="0" w:line="230"/>
            </w:pPr>
            <w:r>
              <w:rPr>
                <w:rFonts w:ascii="Calibri" w:cs="Calibri" w:eastAsia="Calibri" w:hAnsi="Calibri"/>
                <w:sz w:val="18"/>
                <w:szCs w:val="18"/>
              </w:rPr>
              <w:t xml:space="preserve">mass flow 150–300 kg/s, minimum pressure difference 1000 kPa</w:t>
            </w:r>
          </w:p>
        </w:tc>
      </w:tr>
      <w:tr>
        <w:tc>
          <w:tcPr>
            <w:tcW w:type="dxa" w:w="29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CHP1 (node 2, bus 2)</w:t>
            </w:r>
          </w:p>
        </w:tc>
        <w:tc>
          <w:tcPr>
            <w:tcW w:type="dxa" w:w="61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r = 0.6, ρE = 2.4, ρH = 0.25, F̄ = 250 MW, 12.5 $/MWh fuel, Q̄ = 100 MW</w:t>
            </w:r>
          </w:p>
        </w:tc>
      </w:tr>
      <w:tr>
        <w:tc>
          <w:tcPr>
            <w:tcW w:type="dxa" w:w="2900"/>
            <w:tcMar>
              <w:top w:type="dxa" w:w="50"/>
              <w:left w:type="dxa" w:w="90"/>
              <w:bottom w:type="dxa" w:w="50"/>
              <w:right w:type="dxa" w:w="90"/>
            </w:tcMar>
          </w:tcPr>
          <w:p>
            <w:pPr>
              <w:spacing w:after="0" w:line="230"/>
            </w:pPr>
            <w:r>
              <w:rPr>
                <w:rFonts w:ascii="Calibri" w:cs="Calibri" w:eastAsia="Calibri" w:hAnsi="Calibri"/>
                <w:sz w:val="18"/>
                <w:szCs w:val="18"/>
              </w:rPr>
              <w:t xml:space="preserve">HP1 (node 1, bus 1)</w:t>
            </w:r>
          </w:p>
        </w:tc>
        <w:tc>
          <w:tcPr>
            <w:tcW w:type="dxa" w:w="6120"/>
            <w:tcMar>
              <w:top w:type="dxa" w:w="50"/>
              <w:left w:type="dxa" w:w="90"/>
              <w:bottom w:type="dxa" w:w="50"/>
              <w:right w:type="dxa" w:w="90"/>
            </w:tcMar>
          </w:tcPr>
          <w:p>
            <w:pPr>
              <w:spacing w:after="0" w:line="230"/>
            </w:pPr>
            <w:r>
              <w:rPr>
                <w:rFonts w:ascii="Calibri" w:cs="Calibri" w:eastAsia="Calibri" w:hAnsi="Calibri"/>
                <w:sz w:val="18"/>
                <w:szCs w:val="18"/>
              </w:rPr>
              <w:t xml:space="preserve">COP = 2.5, Q̄ = 150 MW, L̄ = 60 MW</w:t>
            </w:r>
          </w:p>
        </w:tc>
      </w:tr>
      <w:tr>
        <w:tc>
          <w:tcPr>
            <w:tcW w:type="dxa" w:w="29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G1 (bus 6) / G2 (bus 2)</w:t>
            </w:r>
          </w:p>
        </w:tc>
        <w:tc>
          <w:tcPr>
            <w:tcW w:type="dxa" w:w="61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180 MW at 11 $/MWh / 100 MW at 33 $/MWh</w:t>
            </w:r>
          </w:p>
        </w:tc>
      </w:tr>
      <w:tr>
        <w:tc>
          <w:tcPr>
            <w:tcW w:type="dxa" w:w="2900"/>
            <w:tcMar>
              <w:top w:type="dxa" w:w="50"/>
              <w:left w:type="dxa" w:w="90"/>
              <w:bottom w:type="dxa" w:w="50"/>
              <w:right w:type="dxa" w:w="90"/>
            </w:tcMar>
          </w:tcPr>
          <w:p>
            <w:pPr>
              <w:spacing w:after="0" w:line="230"/>
            </w:pPr>
            <w:r>
              <w:rPr>
                <w:rFonts w:ascii="Calibri" w:cs="Calibri" w:eastAsia="Calibri" w:hAnsi="Calibri"/>
                <w:sz w:val="18"/>
                <w:szCs w:val="18"/>
              </w:rPr>
              <w:t xml:space="preserve">W1 (bus 1)</w:t>
            </w:r>
          </w:p>
        </w:tc>
        <w:tc>
          <w:tcPr>
            <w:tcW w:type="dxa" w:w="6120"/>
            <w:tcMar>
              <w:top w:type="dxa" w:w="50"/>
              <w:left w:type="dxa" w:w="90"/>
              <w:bottom w:type="dxa" w:w="50"/>
              <w:right w:type="dxa" w:w="90"/>
            </w:tcMar>
          </w:tcPr>
          <w:p>
            <w:pPr>
              <w:spacing w:after="0" w:line="230"/>
            </w:pPr>
            <w:r>
              <w:rPr>
                <w:rFonts w:ascii="Calibri" w:cs="Calibri" w:eastAsia="Calibri" w:hAnsi="Calibri"/>
                <w:sz w:val="18"/>
                <w:szCs w:val="18"/>
              </w:rPr>
              <w:t xml:space="preserve">500 MW installed, derated hourly, 0.0001 $/MWh</w:t>
            </w:r>
          </w:p>
        </w:tc>
      </w:tr>
      <w:tr>
        <w:tc>
          <w:tcPr>
            <w:tcW w:type="dxa" w:w="29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Electricity load split / lines</w:t>
            </w:r>
          </w:p>
        </w:tc>
        <w:tc>
          <w:tcPr>
            <w:tcW w:type="dxa" w:w="61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20 % bus 3, 40 % bus 4, 40 % bus 5 / 1-2, 2-3, 3-6, 6-5, 5-4, 4-1, 3-5</w:t>
            </w:r>
          </w:p>
        </w:tc>
      </w:tr>
    </w:tbl>
    <w:p>
      <w:pPr>
        <w:spacing w:after="180" w:before="40"/>
      </w:pPr>
      <w:r>
        <w:rPr>
          <w:rFonts w:ascii="Calibri" w:cs="Calibri" w:eastAsia="Calibri" w:hAnsi="Calibri"/>
          <w:i/>
          <w:iCs/>
          <w:color w:val="595959"/>
          <w:sz w:val="17"/>
          <w:szCs w:val="17"/>
        </w:rPr>
        <w:t xml:space="preserve">Table A1. Case study parameters.</w:t>
      </w:r>
    </w:p>
    <w:p>
      <w:pPr>
        <w:pStyle w:val="Heading1"/>
        <w:spacing w:after="120" w:before="240"/>
        <w:outlineLvl w:val="0"/>
      </w:pPr>
      <w:r>
        <w:t xml:space="preserve">Appendix B — Equation-to-code map</w:t>
      </w:r>
    </w:p>
    <w:p>
      <w:pPr>
        <w:spacing w:after="110" w:line="264"/>
      </w:pPr>
      <w:r>
        <w:rPr>
          <w:rFonts w:ascii="Calibri" w:cs="Calibri" w:eastAsia="Calibri" w:hAnsi="Calibri"/>
          <w:sz w:val="21"/>
          <w:szCs w:val="21"/>
        </w:rPr>
        <w:t xml:space="preserve">Paths are relative to the repository root; the model files are in </w:t>
      </w:r>
      <w:r>
        <w:rPr>
          <w:rFonts w:ascii="Consolas" w:cs="Consolas" w:eastAsia="Consolas" w:hAnsi="Consolas"/>
          <w:sz w:val="19"/>
          <w:szCs w:val="19"/>
        </w:rPr>
        <w:t xml:space="preserve">src/</w:t>
      </w:r>
      <w:r>
        <w:rPr>
          <w:rFonts w:ascii="Calibri" w:cs="Calibri" w:eastAsia="Calibri" w:hAnsi="Calibri"/>
          <w:sz w:val="21"/>
          <w:szCs w:val="21"/>
        </w:rPr>
        <w:t xml:space="preserve">. Constraint names are the JuMP keys used in the code.</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100"/>
        <w:gridCol w:w="4300"/>
        <w:gridCol w:w="3620"/>
      </w:tblGrid>
      <w:tr>
        <w:trPr>
          <w:tblHeader/>
        </w:trPr>
        <w:tc>
          <w:tcPr>
            <w:tcW w:type="dxa" w:w="11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Eq.</w:t>
            </w:r>
          </w:p>
        </w:tc>
        <w:tc>
          <w:tcPr>
            <w:tcW w:type="dxa" w:w="430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Meaning</w:t>
            </w:r>
          </w:p>
        </w:tc>
        <w:tc>
          <w:tcPr>
            <w:tcW w:type="dxa" w:w="3620"/>
            <w:shd w:fill="DCE6F1" w:color="auto" w:val="clear"/>
            <w:tcMar>
              <w:top w:type="dxa" w:w="50"/>
              <w:left w:type="dxa" w:w="90"/>
              <w:bottom w:type="dxa" w:w="50"/>
              <w:right w:type="dxa" w:w="90"/>
            </w:tcMar>
          </w:tcPr>
          <w:p>
            <w:pPr>
              <w:spacing w:after="0" w:line="230"/>
            </w:pPr>
            <w:r>
              <w:rPr>
                <w:rFonts w:ascii="Calibri" w:cs="Calibri" w:eastAsia="Calibri" w:hAnsi="Calibri"/>
                <w:b/>
                <w:bCs/>
                <w:sz w:val="18"/>
                <w:szCs w:val="18"/>
              </w:rPr>
              <w:t xml:space="preserve">Location</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(1)</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Mass flow bounds in the pipes</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build_chpd_minlp.jl, bounds on mfS, mfR</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Pressure loss, quadratic equality</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build_chpd_minlp.jl :eq2S, :eq2R</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(3), (4)</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Pipe inlet temperatures</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:eq3, :eq4</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(5)</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Pipe outlet temperature, thermal loss</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:eq5S, :eq5R (zero-delay case)</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(6)–(13)</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Time delays, big-M linearisation</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delays.jl, add_delays!</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(14)</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Nodal mass balance</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:eq14S, :eq14R</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(15)</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Nodal pressure bounds</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bounds on prS, prR</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(16), (17)</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Nodal temperature mixing, bilinear</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:eq16, :eq17</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(18)</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Nodal temperature bounds</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bounds on TS, TR</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(19), (20)</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Single-pipe node shortcut</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:eq19, :eq20</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(21)</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HES heat load, bilinear</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:eq21</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(22)</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HES mass flow bounds</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bounds on mfHES</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(23)</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HES pressure difference threshold</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:eq23</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(24)</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Heat station output, bilinear</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:eq24</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(25), (26)</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Heat station heat and flow bounds</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bounds on Q, mfHS</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(27)</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Water pump power, bilinear</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:eq27</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(28), (29)</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Extraction CHP region</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:eq28, :eq29</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(30)</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Heat pump COP</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:eq30</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(31)</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DC power balance</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:eq31</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(32)</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Line flow limits</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:eq32</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(33)</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Generator bounds</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bounds on P</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(34), (35)</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Cost and objective</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m.ext[:objective]</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(36)</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Convex quadratic pressure loss</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build_chpd_misocp.jl :eq36S, :eq36R</w:t>
            </w:r>
          </w:p>
        </w:tc>
      </w:tr>
      <w:tr>
        <w:tc>
          <w:tcPr>
            <w:tcW w:type="dxa" w:w="11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III-A</w:t>
            </w:r>
          </w:p>
        </w:tc>
        <w:tc>
          <w:tcPr>
            <w:tcW w:type="dxa" w:w="430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McCormick envelopes of (16), (17), (21), (24), (27)</w:t>
            </w:r>
          </w:p>
        </w:tc>
        <w:tc>
          <w:tcPr>
            <w:tcW w:type="dxa" w:w="3620"/>
            <w:shd w:fill="F2F6FA" w:color="auto" w:val="clear"/>
            <w:tcMar>
              <w:top w:type="dxa" w:w="50"/>
              <w:left w:type="dxa" w:w="90"/>
              <w:bottom w:type="dxa" w:w="50"/>
              <w:right w:type="dxa" w:w="90"/>
            </w:tcMar>
          </w:tcPr>
          <w:p>
            <w:pPr>
              <w:spacing w:after="0" w:line="230"/>
            </w:pPr>
            <w:r>
              <w:rPr>
                <w:rFonts w:ascii="Calibri" w:cs="Calibri" w:eastAsia="Calibri" w:hAnsi="Calibri"/>
                <w:sz w:val="18"/>
                <w:szCs w:val="18"/>
              </w:rPr>
              <w:t xml:space="preserve">build_chpd_misocp.jl :eq16mc … :eq27mc</w:t>
            </w:r>
          </w:p>
        </w:tc>
      </w:tr>
      <w:tr>
        <w:tc>
          <w:tcPr>
            <w:tcW w:type="dxa" w:w="1100"/>
            <w:tcMar>
              <w:top w:type="dxa" w:w="50"/>
              <w:left w:type="dxa" w:w="90"/>
              <w:bottom w:type="dxa" w:w="50"/>
              <w:right w:type="dxa" w:w="90"/>
            </w:tcMar>
          </w:tcPr>
          <w:p>
            <w:pPr>
              <w:spacing w:after="0" w:line="230"/>
            </w:pPr>
            <w:r>
              <w:rPr>
                <w:rFonts w:ascii="Calibri" w:cs="Calibri" w:eastAsia="Calibri" w:hAnsi="Calibri"/>
                <w:sz w:val="18"/>
                <w:szCs w:val="18"/>
              </w:rPr>
              <w:t xml:space="preserve">(38), (39)</w:t>
            </w:r>
          </w:p>
        </w:tc>
        <w:tc>
          <w:tcPr>
            <w:tcW w:type="dxa" w:w="4300"/>
            <w:tcMar>
              <w:top w:type="dxa" w:w="50"/>
              <w:left w:type="dxa" w:w="90"/>
              <w:bottom w:type="dxa" w:w="50"/>
              <w:right w:type="dxa" w:w="90"/>
            </w:tcMar>
          </w:tcPr>
          <w:p>
            <w:pPr>
              <w:spacing w:after="0" w:line="230"/>
            </w:pPr>
            <w:r>
              <w:rPr>
                <w:rFonts w:ascii="Calibri" w:cs="Calibri" w:eastAsia="Calibri" w:hAnsi="Calibri"/>
                <w:sz w:val="18"/>
                <w:szCs w:val="18"/>
              </w:rPr>
              <w:t xml:space="preserve">CED benchmark (extension)</w:t>
            </w:r>
          </w:p>
        </w:tc>
        <w:tc>
          <w:tcPr>
            <w:tcW w:type="dxa" w:w="3620"/>
            <w:tcMar>
              <w:top w:type="dxa" w:w="50"/>
              <w:left w:type="dxa" w:w="90"/>
              <w:bottom w:type="dxa" w:w="50"/>
              <w:right w:type="dxa" w:w="90"/>
            </w:tcMar>
          </w:tcPr>
          <w:p>
            <w:pPr>
              <w:spacing w:after="0" w:line="230"/>
            </w:pPr>
            <w:r>
              <w:rPr>
                <w:rFonts w:ascii="Calibri" w:cs="Calibri" w:eastAsia="Calibri" w:hAnsi="Calibri"/>
                <w:sz w:val="18"/>
                <w:szCs w:val="18"/>
              </w:rPr>
              <w:t xml:space="preserve">build_ced.jl :eq38, :eq39</w:t>
            </w:r>
          </w:p>
        </w:tc>
      </w:tr>
    </w:tbl>
    <w:p>
      <w:pPr>
        <w:spacing w:after="180" w:before="40"/>
      </w:pPr>
      <w:r>
        <w:rPr>
          <w:rFonts w:ascii="Calibri" w:cs="Calibri" w:eastAsia="Calibri" w:hAnsi="Calibri"/>
          <w:i/>
          <w:iCs/>
          <w:color w:val="595959"/>
          <w:sz w:val="17"/>
          <w:szCs w:val="17"/>
        </w:rPr>
        <w:t xml:space="preserve">Table B1. Where each equation of the paper is implemented.</w:t>
      </w:r>
    </w:p>
    <w:p>
      <w:pPr>
        <w:spacing w:after="110" w:line="264"/>
      </w:pPr>
      <w:r>
        <w:rPr>
          <w:rFonts w:ascii="Calibri" w:cs="Calibri" w:eastAsia="Calibri" w:hAnsi="Calibri"/>
          <w:sz w:val="21"/>
          <w:szCs w:val="21"/>
        </w:rPr>
        <w:t xml:space="preserve">The full source, data and tests are in the repository at </w:t>
      </w:r>
      <w:r>
        <w:rPr>
          <w:rFonts w:ascii="Consolas" w:cs="Consolas" w:eastAsia="Consolas" w:hAnsi="Consolas"/>
          <w:sz w:val="19"/>
          <w:szCs w:val="19"/>
        </w:rPr>
        <w:t xml:space="preserve">https://github.com/&lt;your-account&gt;/chpd-dhn-flexibility</w:t>
      </w:r>
      <w:r>
        <w:rPr>
          <w:rFonts w:ascii="Calibri" w:cs="Calibri" w:eastAsia="Calibri" w:hAnsi="Calibri"/>
          <w:sz w:val="21"/>
          <w:szCs w:val="21"/>
        </w:rPr>
        <w:t xml:space="preserve">. It runs with </w:t>
      </w:r>
      <w:r>
        <w:rPr>
          <w:rFonts w:ascii="Consolas" w:cs="Consolas" w:eastAsia="Consolas" w:hAnsi="Consolas"/>
          <w:sz w:val="19"/>
          <w:szCs w:val="19"/>
        </w:rPr>
        <w:t xml:space="preserve">julia --project=. src/chpd.jl</w:t>
      </w:r>
      <w:r>
        <w:rPr>
          <w:rFonts w:ascii="Calibri" w:cs="Calibri" w:eastAsia="Calibri" w:hAnsi="Calibri"/>
          <w:sz w:val="21"/>
          <w:szCs w:val="21"/>
        </w:rPr>
        <w:t xml:space="preserve">; see its README for the other scenarios and the expected output.</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default="1" w:styleId="Normal">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keepNext/>
      <w:outlineLvl w:val="0"/>
      <w:spacing w:after="150" w:before="300"/>
    </w:pPr>
    <w:rPr>
      <w:rFonts w:ascii="Calibri" w:cs="Calibri" w:eastAsia="Calibri" w:hAnsi="Calibri"/>
      <w:b/>
      <w:bCs/>
      <w:color w:val="1F3864"/>
      <w:sz w:val="28"/>
      <w:szCs w:val="28"/>
    </w:rPr>
  </w:style>
  <w:style w:type="paragraph" w:styleId="Heading2">
    <w:name w:val="heading 2"/>
    <w:basedOn w:val="Normal"/>
    <w:next w:val="Normal"/>
    <w:qFormat/>
    <w:pPr>
      <w:keepNext/>
      <w:outlineLvl w:val="1"/>
      <w:spacing w:after="120" w:before="240"/>
    </w:pPr>
    <w:rPr>
      <w:rFonts w:ascii="Calibri" w:cs="Calibri" w:eastAsia="Calibri" w:hAnsi="Calibri"/>
      <w:b/>
      <w:bCs/>
      <w:color w:val="2E5496"/>
      <w:sz w:val="24"/>
      <w:szCs w:val="24"/>
    </w:rPr>
  </w:style>
  <w:style w:type="paragraph" w:styleId="Heading3">
    <w:name w:val="heading 3"/>
    <w:basedOn w:val="Normal"/>
    <w:next w:val="Normal"/>
    <w:qFormat/>
    <w:pPr>
      <w:keepNext/>
      <w:outlineLvl w:val="2"/>
      <w:spacing w:after="100" w:before="200"/>
    </w:pPr>
    <w:rPr>
      <w:rFonts w:ascii="Calibri" w:cs="Calibri" w:eastAsia="Calibri" w:hAnsi="Calibri"/>
      <w:b/>
      <w:bCs/>
      <w:color w:val="404040"/>
      <w:sz w:val="22"/>
      <w:szCs w:val="22"/>
    </w:rPr>
  </w:style>
  <w:style w:type="paragraph" w:styleId="Heading4">
    <w:name w:val="heading 4"/>
    <w:basedOn w:val="Normal"/>
    <w:next w:val="Normal"/>
    <w:qFormat/>
    <w:pPr>
      <w:keepNext/>
      <w:outlineLvl w:val="3"/>
    </w:pPr>
    <w:rPr>
      <w:i/>
      <w:iCs/>
      <w:color w:val="2E74B5"/>
    </w:rPr>
  </w:style>
  <w:style w:type="paragraph" w:styleId="Heading5">
    <w:name w:val="heading 5"/>
    <w:basedOn w:val="Normal"/>
    <w:next w:val="Normal"/>
    <w:qFormat/>
    <w:pPr>
      <w:keepNext/>
      <w:outlineLvl w:val="4"/>
    </w:pPr>
    <w:rPr>
      <w:color w:val="2E74B5"/>
    </w:rPr>
  </w:style>
  <w:style w:type="paragraph" w:styleId="Heading6">
    <w:name w:val="heading 6"/>
    <w:basedOn w:val="Normal"/>
    <w:next w:val="Normal"/>
    <w:qFormat/>
    <w:pPr>
      <w:keepNext/>
      <w:outlineLvl w:val="5"/>
    </w:pPr>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138af534762a099552bbf79ccd8ab98a9aa0a48.png"/><Relationship Id="rId8" Type="http://schemas.openxmlformats.org/officeDocument/2006/relationships/image" Target="media/a5680f7c3d2a3cdc61857e3e97924e5b138bc1ab.png"/><Relationship Id="rId9" Type="http://schemas.openxmlformats.org/officeDocument/2006/relationships/image" Target="media/f67cd8c350874abe4cd792cfdc514c28eb0a940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Systems Flexibility from District Heating Networks</dc:title>
  <dc:creator>Sudhamshu M Reddy</dc:creator>
  <dc:description>Optimization of Energy Systems assignment report</dc:description>
  <cp:lastModifiedBy>Un-named</cp:lastModifiedBy>
  <cp:revision>1</cp:revision>
  <dcterms:created xsi:type="dcterms:W3CDTF">2026-08-12T21:00:18.943Z</dcterms:created>
  <dcterms:modified xsi:type="dcterms:W3CDTF">2026-08-12T21:00:19.208Z</dcterms:modified>
</cp:coreProperties>
</file>

<file path=docProps/custom.xml><?xml version="1.0" encoding="utf-8"?>
<Properties xmlns="http://schemas.openxmlformats.org/officeDocument/2006/custom-properties" xmlns:vt="http://schemas.openxmlformats.org/officeDocument/2006/docPropsVTypes"/>
</file>