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0F172A"/>
          <w:sz w:val="56"/>
        </w:rPr>
        <w:t>School Management Software</w:t>
      </w:r>
    </w:p>
    <w:p/>
    <w:p>
      <w:pPr>
        <w:jc w:val="center"/>
      </w:pPr>
      <w:r>
        <w:rPr>
          <w:rFonts w:ascii="Georgia" w:hAnsi="Georgia"/>
          <w:color w:val="3B82F6"/>
          <w:sz w:val="28"/>
        </w:rPr>
        <w:t>Universal Primitives: The Design Vocabulary for a Configurable System</w:t>
      </w:r>
    </w:p>
    <w:p/>
    <w:p/>
    <w:p/>
    <w:p>
      <w:pPr>
        <w:jc w:val="center"/>
      </w:pPr>
      <w:r>
        <w:rPr>
          <w:color w:val="64738B"/>
          <w:sz w:val="22"/>
        </w:rPr>
        <w:t xml:space="preserve">Student: </w:t>
      </w:r>
      <w:r>
        <w:rPr>
          <w:color w:val="1E293B"/>
          <w:sz w:val="22"/>
        </w:rPr>
        <w:t>Edidiong Emmanuel Samuel</w:t>
      </w:r>
    </w:p>
    <w:p>
      <w:pPr>
        <w:jc w:val="center"/>
      </w:pPr>
      <w:r>
        <w:rPr>
          <w:color w:val="64738B"/>
          <w:sz w:val="22"/>
        </w:rPr>
        <w:t xml:space="preserve">Institution: </w:t>
      </w:r>
      <w:r>
        <w:rPr>
          <w:color w:val="1E293B"/>
          <w:sz w:val="22"/>
        </w:rPr>
        <w:t>NIIT — MMS (Software Engineering)</w:t>
      </w:r>
    </w:p>
    <w:p>
      <w:pPr>
        <w:jc w:val="center"/>
      </w:pPr>
      <w:r>
        <w:rPr>
          <w:color w:val="64738B"/>
          <w:sz w:val="22"/>
        </w:rPr>
        <w:t xml:space="preserve">Academic Session: </w:t>
      </w:r>
      <w:r>
        <w:rPr>
          <w:color w:val="1E293B"/>
          <w:sz w:val="22"/>
        </w:rPr>
        <w:t>2025/2026</w:t>
      </w:r>
    </w:p>
    <w:p>
      <w:pPr>
        <w:jc w:val="center"/>
      </w:pPr>
      <w:r>
        <w:rPr>
          <w:color w:val="64738B"/>
          <w:sz w:val="22"/>
        </w:rPr>
        <w:t xml:space="preserve">Date of Submission: </w:t>
      </w:r>
      <w:r>
        <w:rPr>
          <w:color w:val="1E293B"/>
          <w:sz w:val="22"/>
        </w:rPr>
        <w:t>July 2026</w:t>
      </w:r>
    </w:p>
    <w:p>
      <w:pPr>
        <w:jc w:val="center"/>
      </w:pPr>
      <w:r>
        <w:rPr>
          <w:color w:val="64738B"/>
          <w:sz w:val="22"/>
        </w:rPr>
        <w:t xml:space="preserve">Location: </w:t>
      </w:r>
      <w:r>
        <w:rPr>
          <w:color w:val="1E293B"/>
          <w:sz w:val="22"/>
        </w:rPr>
        <w:t>8 Sirakoro St, Wuse 2, Abuja, Federal Capital Territory, Nigeria</w:t>
      </w:r>
    </w:p>
    <w:p>
      <w:r>
        <w:br w:type="page"/>
      </w:r>
    </w:p>
    <w:p>
      <w:pPr>
        <w:pStyle w:val="Heading1"/>
      </w:pPr>
      <w:r>
        <w:t>Table of Contents</w:t>
      </w:r>
    </w:p>
    <w:p>
      <w:pPr>
        <w:spacing w:after="40"/>
      </w:pPr>
      <w:r>
        <w:rPr>
          <w:sz w:val="22"/>
        </w:rPr>
        <w:t>1. Introduction and Design Principle</w:t>
      </w:r>
    </w:p>
    <w:p>
      <w:pPr>
        <w:spacing w:after="40"/>
      </w:pPr>
      <w:r>
        <w:rPr>
          <w:sz w:val="22"/>
        </w:rPr>
        <w:t>2. The Fourteen Universal Concepts</w:t>
      </w:r>
    </w:p>
    <w:p>
      <w:pPr>
        <w:spacing w:after="40"/>
      </w:pPr>
      <w:r>
        <w:rPr>
          <w:sz w:val="22"/>
        </w:rPr>
        <w:t>3. Deep Dive: People and Roles</w:t>
      </w:r>
    </w:p>
    <w:p>
      <w:pPr>
        <w:spacing w:after="40"/>
      </w:pPr>
      <w:r>
        <w:rPr>
          <w:sz w:val="22"/>
        </w:rPr>
        <w:t>4. Deep Dive: Structure</w:t>
      </w:r>
    </w:p>
    <w:p>
      <w:pPr>
        <w:spacing w:after="40"/>
      </w:pPr>
      <w:r>
        <w:rPr>
          <w:sz w:val="22"/>
        </w:rPr>
        <w:t>5. Deep Dive: Cohorts and Enrollment</w:t>
      </w:r>
    </w:p>
    <w:p>
      <w:pPr>
        <w:spacing w:after="40"/>
      </w:pPr>
      <w:r>
        <w:rPr>
          <w:sz w:val="22"/>
        </w:rPr>
        <w:t>6. Deep Dive: Time</w:t>
      </w:r>
    </w:p>
    <w:p>
      <w:pPr>
        <w:spacing w:after="40"/>
      </w:pPr>
      <w:r>
        <w:rPr>
          <w:sz w:val="22"/>
        </w:rPr>
        <w:t>7. Deep Dive: Assessment and Records</w:t>
      </w:r>
    </w:p>
    <w:p>
      <w:pPr>
        <w:spacing w:after="40"/>
      </w:pPr>
      <w:r>
        <w:rPr>
          <w:sz w:val="22"/>
        </w:rPr>
        <w:t>8. Deep Dive: Credentials and Progression</w:t>
      </w:r>
    </w:p>
    <w:p>
      <w:pPr>
        <w:spacing w:after="40"/>
      </w:pPr>
      <w:r>
        <w:rPr>
          <w:sz w:val="22"/>
        </w:rPr>
        <w:t>9. Deep Dive: Resources and Finance</w:t>
      </w:r>
    </w:p>
    <w:p>
      <w:pPr>
        <w:spacing w:after="40"/>
      </w:pPr>
      <w:r>
        <w:rPr>
          <w:sz w:val="22"/>
        </w:rPr>
        <w:t>10. The Three Primitives That Determine Success</w:t>
      </w:r>
    </w:p>
    <w:p>
      <w:pPr>
        <w:spacing w:after="40"/>
      </w:pPr>
      <w:r>
        <w:rPr>
          <w:sz w:val="22"/>
        </w:rPr>
        <w:t>11. Scope and Boundaries</w:t>
      </w:r>
    </w:p>
    <w:p>
      <w:pPr>
        <w:spacing w:after="40"/>
      </w:pPr>
      <w:r>
        <w:rPr>
          <w:sz w:val="22"/>
        </w:rPr>
        <w:t>12. Dependencies Used</w:t>
      </w:r>
    </w:p>
    <w:p>
      <w:pPr>
        <w:spacing w:after="40"/>
      </w:pPr>
      <w:r>
        <w:rPr>
          <w:sz w:val="22"/>
        </w:rPr>
        <w:t>13. Implementation Status</w:t>
      </w:r>
    </w:p>
    <w:p>
      <w:pPr>
        <w:spacing w:after="40"/>
      </w:pPr>
      <w:r>
        <w:rPr>
          <w:sz w:val="22"/>
        </w:rPr>
        <w:t>14. Conclusion</w:t>
      </w:r>
    </w:p>
    <w:p>
      <w:pPr>
        <w:spacing w:after="40"/>
      </w:pPr>
      <w:r>
        <w:rPr>
          <w:sz w:val="22"/>
        </w:rPr>
        <w:t>Appendix A: MoSCoW Decision Matrix</w:t>
      </w:r>
    </w:p>
    <w:p>
      <w:pPr>
        <w:spacing w:after="40"/>
      </w:pPr>
      <w:r>
        <w:rPr>
          <w:sz w:val="22"/>
        </w:rPr>
        <w:t>Appendix B: Database Schema Reference</w:t>
      </w:r>
    </w:p>
    <w:p>
      <w:r>
        <w:br w:type="page"/>
      </w:r>
    </w:p>
    <w:p>
      <w:pPr>
        <w:pStyle w:val="Heading1"/>
      </w:pPr>
      <w:r>
        <w:t>1. Introduction and Design Principle</w:t>
      </w:r>
    </w:p>
    <w:p>
      <w:r>
        <w:rPr>
          <w:rFonts w:ascii="Georgia" w:hAnsi="Georgia"/>
          <w:i/>
          <w:color w:val="3B82F6"/>
          <w:sz w:val="26"/>
        </w:rPr>
        <w:t>"A university's section, a bootcamp's batch, and a primary school's class are the same entity wearing different labels."</w:t>
      </w:r>
    </w:p>
    <w:p/>
    <w:p>
      <w:r>
        <w:t>Every learning institution uses the same fourteen core concepts. The differences between them are in the labels they apply and the rules they enforce, not in the underlying data structures. This document presents the design vocabulary that enables a single software system to serve multiple institution types through configuration rather than code changes.</w:t>
      </w:r>
    </w:p>
    <w:p/>
    <w:p>
      <w:r>
        <w:rPr>
          <w:b/>
        </w:rPr>
        <w:t>Core principle: Model the abstraction; let configuration supply the label and the rules.</w:t>
      </w:r>
    </w:p>
    <w:p>
      <w:r>
        <w:t>When a developer hardcodes "Class" as a table name, they have built an application for one type of school. When they model "Cohort" as an entity and allow the tenant to label it, they have built a configurable system. This is the distinction between a single-school application and a platform.</w:t>
      </w:r>
    </w:p>
    <w:p>
      <w:r>
        <w:br w:type="page"/>
      </w:r>
    </w:p>
    <w:p>
      <w:pPr>
        <w:pStyle w:val="Heading1"/>
      </w:pPr>
      <w:r>
        <w:t>2. The Fourteen Universal Concepts</w:t>
      </w:r>
    </w:p>
    <w:p>
      <w:r>
        <w:t>The following table presents the complete vocabulary. Every learning institution on record can be described with these fourteen concepts.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3"/>
            <w:shd w:fill="0F172A" w:val="clear"/>
          </w:tcPr>
          <w:p>
            <w:pPr>
              <w:jc w:val="center"/>
            </w:pPr>
            <w:r>
              <w:rPr>
                <w:b/>
                <w:color w:val="FFFFFF"/>
                <w:sz w:val="18"/>
              </w:rPr>
              <w:t>#</w:t>
            </w:r>
          </w:p>
        </w:tc>
        <w:tc>
          <w:tcPr>
            <w:tcW w:type="dxa" w:w="1247"/>
            <w:shd w:fill="0F172A" w:val="clear"/>
          </w:tcPr>
          <w:p>
            <w:pPr>
              <w:jc w:val="center"/>
            </w:pPr>
            <w:r>
              <w:rPr>
                <w:b/>
                <w:color w:val="FFFFFF"/>
                <w:sz w:val="18"/>
              </w:rPr>
              <w:t>Concept</w:t>
            </w:r>
          </w:p>
        </w:tc>
        <w:tc>
          <w:tcPr>
            <w:tcW w:type="dxa" w:w="1814"/>
            <w:shd w:fill="0F172A" w:val="clear"/>
          </w:tcPr>
          <w:p>
            <w:pPr>
              <w:jc w:val="center"/>
            </w:pPr>
            <w:r>
              <w:rPr>
                <w:b/>
                <w:color w:val="FFFFFF"/>
                <w:sz w:val="18"/>
              </w:rPr>
              <w:t>Definition</w:t>
            </w:r>
          </w:p>
        </w:tc>
        <w:tc>
          <w:tcPr>
            <w:tcW w:type="dxa" w:w="1984"/>
            <w:shd w:fill="0F172A" w:val="clear"/>
          </w:tcPr>
          <w:p>
            <w:pPr>
              <w:jc w:val="center"/>
            </w:pPr>
            <w:r>
              <w:rPr>
                <w:b/>
                <w:color w:val="FFFFFF"/>
                <w:sz w:val="18"/>
              </w:rPr>
              <w:t>Common Labels</w:t>
            </w:r>
          </w:p>
        </w:tc>
        <w:tc>
          <w:tcPr>
            <w:tcW w:type="dxa" w:w="2154"/>
            <w:shd w:fill="0F172A" w:val="clear"/>
          </w:tcPr>
          <w:p>
            <w:pPr>
              <w:jc w:val="center"/>
            </w:pPr>
            <w:r>
              <w:rPr>
                <w:b/>
                <w:color w:val="FFFFFF"/>
                <w:sz w:val="18"/>
              </w:rPr>
              <w:t>SchoolHub Table</w:t>
            </w:r>
          </w:p>
        </w:tc>
      </w:tr>
      <w:tr>
        <w:tc>
          <w:tcPr>
            <w:tcW w:type="dxa" w:w="283"/>
            <w:shd w:fill="F1F5F9" w:val="clear"/>
          </w:tcPr>
          <w:p>
            <w:r>
              <w:rPr>
                <w:sz w:val="18"/>
              </w:rPr>
              <w:t>1</w:t>
            </w:r>
          </w:p>
        </w:tc>
        <w:tc>
          <w:tcPr>
            <w:tcW w:type="dxa" w:w="1247"/>
            <w:shd w:fill="F1F5F9" w:val="clear"/>
          </w:tcPr>
          <w:p>
            <w:r>
              <w:rPr>
                <w:sz w:val="18"/>
              </w:rPr>
              <w:t>Person / Party</w:t>
            </w:r>
          </w:p>
        </w:tc>
        <w:tc>
          <w:tcPr>
            <w:tcW w:type="dxa" w:w="1814"/>
            <w:shd w:fill="F1F5F9" w:val="clear"/>
          </w:tcPr>
          <w:p>
            <w:r>
              <w:rPr>
                <w:sz w:val="18"/>
              </w:rPr>
              <w:t>Any human in the system</w:t>
            </w:r>
          </w:p>
        </w:tc>
        <w:tc>
          <w:tcPr>
            <w:tcW w:type="dxa" w:w="1984"/>
            <w:shd w:fill="F1F5F9" w:val="clear"/>
          </w:tcPr>
          <w:p>
            <w:r>
              <w:rPr>
                <w:sz w:val="18"/>
              </w:rPr>
              <w:t>student, teacher, guardian, admin</w:t>
            </w:r>
          </w:p>
        </w:tc>
        <w:tc>
          <w:tcPr>
            <w:tcW w:type="dxa" w:w="2154"/>
            <w:shd w:fill="F1F5F9" w:val="clear"/>
          </w:tcPr>
          <w:p>
            <w:r>
              <w:rPr>
                <w:sz w:val="18"/>
              </w:rPr>
              <w:t>platform.app_user</w:t>
            </w:r>
          </w:p>
        </w:tc>
      </w:tr>
      <w:tr>
        <w:tc>
          <w:tcPr>
            <w:tcW w:type="dxa" w:w="283"/>
          </w:tcPr>
          <w:p>
            <w:r>
              <w:rPr>
                <w:sz w:val="18"/>
              </w:rPr>
              <w:t>2</w:t>
            </w:r>
          </w:p>
        </w:tc>
        <w:tc>
          <w:tcPr>
            <w:tcW w:type="dxa" w:w="1247"/>
          </w:tcPr>
          <w:p>
            <w:r>
              <w:rPr>
                <w:sz w:val="18"/>
              </w:rPr>
              <w:t>Role</w:t>
            </w:r>
          </w:p>
        </w:tc>
        <w:tc>
          <w:tcPr>
            <w:tcW w:type="dxa" w:w="1814"/>
          </w:tcPr>
          <w:p>
            <w:r>
              <w:rPr>
                <w:sz w:val="18"/>
              </w:rPr>
              <w:t>What a person does; a relationship, not a type</w:t>
            </w:r>
          </w:p>
        </w:tc>
        <w:tc>
          <w:tcPr>
            <w:tcW w:type="dxa" w:w="1984"/>
          </w:tcPr>
          <w:p>
            <w:r>
              <w:rPr>
                <w:sz w:val="18"/>
              </w:rPr>
              <w:t>learner, tutor, registrar, bursar</w:t>
            </w:r>
          </w:p>
        </w:tc>
        <w:tc>
          <w:tcPr>
            <w:tcW w:type="dxa" w:w="2154"/>
          </w:tcPr>
          <w:p>
            <w:r>
              <w:rPr>
                <w:sz w:val="18"/>
              </w:rPr>
              <w:t>platform.role + role_assignment</w:t>
            </w:r>
          </w:p>
        </w:tc>
      </w:tr>
      <w:tr>
        <w:tc>
          <w:tcPr>
            <w:tcW w:type="dxa" w:w="283"/>
            <w:shd w:fill="F1F5F9" w:val="clear"/>
          </w:tcPr>
          <w:p>
            <w:r>
              <w:rPr>
                <w:sz w:val="18"/>
              </w:rPr>
              <w:t>3</w:t>
            </w:r>
          </w:p>
        </w:tc>
        <w:tc>
          <w:tcPr>
            <w:tcW w:type="dxa" w:w="1247"/>
            <w:shd w:fill="F1F5F9" w:val="clear"/>
          </w:tcPr>
          <w:p>
            <w:r>
              <w:rPr>
                <w:sz w:val="18"/>
              </w:rPr>
              <w:t>Organizational Unit</w:t>
            </w:r>
          </w:p>
        </w:tc>
        <w:tc>
          <w:tcPr>
            <w:tcW w:type="dxa" w:w="1814"/>
            <w:shd w:fill="F1F5F9" w:val="clear"/>
          </w:tcPr>
          <w:p>
            <w:r>
              <w:rPr>
                <w:sz w:val="18"/>
              </w:rPr>
              <w:t>Structural container, recursive</w:t>
            </w:r>
          </w:p>
        </w:tc>
        <w:tc>
          <w:tcPr>
            <w:tcW w:type="dxa" w:w="1984"/>
            <w:shd w:fill="F1F5F9" w:val="clear"/>
          </w:tcPr>
          <w:p>
            <w:r>
              <w:rPr>
                <w:sz w:val="18"/>
              </w:rPr>
              <w:t>institution, campus, department</w:t>
            </w:r>
          </w:p>
        </w:tc>
        <w:tc>
          <w:tcPr>
            <w:tcW w:type="dxa" w:w="2154"/>
            <w:shd w:fill="F1F5F9" w:val="clear"/>
          </w:tcPr>
          <w:p>
            <w:r>
              <w:rPr>
                <w:sz w:val="18"/>
              </w:rPr>
              <w:t>org_unit (self-ref)</w:t>
            </w:r>
          </w:p>
        </w:tc>
      </w:tr>
      <w:tr>
        <w:tc>
          <w:tcPr>
            <w:tcW w:type="dxa" w:w="283"/>
          </w:tcPr>
          <w:p>
            <w:r>
              <w:rPr>
                <w:sz w:val="18"/>
              </w:rPr>
              <w:t>4</w:t>
            </w:r>
          </w:p>
        </w:tc>
        <w:tc>
          <w:tcPr>
            <w:tcW w:type="dxa" w:w="1247"/>
          </w:tcPr>
          <w:p>
            <w:r>
              <w:rPr>
                <w:sz w:val="18"/>
              </w:rPr>
              <w:t>Offering / Program</w:t>
            </w:r>
          </w:p>
        </w:tc>
        <w:tc>
          <w:tcPr>
            <w:tcW w:type="dxa" w:w="1814"/>
          </w:tcPr>
          <w:p>
            <w:r>
              <w:rPr>
                <w:sz w:val="18"/>
              </w:rPr>
              <w:t>The item being taught</w:t>
            </w:r>
          </w:p>
        </w:tc>
        <w:tc>
          <w:tcPr>
            <w:tcW w:type="dxa" w:w="1984"/>
          </w:tcPr>
          <w:p>
            <w:r>
              <w:rPr>
                <w:sz w:val="18"/>
              </w:rPr>
              <w:t>course, subject, module, track</w:t>
            </w:r>
          </w:p>
        </w:tc>
        <w:tc>
          <w:tcPr>
            <w:tcW w:type="dxa" w:w="2154"/>
          </w:tcPr>
          <w:p>
            <w:r>
              <w:rPr>
                <w:sz w:val="18"/>
              </w:rPr>
              <w:t>offering (self-ref)</w:t>
            </w:r>
          </w:p>
        </w:tc>
      </w:tr>
      <w:tr>
        <w:tc>
          <w:tcPr>
            <w:tcW w:type="dxa" w:w="283"/>
            <w:shd w:fill="F1F5F9" w:val="clear"/>
          </w:tcPr>
          <w:p>
            <w:r>
              <w:rPr>
                <w:sz w:val="18"/>
              </w:rPr>
              <w:t>5</w:t>
            </w:r>
          </w:p>
        </w:tc>
        <w:tc>
          <w:tcPr>
            <w:tcW w:type="dxa" w:w="1247"/>
            <w:shd w:fill="F1F5F9" w:val="clear"/>
          </w:tcPr>
          <w:p>
            <w:r>
              <w:rPr>
                <w:sz w:val="18"/>
              </w:rPr>
              <w:t>Cohort / Group</w:t>
            </w:r>
          </w:p>
        </w:tc>
        <w:tc>
          <w:tcPr>
            <w:tcW w:type="dxa" w:w="1814"/>
            <w:shd w:fill="F1F5F9" w:val="clear"/>
          </w:tcPr>
          <w:p>
            <w:r>
              <w:rPr>
                <w:sz w:val="18"/>
              </w:rPr>
              <w:t>How learners are bundled</w:t>
            </w:r>
          </w:p>
        </w:tc>
        <w:tc>
          <w:tcPr>
            <w:tcW w:type="dxa" w:w="1984"/>
            <w:shd w:fill="F1F5F9" w:val="clear"/>
          </w:tcPr>
          <w:p>
            <w:r>
              <w:rPr>
                <w:sz w:val="18"/>
              </w:rPr>
              <w:t>class, section, batch, stream</w:t>
            </w:r>
          </w:p>
        </w:tc>
        <w:tc>
          <w:tcPr>
            <w:tcW w:type="dxa" w:w="2154"/>
            <w:shd w:fill="F1F5F9" w:val="clear"/>
          </w:tcPr>
          <w:p>
            <w:r>
              <w:rPr>
                <w:sz w:val="18"/>
              </w:rPr>
              <w:t>cohort + group</w:t>
            </w:r>
          </w:p>
        </w:tc>
      </w:tr>
      <w:tr>
        <w:tc>
          <w:tcPr>
            <w:tcW w:type="dxa" w:w="283"/>
          </w:tcPr>
          <w:p>
            <w:r>
              <w:rPr>
                <w:sz w:val="18"/>
              </w:rPr>
              <w:t>6</w:t>
            </w:r>
          </w:p>
        </w:tc>
        <w:tc>
          <w:tcPr>
            <w:tcW w:type="dxa" w:w="1247"/>
          </w:tcPr>
          <w:p>
            <w:r>
              <w:rPr>
                <w:sz w:val="18"/>
              </w:rPr>
              <w:t>Enrollment</w:t>
            </w:r>
          </w:p>
        </w:tc>
        <w:tc>
          <w:tcPr>
            <w:tcW w:type="dxa" w:w="1814"/>
          </w:tcPr>
          <w:p>
            <w:r>
              <w:rPr>
                <w:sz w:val="18"/>
              </w:rPr>
              <w:t>The link: Person to Offering/Cohort</w:t>
            </w:r>
          </w:p>
        </w:tc>
        <w:tc>
          <w:tcPr>
            <w:tcW w:type="dxa" w:w="1984"/>
          </w:tcPr>
          <w:p>
            <w:r>
              <w:rPr>
                <w:sz w:val="18"/>
              </w:rPr>
              <w:t>admission, registration</w:t>
            </w:r>
          </w:p>
        </w:tc>
        <w:tc>
          <w:tcPr>
            <w:tcW w:type="dxa" w:w="2154"/>
          </w:tcPr>
          <w:p>
            <w:r>
              <w:rPr>
                <w:sz w:val="18"/>
              </w:rPr>
              <w:t>enrollment</w:t>
            </w:r>
          </w:p>
        </w:tc>
      </w:tr>
      <w:tr>
        <w:tc>
          <w:tcPr>
            <w:tcW w:type="dxa" w:w="283"/>
            <w:shd w:fill="F1F5F9" w:val="clear"/>
          </w:tcPr>
          <w:p>
            <w:r>
              <w:rPr>
                <w:sz w:val="18"/>
              </w:rPr>
              <w:t>7</w:t>
            </w:r>
          </w:p>
        </w:tc>
        <w:tc>
          <w:tcPr>
            <w:tcW w:type="dxa" w:w="1247"/>
            <w:shd w:fill="F1F5F9" w:val="clear"/>
          </w:tcPr>
          <w:p>
            <w:r>
              <w:rPr>
                <w:sz w:val="18"/>
              </w:rPr>
              <w:t>Session / Event</w:t>
            </w:r>
          </w:p>
        </w:tc>
        <w:tc>
          <w:tcPr>
            <w:tcW w:type="dxa" w:w="1814"/>
            <w:shd w:fill="F1F5F9" w:val="clear"/>
          </w:tcPr>
          <w:p>
            <w:r>
              <w:rPr>
                <w:sz w:val="18"/>
              </w:rPr>
              <w:t>A single time-bound teaching act</w:t>
            </w:r>
          </w:p>
        </w:tc>
        <w:tc>
          <w:tcPr>
            <w:tcW w:type="dxa" w:w="1984"/>
            <w:shd w:fill="F1F5F9" w:val="clear"/>
          </w:tcPr>
          <w:p>
            <w:r>
              <w:rPr>
                <w:sz w:val="18"/>
              </w:rPr>
              <w:t>lesson, lecture, lab, workshop</w:t>
            </w:r>
          </w:p>
        </w:tc>
        <w:tc>
          <w:tcPr>
            <w:tcW w:type="dxa" w:w="2154"/>
            <w:shd w:fill="F1F5F9" w:val="clear"/>
          </w:tcPr>
          <w:p>
            <w:r>
              <w:rPr>
                <w:sz w:val="18"/>
              </w:rPr>
              <w:t>session + calendar_event</w:t>
            </w:r>
          </w:p>
        </w:tc>
      </w:tr>
      <w:tr>
        <w:tc>
          <w:tcPr>
            <w:tcW w:type="dxa" w:w="283"/>
          </w:tcPr>
          <w:p>
            <w:r>
              <w:rPr>
                <w:sz w:val="18"/>
              </w:rPr>
              <w:t>8</w:t>
            </w:r>
          </w:p>
        </w:tc>
        <w:tc>
          <w:tcPr>
            <w:tcW w:type="dxa" w:w="1247"/>
          </w:tcPr>
          <w:p>
            <w:r>
              <w:rPr>
                <w:sz w:val="18"/>
              </w:rPr>
              <w:t>Schedule / Calendar</w:t>
            </w:r>
          </w:p>
        </w:tc>
        <w:tc>
          <w:tcPr>
            <w:tcW w:type="dxa" w:w="1814"/>
          </w:tcPr>
          <w:p>
            <w:r>
              <w:rPr>
                <w:sz w:val="18"/>
              </w:rPr>
              <w:t>The time skeleton</w:t>
            </w:r>
          </w:p>
        </w:tc>
        <w:tc>
          <w:tcPr>
            <w:tcW w:type="dxa" w:w="1984"/>
          </w:tcPr>
          <w:p>
            <w:r>
              <w:rPr>
                <w:sz w:val="18"/>
              </w:rPr>
              <w:t>term, semester, academic year</w:t>
            </w:r>
          </w:p>
        </w:tc>
        <w:tc>
          <w:tcPr>
            <w:tcW w:type="dxa" w:w="2154"/>
          </w:tcPr>
          <w:p>
            <w:r>
              <w:rPr>
                <w:sz w:val="18"/>
              </w:rPr>
              <w:t>schedule_period (self-ref)</w:t>
            </w:r>
          </w:p>
        </w:tc>
      </w:tr>
      <w:tr>
        <w:tc>
          <w:tcPr>
            <w:tcW w:type="dxa" w:w="283"/>
            <w:shd w:fill="F1F5F9" w:val="clear"/>
          </w:tcPr>
          <w:p>
            <w:r>
              <w:rPr>
                <w:sz w:val="18"/>
              </w:rPr>
              <w:t>9</w:t>
            </w:r>
          </w:p>
        </w:tc>
        <w:tc>
          <w:tcPr>
            <w:tcW w:type="dxa" w:w="1247"/>
            <w:shd w:fill="F1F5F9" w:val="clear"/>
          </w:tcPr>
          <w:p>
            <w:r>
              <w:rPr>
                <w:sz w:val="18"/>
              </w:rPr>
              <w:t>Assessment</w:t>
            </w:r>
          </w:p>
        </w:tc>
        <w:tc>
          <w:tcPr>
            <w:tcW w:type="dxa" w:w="1814"/>
            <w:shd w:fill="F1F5F9" w:val="clear"/>
          </w:tcPr>
          <w:p>
            <w:r>
              <w:rPr>
                <w:sz w:val="18"/>
              </w:rPr>
              <w:t>Any measurement of learning</w:t>
            </w:r>
          </w:p>
        </w:tc>
        <w:tc>
          <w:tcPr>
            <w:tcW w:type="dxa" w:w="1984"/>
            <w:shd w:fill="F1F5F9" w:val="clear"/>
          </w:tcPr>
          <w:p>
            <w:r>
              <w:rPr>
                <w:sz w:val="18"/>
              </w:rPr>
              <w:t>exam, test, quiz, project</w:t>
            </w:r>
          </w:p>
        </w:tc>
        <w:tc>
          <w:tcPr>
            <w:tcW w:type="dxa" w:w="2154"/>
            <w:shd w:fill="F1F5F9" w:val="clear"/>
          </w:tcPr>
          <w:p>
            <w:r>
              <w:rPr>
                <w:sz w:val="18"/>
              </w:rPr>
              <w:t>assessment</w:t>
            </w:r>
          </w:p>
        </w:tc>
      </w:tr>
      <w:tr>
        <w:tc>
          <w:tcPr>
            <w:tcW w:type="dxa" w:w="283"/>
          </w:tcPr>
          <w:p>
            <w:r>
              <w:rPr>
                <w:sz w:val="18"/>
              </w:rPr>
              <w:t>10</w:t>
            </w:r>
          </w:p>
        </w:tc>
        <w:tc>
          <w:tcPr>
            <w:tcW w:type="dxa" w:w="1247"/>
          </w:tcPr>
          <w:p>
            <w:r>
              <w:rPr>
                <w:sz w:val="18"/>
              </w:rPr>
              <w:t>Record / Result</w:t>
            </w:r>
          </w:p>
        </w:tc>
        <w:tc>
          <w:tcPr>
            <w:tcW w:type="dxa" w:w="1814"/>
          </w:tcPr>
          <w:p>
            <w:r>
              <w:rPr>
                <w:sz w:val="18"/>
              </w:rPr>
              <w:t>The output of an assessment</w:t>
            </w:r>
          </w:p>
        </w:tc>
        <w:tc>
          <w:tcPr>
            <w:tcW w:type="dxa" w:w="1984"/>
          </w:tcPr>
          <w:p>
            <w:r>
              <w:rPr>
                <w:sz w:val="18"/>
              </w:rPr>
              <w:t>grade, score, transcript</w:t>
            </w:r>
          </w:p>
        </w:tc>
        <w:tc>
          <w:tcPr>
            <w:tcW w:type="dxa" w:w="2154"/>
          </w:tcPr>
          <w:p>
            <w:r>
              <w:rPr>
                <w:sz w:val="18"/>
              </w:rPr>
              <w:t>result</w:t>
            </w:r>
          </w:p>
        </w:tc>
      </w:tr>
      <w:tr>
        <w:tc>
          <w:tcPr>
            <w:tcW w:type="dxa" w:w="283"/>
            <w:shd w:fill="F1F5F9" w:val="clear"/>
          </w:tcPr>
          <w:p>
            <w:r>
              <w:rPr>
                <w:sz w:val="18"/>
              </w:rPr>
              <w:t>11</w:t>
            </w:r>
          </w:p>
        </w:tc>
        <w:tc>
          <w:tcPr>
            <w:tcW w:type="dxa" w:w="1247"/>
            <w:shd w:fill="F1F5F9" w:val="clear"/>
          </w:tcPr>
          <w:p>
            <w:r>
              <w:rPr>
                <w:sz w:val="18"/>
              </w:rPr>
              <w:t>Credential</w:t>
            </w:r>
          </w:p>
        </w:tc>
        <w:tc>
          <w:tcPr>
            <w:tcW w:type="dxa" w:w="1814"/>
            <w:shd w:fill="F1F5F9" w:val="clear"/>
          </w:tcPr>
          <w:p>
            <w:r>
              <w:rPr>
                <w:sz w:val="18"/>
              </w:rPr>
              <w:t>Proof of completion</w:t>
            </w:r>
          </w:p>
        </w:tc>
        <w:tc>
          <w:tcPr>
            <w:tcW w:type="dxa" w:w="1984"/>
            <w:shd w:fill="F1F5F9" w:val="clear"/>
          </w:tcPr>
          <w:p>
            <w:r>
              <w:rPr>
                <w:sz w:val="18"/>
              </w:rPr>
              <w:t>certificate, diploma, degree</w:t>
            </w:r>
          </w:p>
        </w:tc>
        <w:tc>
          <w:tcPr>
            <w:tcW w:type="dxa" w:w="2154"/>
            <w:shd w:fill="F1F5F9" w:val="clear"/>
          </w:tcPr>
          <w:p>
            <w:r>
              <w:rPr>
                <w:sz w:val="18"/>
              </w:rPr>
              <w:t>credential</w:t>
            </w:r>
          </w:p>
        </w:tc>
      </w:tr>
      <w:tr>
        <w:tc>
          <w:tcPr>
            <w:tcW w:type="dxa" w:w="283"/>
          </w:tcPr>
          <w:p>
            <w:r>
              <w:rPr>
                <w:sz w:val="18"/>
              </w:rPr>
              <w:t>12</w:t>
            </w:r>
          </w:p>
        </w:tc>
        <w:tc>
          <w:tcPr>
            <w:tcW w:type="dxa" w:w="1247"/>
          </w:tcPr>
          <w:p>
            <w:r>
              <w:rPr>
                <w:sz w:val="18"/>
              </w:rPr>
              <w:t>Progression Rule</w:t>
            </w:r>
          </w:p>
        </w:tc>
        <w:tc>
          <w:tcPr>
            <w:tcW w:type="dxa" w:w="1814"/>
          </w:tcPr>
          <w:p>
            <w:r>
              <w:rPr>
                <w:sz w:val="18"/>
              </w:rPr>
              <w:t>Logic for advancing</w:t>
            </w:r>
          </w:p>
        </w:tc>
        <w:tc>
          <w:tcPr>
            <w:tcW w:type="dxa" w:w="1984"/>
          </w:tcPr>
          <w:p>
            <w:r>
              <w:rPr>
                <w:sz w:val="18"/>
              </w:rPr>
              <w:t>prerequisite, promotion, pass mark</w:t>
            </w:r>
          </w:p>
        </w:tc>
        <w:tc>
          <w:tcPr>
            <w:tcW w:type="dxa" w:w="2154"/>
          </w:tcPr>
          <w:p>
            <w:r>
              <w:rPr>
                <w:sz w:val="18"/>
              </w:rPr>
              <w:t>progression_rule + result</w:t>
            </w:r>
          </w:p>
        </w:tc>
      </w:tr>
      <w:tr>
        <w:tc>
          <w:tcPr>
            <w:tcW w:type="dxa" w:w="283"/>
            <w:shd w:fill="F1F5F9" w:val="clear"/>
          </w:tcPr>
          <w:p>
            <w:r>
              <w:rPr>
                <w:sz w:val="18"/>
              </w:rPr>
              <w:t>13</w:t>
            </w:r>
          </w:p>
        </w:tc>
        <w:tc>
          <w:tcPr>
            <w:tcW w:type="dxa" w:w="1247"/>
            <w:shd w:fill="F1F5F9" w:val="clear"/>
          </w:tcPr>
          <w:p>
            <w:r>
              <w:rPr>
                <w:sz w:val="18"/>
              </w:rPr>
              <w:t>Resource</w:t>
            </w:r>
          </w:p>
        </w:tc>
        <w:tc>
          <w:tcPr>
            <w:tcW w:type="dxa" w:w="1814"/>
            <w:shd w:fill="F1F5F9" w:val="clear"/>
          </w:tcPr>
          <w:p>
            <w:r>
              <w:rPr>
                <w:sz w:val="18"/>
              </w:rPr>
              <w:t>Physical or virtual item consumed</w:t>
            </w:r>
          </w:p>
        </w:tc>
        <w:tc>
          <w:tcPr>
            <w:tcW w:type="dxa" w:w="1984"/>
            <w:shd w:fill="F1F5F9" w:val="clear"/>
          </w:tcPr>
          <w:p>
            <w:r>
              <w:rPr>
                <w:sz w:val="18"/>
              </w:rPr>
              <w:t>room, lab, equipment</w:t>
            </w:r>
          </w:p>
        </w:tc>
        <w:tc>
          <w:tcPr>
            <w:tcW w:type="dxa" w:w="2154"/>
            <w:shd w:fill="F1F5F9" w:val="clear"/>
          </w:tcPr>
          <w:p>
            <w:r>
              <w:rPr>
                <w:sz w:val="18"/>
              </w:rPr>
              <w:t>resource + resource_permit</w:t>
            </w:r>
          </w:p>
        </w:tc>
      </w:tr>
      <w:tr>
        <w:tc>
          <w:tcPr>
            <w:tcW w:type="dxa" w:w="283"/>
          </w:tcPr>
          <w:p>
            <w:r>
              <w:rPr>
                <w:sz w:val="18"/>
              </w:rPr>
              <w:t>14</w:t>
            </w:r>
          </w:p>
        </w:tc>
        <w:tc>
          <w:tcPr>
            <w:tcW w:type="dxa" w:w="1247"/>
          </w:tcPr>
          <w:p>
            <w:r>
              <w:rPr>
                <w:sz w:val="18"/>
              </w:rPr>
              <w:t>Financial</w:t>
            </w:r>
          </w:p>
        </w:tc>
        <w:tc>
          <w:tcPr>
            <w:tcW w:type="dxa" w:w="1814"/>
          </w:tcPr>
          <w:p>
            <w:r>
              <w:rPr>
                <w:sz w:val="18"/>
              </w:rPr>
              <w:t>Money flows</w:t>
            </w:r>
          </w:p>
        </w:tc>
        <w:tc>
          <w:tcPr>
            <w:tcW w:type="dxa" w:w="1984"/>
          </w:tcPr>
          <w:p>
            <w:r>
              <w:rPr>
                <w:sz w:val="18"/>
              </w:rPr>
              <w:t>tuition, fee, invoice, scholarship</w:t>
            </w:r>
          </w:p>
        </w:tc>
        <w:tc>
          <w:tcPr>
            <w:tcW w:type="dxa" w:w="2154"/>
          </w:tcPr>
          <w:p>
            <w:r>
              <w:rPr>
                <w:sz w:val="18"/>
              </w:rPr>
              <w:t>fee_invoice + payment + waiver</w:t>
            </w:r>
          </w:p>
        </w:tc>
      </w:tr>
    </w:tbl>
    <w:p>
      <w:r>
        <w:br w:type="page"/>
      </w:r>
    </w:p>
    <w:p>
      <w:pPr>
        <w:pStyle w:val="Heading1"/>
      </w:pPr>
      <w:r>
        <w:t>3. People and Roles</w:t>
      </w:r>
    </w:p>
    <w:p>
      <w:pPr>
        <w:pStyle w:val="Heading2"/>
      </w:pPr>
      <w:r>
        <w:t>Primitive 1: Person / Party</w:t>
      </w:r>
    </w:p>
    <w:p>
      <w:r>
        <w:rPr>
          <w:i/>
          <w:color w:val="3B82F6"/>
          <w:sz w:val="22"/>
        </w:rPr>
        <w:t>Any human in the system. Represented by a single table rather than separate tables for each persona type.</w:t>
      </w:r>
    </w:p>
    <w:p/>
    <w:p>
      <w:r>
        <w:t>Common labels: student, pupil, learner; teacher, lecturer; guardian, parent; admin, registrar</w:t>
      </w:r>
    </w:p>
    <w:p>
      <w:r>
        <w:t>SchoolHub implementation: platform.app_user</w:t>
      </w:r>
    </w:p>
    <w:p/>
    <w:p>
      <w:r>
        <w:rPr>
          <w:b/>
        </w:rPr>
        <w:t xml:space="preserve">Design rationale: </w:t>
      </w:r>
      <w:r>
        <w:t>The amateur approach creates separate tables for Student, Teacher, and Guardian. The professional approach uses one Person table with roles assigned through a join table. A single individual can hold multiple roles across multiple institutions without duplication.</w:t>
      </w:r>
    </w:p>
    <w:p>
      <w:pPr>
        <w:pStyle w:val="ListBullet"/>
      </w:pPr>
      <w:r>
        <w:t>A single platform.app_user row links to teacher, student, and guardian profiles across schools.</w:t>
      </w:r>
    </w:p>
    <w:p>
      <w:pPr>
        <w:pStyle w:val="ListBullet"/>
      </w:pPr>
      <w:r>
        <w:t>The avatar is stored on app_user and follows the person across all tenant memberships.</w:t>
      </w:r>
    </w:p>
    <w:p>
      <w:pPr>
        <w:pStyle w:val="ListBullet"/>
      </w:pPr>
      <w:r>
        <w:t>Role assignments are per-tenant: a person can be an Admin at one school and a Teacher at another.</w:t>
      </w:r>
    </w:p>
    <w:p/>
    <w:p>
      <w:pPr>
        <w:pStyle w:val="Heading2"/>
      </w:pPr>
      <w:r>
        <w:t>Primitive 2: Role</w:t>
      </w:r>
    </w:p>
    <w:p>
      <w:r>
        <w:rPr>
          <w:i/>
          <w:color w:val="3B82F6"/>
          <w:sz w:val="22"/>
        </w:rPr>
        <w:t>What a person does within a given context. A relationship between a person and a tenant, not an attribute of the person.</w:t>
      </w:r>
    </w:p>
    <w:p/>
    <w:p>
      <w:r>
        <w:t>Common labels: learner, tutor, registrar, bursar, librarian, moderator, platform owner</w:t>
      </w:r>
    </w:p>
    <w:p>
      <w:r>
        <w:t>SchoolHub implementation: platform.role + platform.role_assignment</w:t>
      </w:r>
    </w:p>
    <w:p/>
    <w:p>
      <w:r>
        <w:rPr>
          <w:b/>
        </w:rPr>
        <w:t xml:space="preserve">Design rationale: </w:t>
      </w:r>
      <w:r>
        <w:t>The role_assignment table is the authoritative source for what roles a user holds. A user may hold multiple role assignments across multiple tenants. The is_default flag determines which assignment mints the JWT at login.</w:t>
      </w:r>
    </w:p>
    <w:p>
      <w:pPr>
        <w:pStyle w:val="ListBullet"/>
      </w:pPr>
      <w:r>
        <w:t>PLATFORM_OWNER (id=1): Operates SchoolHub itself.</w:t>
      </w:r>
    </w:p>
    <w:p>
      <w:pPr>
        <w:pStyle w:val="ListBullet"/>
      </w:pPr>
      <w:r>
        <w:t>MODERATOR (id=2): Platform support staff.</w:t>
      </w:r>
    </w:p>
    <w:p>
      <w:pPr>
        <w:pStyle w:val="ListBullet"/>
      </w:pPr>
      <w:r>
        <w:t>ADMIN (id=3): Manages one school.</w:t>
      </w:r>
    </w:p>
    <w:p>
      <w:pPr>
        <w:pStyle w:val="ListBullet"/>
      </w:pPr>
      <w:r>
        <w:t>PRINCIPAL (id=4): Senior staff with admin-equivalent access.</w:t>
      </w:r>
    </w:p>
    <w:p>
      <w:pPr>
        <w:pStyle w:val="ListBullet"/>
      </w:pPr>
      <w:r>
        <w:t>TEACHER (id=5): Records attendance and enters grades.</w:t>
      </w:r>
    </w:p>
    <w:p>
      <w:pPr>
        <w:pStyle w:val="ListBullet"/>
      </w:pPr>
      <w:r>
        <w:t>STUDENT (id=6): Views personal results and fees.</w:t>
      </w:r>
    </w:p>
    <w:p>
      <w:pPr>
        <w:pStyle w:val="ListBullet"/>
      </w:pPr>
      <w:r>
        <w:t>PARENT (id=7): Monitors progress for linked children.</w:t>
      </w:r>
    </w:p>
    <w:p>
      <w:pPr>
        <w:pStyle w:val="ListBullet"/>
      </w:pPr>
      <w:r>
        <w:t>BURSAR (id=8): Manages invoices and payments.</w:t>
      </w:r>
    </w:p>
    <w:p>
      <w:pPr>
        <w:pStyle w:val="ListBullet"/>
      </w:pPr>
      <w:r>
        <w:t>LIBRARIAN (id=9): Manages the library catalogue.</w:t>
      </w:r>
    </w:p>
    <w:p/>
    <w:p>
      <w:r>
        <w:br w:type="page"/>
      </w:r>
    </w:p>
    <w:p>
      <w:pPr>
        <w:pStyle w:val="Heading1"/>
      </w:pPr>
      <w:r>
        <w:t>4. Structure: Organizational Units and Offerings</w:t>
      </w:r>
    </w:p>
    <w:p>
      <w:pPr>
        <w:pStyle w:val="Heading2"/>
      </w:pPr>
      <w:r>
        <w:t>Primitive 3: Organizational Unit</w:t>
      </w:r>
    </w:p>
    <w:p>
      <w:r>
        <w:rPr>
          <w:i/>
          <w:color w:val="3B82F6"/>
          <w:sz w:val="22"/>
        </w:rPr>
        <w:t>A recursive structural container with unlimited nesting depth.</w:t>
      </w:r>
    </w:p>
    <w:p/>
    <w:p>
      <w:r>
        <w:t>Common labels: institution, campus, school, faculty, department</w:t>
      </w:r>
    </w:p>
    <w:p>
      <w:r>
        <w:t>SchoolHub implementation: org_unit (self-ref via parent_id)</w:t>
      </w:r>
    </w:p>
    <w:p/>
    <w:p>
      <w:r>
        <w:rPr>
          <w:b/>
        </w:rPr>
        <w:t xml:space="preserve">Design rationale: </w:t>
      </w:r>
      <w:r>
        <w:t>Self-referential design supports arbitrary depth without schema changes. Type labels are freeform text fields rather than a database enum.</w:t>
      </w:r>
    </w:p>
    <w:p>
      <w:pPr>
        <w:pStyle w:val="ListBullet"/>
      </w:pPr>
      <w:r>
        <w:t>Deletion is governed by workflow: marking a unit pending_deletion opens a seven-day protest window.</w:t>
      </w:r>
    </w:p>
    <w:p>
      <w:pPr>
        <w:pStyle w:val="ListBullet"/>
      </w:pPr>
      <w:r>
        <w:t>Status: active or pending_deletion.</w:t>
      </w:r>
    </w:p>
    <w:p/>
    <w:p>
      <w:pPr>
        <w:pStyle w:val="Heading2"/>
      </w:pPr>
      <w:r>
        <w:t>Primitive 4: Offering / Program</w:t>
      </w:r>
    </w:p>
    <w:p>
      <w:r>
        <w:rPr>
          <w:i/>
          <w:color w:val="3B82F6"/>
          <w:sz w:val="22"/>
        </w:rPr>
        <w:t>The item being taught. Also recursive: Program contains Course contains Module.</w:t>
      </w:r>
    </w:p>
    <w:p/>
    <w:p>
      <w:r>
        <w:t>Common labels: course, subject, module, unit, program, track</w:t>
      </w:r>
    </w:p>
    <w:p>
      <w:r>
        <w:t>SchoolHub implementation: offering (self-ref) + offering_org_unit + offering_prerequisite</w:t>
      </w:r>
    </w:p>
    <w:p/>
    <w:p>
      <w:r>
        <w:rPr>
          <w:b/>
        </w:rPr>
        <w:t xml:space="preserve">Design rationale: </w:t>
      </w:r>
      <w:r>
        <w:t>Mirrors the recursive pattern of organizational units. Cross-listing through offering_org_unit allows one offering to belong to multiple departments.</w:t>
      </w:r>
    </w:p>
    <w:p>
      <w:pPr>
        <w:pStyle w:val="ListBullet"/>
      </w:pPr>
      <w:r>
        <w:t>credit_weight distinguishes a 3-credit course from a 1-credit lab.</w:t>
      </w:r>
    </w:p>
    <w:p>
      <w:pPr>
        <w:pStyle w:val="ListBullet"/>
      </w:pPr>
      <w:r>
        <w:t>Together, Org Unit and Offering answer: who teaches what, and where?</w:t>
      </w:r>
    </w:p>
    <w:p/>
    <w:p>
      <w:r>
        <w:br w:type="page"/>
      </w:r>
    </w:p>
    <w:p>
      <w:pPr>
        <w:pStyle w:val="Heading1"/>
      </w:pPr>
      <w:r>
        <w:t>5. Cohorts and Enrollment</w:t>
      </w:r>
    </w:p>
    <w:p>
      <w:pPr>
        <w:pStyle w:val="Heading2"/>
      </w:pPr>
      <w:r>
        <w:t>Primitive 5: Cohort / Group</w:t>
      </w:r>
    </w:p>
    <w:p>
      <w:r>
        <w:rPr>
          <w:i/>
          <w:color w:val="3B82F6"/>
          <w:sz w:val="22"/>
        </w:rPr>
        <w:t>How learners are bundled. Recreated every schedule period.</w:t>
      </w:r>
    </w:p>
    <w:p/>
    <w:p>
      <w:r>
        <w:t>Common labels: class, section, batch, stream, form</w:t>
      </w:r>
    </w:p>
    <w:p>
      <w:r>
        <w:t>SchoolHub implementation: cohort + group</w:t>
      </w:r>
    </w:p>
    <w:p/>
    <w:p>
      <w:r>
        <w:rPr>
          <w:b/>
        </w:rPr>
        <w:t xml:space="preserve">Design rationale: </w:t>
      </w:r>
      <w:r>
        <w:t>A cohort is flat: it never nests inside another. Continuity of 'SS2A becomes SS3A' is tracked through enrollment history.</w:t>
      </w:r>
    </w:p>
    <w:p>
      <w:pPr>
        <w:pStyle w:val="ListBullet"/>
      </w:pPr>
      <w:r>
        <w:t>capacity: nullable integer for head-set limits.</w:t>
      </w:r>
    </w:p>
    <w:p>
      <w:pPr>
        <w:pStyle w:val="ListBullet"/>
      </w:pPr>
      <w:r>
        <w:t>is_prime_level: marks graduating level for future alumnus status.</w:t>
      </w:r>
    </w:p>
    <w:p/>
    <w:p>
      <w:pPr>
        <w:pStyle w:val="Heading2"/>
      </w:pPr>
      <w:r>
        <w:t>Primitive 6: Enrollment</w:t>
      </w:r>
    </w:p>
    <w:p>
      <w:r>
        <w:rPr>
          <w:i/>
          <w:color w:val="3B82F6"/>
          <w:sz w:val="22"/>
        </w:rPr>
        <w:t>The central hub of the system. An independent entity with its own lifecycle.</w:t>
      </w:r>
    </w:p>
    <w:p/>
    <w:p>
      <w:r>
        <w:t>Common labels: admission, registration, matriculation</w:t>
      </w:r>
    </w:p>
    <w:p>
      <w:r>
        <w:t>SchoolHub implementation: enrollment</w:t>
      </w:r>
    </w:p>
    <w:p/>
    <w:p>
      <w:r>
        <w:rPr>
          <w:b/>
        </w:rPr>
        <w:t xml:space="preserve">Design rationale: </w:t>
      </w:r>
      <w:r>
        <w:t>The most consequential architectural decision. Enrollment binds a Student to a Cohort, Offering, or Group for one schedule period. Nearly every operational feature depends on it.</w:t>
      </w:r>
    </w:p>
    <w:p>
      <w:pPr>
        <w:pStyle w:val="ListBullet"/>
      </w:pPr>
      <w:r>
        <w:t>Status lifecycle: active, transferred_out, withdrawn, graduated, repeating, pending, pending_payment.</w:t>
      </w:r>
    </w:p>
    <w:p>
      <w:pPr>
        <w:pStyle w:val="ListBullet"/>
      </w:pPr>
      <w:r>
        <w:t>Must have at least one target (cohort, offering, or group).</w:t>
      </w:r>
    </w:p>
    <w:p>
      <w:pPr>
        <w:pStyle w:val="ListBullet"/>
      </w:pPr>
      <w:r>
        <w:t>ended_on and closed_reason provide an audit trail.</w:t>
      </w:r>
    </w:p>
    <w:p/>
    <w:p>
      <w:r>
        <w:br w:type="page"/>
      </w:r>
    </w:p>
    <w:p>
      <w:pPr>
        <w:pStyle w:val="Heading1"/>
      </w:pPr>
      <w:r>
        <w:t>6. Time: Sessions and Schedules</w:t>
      </w:r>
    </w:p>
    <w:p>
      <w:pPr>
        <w:pStyle w:val="Heading2"/>
      </w:pPr>
      <w:r>
        <w:t>Primitive 7: Session / Event</w:t>
      </w:r>
    </w:p>
    <w:p>
      <w:r>
        <w:rPr>
          <w:i/>
          <w:color w:val="3B82F6"/>
          <w:sz w:val="22"/>
        </w:rPr>
        <w:t>A single time-bound teaching act with a defined type, location, and audience.</w:t>
      </w:r>
    </w:p>
    <w:p/>
    <w:p>
      <w:r>
        <w:t>Common labels: lesson, lecture, period, seminar, lab</w:t>
      </w:r>
    </w:p>
    <w:p>
      <w:r>
        <w:t>SchoolHub implementation: session + session_attendance</w:t>
      </w:r>
    </w:p>
    <w:p/>
    <w:p>
      <w:r>
        <w:rPr>
          <w:b/>
        </w:rPr>
        <w:t xml:space="preserve">Design rationale: </w:t>
      </w:r>
      <w:r>
        <w:t>Sessions represent the operational unit of teaching. They book resources, target cohort_offerings, and carry per-session attendance.</w:t>
      </w:r>
    </w:p>
    <w:p>
      <w:pPr>
        <w:pStyle w:val="ListBullet"/>
      </w:pPr>
      <w:r>
        <w:t>recurrence_rule for repeating sessions.</w:t>
      </w:r>
    </w:p>
    <w:p>
      <w:pPr>
        <w:pStyle w:val="ListBullet"/>
      </w:pPr>
      <w:r>
        <w:t>Per-session attendance coexists with legacy daily attendance during migration.</w:t>
      </w:r>
    </w:p>
    <w:p/>
    <w:p>
      <w:pPr>
        <w:pStyle w:val="Heading2"/>
      </w:pPr>
      <w:r>
        <w:t>Primitive 8: Schedule / Calendar</w:t>
      </w:r>
    </w:p>
    <w:p>
      <w:r>
        <w:rPr>
          <w:i/>
          <w:color w:val="3B82F6"/>
          <w:sz w:val="22"/>
        </w:rPr>
        <w:t>The time skeleton. Self-referential: Term nests under Academic Year.</w:t>
      </w:r>
    </w:p>
    <w:p/>
    <w:p>
      <w:r>
        <w:t>Common labels: term, semester, trimester, academic year</w:t>
      </w:r>
    </w:p>
    <w:p>
      <w:r>
        <w:t>SchoolHub implementation: schedule_period (self-ref)</w:t>
      </w:r>
    </w:p>
    <w:p/>
    <w:p>
      <w:r>
        <w:rPr>
          <w:b/>
        </w:rPr>
        <w:t xml:space="preserve">Design rationale: </w:t>
      </w:r>
      <w:r>
        <w:t>The primitive that most frequently causes system failure. The self-referential design supports any nesting depth, but business rules multiply combinatorially across institution types.</w:t>
      </w:r>
    </w:p>
    <w:p>
      <w:pPr>
        <w:pStyle w:val="ListBullet"/>
      </w:pPr>
      <w:r>
        <w:t>Scoped to K-12 term-based schools and vocational institutes.</w:t>
      </w:r>
    </w:p>
    <w:p>
      <w:pPr>
        <w:pStyle w:val="ListBullet"/>
      </w:pPr>
      <w:r>
        <w:t>Phase 1: schema and basic CRUD. Full recursion in Phase 2.</w:t>
      </w:r>
    </w:p>
    <w:p/>
    <w:p>
      <w:r>
        <w:br w:type="page"/>
      </w:r>
    </w:p>
    <w:p>
      <w:pPr>
        <w:pStyle w:val="Heading1"/>
      </w:pPr>
      <w:r>
        <w:t>7. Assessment and Records</w:t>
      </w:r>
    </w:p>
    <w:p>
      <w:pPr>
        <w:pStyle w:val="Heading2"/>
      </w:pPr>
      <w:r>
        <w:t>Primitive 9: Assessment</w:t>
      </w:r>
    </w:p>
    <w:p>
      <w:r>
        <w:rPr>
          <w:i/>
          <w:color w:val="3B82F6"/>
          <w:sz w:val="22"/>
        </w:rPr>
        <w:t>Any measurement of learning with a publish gate separating data entry from visibility.</w:t>
      </w:r>
    </w:p>
    <w:p/>
    <w:p>
      <w:r>
        <w:t>Common labels: exam, test, quiz, assignment, project</w:t>
      </w:r>
    </w:p>
    <w:p>
      <w:r>
        <w:t>SchoolHub implementation: assessment</w:t>
      </w:r>
    </w:p>
    <w:p/>
    <w:p>
      <w:r>
        <w:rPr>
          <w:b/>
        </w:rPr>
        <w:t xml:space="preserve">Design rationale: </w:t>
      </w:r>
      <w:r>
        <w:t>Assessments include a publish flag modelling real-world review-before-release workflows. Weight enables composite scoring.</w:t>
      </w:r>
    </w:p>
    <w:p>
      <w:pPr>
        <w:pStyle w:val="ListBullet"/>
      </w:pPr>
      <w:r>
        <w:t>weight for composite scoring (CA 30%, Exam 70%).</w:t>
      </w:r>
    </w:p>
    <w:p>
      <w:pPr>
        <w:pStyle w:val="ListBullet"/>
      </w:pPr>
      <w:r>
        <w:t>published: controls student visibility.</w:t>
      </w:r>
    </w:p>
    <w:p>
      <w:pPr>
        <w:pStyle w:val="ListBullet"/>
      </w:pPr>
      <w:r>
        <w:t>pass_mark_percent configurable per assessment.</w:t>
      </w:r>
    </w:p>
    <w:p/>
    <w:p>
      <w:pPr>
        <w:pStyle w:val="Heading2"/>
      </w:pPr>
      <w:r>
        <w:t>Primitive 10: Record / Result</w:t>
      </w:r>
    </w:p>
    <w:p>
      <w:r>
        <w:rPr>
          <w:i/>
          <w:color w:val="3B82F6"/>
          <w:sz w:val="22"/>
        </w:rPr>
        <w:t>The output of an assessment. One row per student per assessment.</w:t>
      </w:r>
    </w:p>
    <w:p/>
    <w:p>
      <w:r>
        <w:t>Common labels: grade, score, mark, transcript</w:t>
      </w:r>
    </w:p>
    <w:p>
      <w:r>
        <w:t>SchoolHub implementation: result</w:t>
      </w:r>
    </w:p>
    <w:p/>
    <w:p>
      <w:r>
        <w:rPr>
          <w:b/>
        </w:rPr>
        <w:t xml:space="preserve">Design rationale: </w:t>
      </w:r>
      <w:r>
        <w:t>Transcripts are generated on demand from live result rows. Corrected scores propagate instantly. Accuracy is prioritised over immutability for the current scope.</w:t>
      </w:r>
    </w:p>
    <w:p>
      <w:pPr>
        <w:pStyle w:val="ListBullet"/>
      </w:pPr>
      <w:r>
        <w:t>is_resit and penalty for retaken or late assessments.</w:t>
      </w:r>
    </w:p>
    <w:p>
      <w:pPr>
        <w:pStyle w:val="ListBullet"/>
      </w:pPr>
      <w:r>
        <w:t>UNIQUE (assessment_id, student_id).</w:t>
      </w:r>
    </w:p>
    <w:p/>
    <w:p>
      <w:r>
        <w:br w:type="page"/>
      </w:r>
    </w:p>
    <w:p>
      <w:pPr>
        <w:pStyle w:val="Heading1"/>
      </w:pPr>
      <w:r>
        <w:t>8. Credentials and Progression</w:t>
      </w:r>
    </w:p>
    <w:p>
      <w:pPr>
        <w:pStyle w:val="Heading2"/>
      </w:pPr>
      <w:r>
        <w:t>Primitive 11: Credential</w:t>
      </w:r>
    </w:p>
    <w:p>
      <w:r>
        <w:rPr>
          <w:i/>
          <w:color w:val="3B82F6"/>
          <w:sz w:val="22"/>
        </w:rPr>
        <w:t>Proof of completion issued by the institution to a specific individual.</w:t>
      </w:r>
    </w:p>
    <w:p/>
    <w:p>
      <w:r>
        <w:t>Common labels: certificate, diploma, degree, badge</w:t>
      </w:r>
    </w:p>
    <w:p>
      <w:r>
        <w:t>SchoolHub implementation: credential</w:t>
      </w:r>
    </w:p>
    <w:p/>
    <w:p>
      <w:r>
        <w:rPr>
          <w:b/>
        </w:rPr>
        <w:t xml:space="preserve">Design rationale: </w:t>
      </w:r>
      <w:r>
        <w:t>Credentials carry a criteria reference linking back to the rule or process that generated them. Revocation escalates to moderator through the workflow system.</w:t>
      </w:r>
    </w:p>
    <w:p>
      <w:pPr>
        <w:pStyle w:val="ListBullet"/>
      </w:pPr>
      <w:r>
        <w:t>auto_issue_credential on progression_rule for automatic minting.</w:t>
      </w:r>
    </w:p>
    <w:p>
      <w:pPr>
        <w:pStyle w:val="ListBullet"/>
      </w:pPr>
      <w:r>
        <w:t>artifact_url reserved for future PDF certificates.</w:t>
      </w:r>
    </w:p>
    <w:p/>
    <w:p>
      <w:pPr>
        <w:pStyle w:val="Heading2"/>
      </w:pPr>
      <w:r>
        <w:t>Primitive 12: Progression Rule</w:t>
      </w:r>
    </w:p>
    <w:p>
      <w:r>
        <w:rPr>
          <w:i/>
          <w:color w:val="3B82F6"/>
          <w:sz w:val="22"/>
        </w:rPr>
        <w:t>Logic determining whether a learner may advance to the next stage.</w:t>
      </w:r>
    </w:p>
    <w:p/>
    <w:p>
      <w:r>
        <w:t>Common labels: prerequisite, promotion, pass mark</w:t>
      </w:r>
    </w:p>
    <w:p>
      <w:r>
        <w:t>SchoolHub implementation: progression_rule + progression_result</w:t>
      </w:r>
    </w:p>
    <w:p/>
    <w:p>
      <w:r>
        <w:rPr>
          <w:b/>
        </w:rPr>
        <w:t xml:space="preserve">Design rationale: </w:t>
      </w:r>
      <w:r>
        <w:t>Rules are evaluated to produce stored results. ATTENDANCE_MINIMUM, PREREQUISITE_COMPLETION, and MANUAL_SCORE types determine what data is inspected.</w:t>
      </w:r>
    </w:p>
    <w:p>
      <w:pPr>
        <w:pStyle w:val="ListBullet"/>
      </w:pPr>
      <w:r>
        <w:t>scope_type: COHORT or OFFERING.</w:t>
      </w:r>
    </w:p>
    <w:p>
      <w:pPr>
        <w:pStyle w:val="ListBullet"/>
      </w:pPr>
      <w:r>
        <w:t>Fixed rule-type menu rather than custom formula parser.</w:t>
      </w:r>
    </w:p>
    <w:p>
      <w:pPr>
        <w:pStyle w:val="ListBullet"/>
      </w:pPr>
      <w:r>
        <w:t>Status: proposed, active, retired.</w:t>
      </w:r>
    </w:p>
    <w:p/>
    <w:p>
      <w:r>
        <w:br w:type="page"/>
      </w:r>
    </w:p>
    <w:p>
      <w:pPr>
        <w:pStyle w:val="Heading1"/>
      </w:pPr>
      <w:r>
        <w:t>9. Resources and Finance</w:t>
      </w:r>
    </w:p>
    <w:p>
      <w:pPr>
        <w:pStyle w:val="Heading2"/>
      </w:pPr>
      <w:r>
        <w:t>Primitive 13: Resource</w:t>
      </w:r>
    </w:p>
    <w:p>
      <w:r>
        <w:rPr>
          <w:i/>
          <w:color w:val="3B82F6"/>
          <w:sz w:val="22"/>
        </w:rPr>
        <w:t>Any physical or virtual item consumed during instruction.</w:t>
      </w:r>
    </w:p>
    <w:p/>
    <w:p>
      <w:r>
        <w:t>Common labels: room, laboratory, equipment, virtual room</w:t>
      </w:r>
    </w:p>
    <w:p>
      <w:r>
        <w:t>SchoolHub implementation: resource (self-ref) + resource_permit</w:t>
      </w:r>
    </w:p>
    <w:p/>
    <w:p>
      <w:r>
        <w:rPr>
          <w:b/>
        </w:rPr>
        <w:t xml:space="preserve">Design rationale: </w:t>
      </w:r>
      <w:r>
        <w:t>Resources are flat and institution-wide. Equipment nests under rooms. Resources may be staff_only; permits grant individual access.</w:t>
      </w:r>
    </w:p>
    <w:p>
      <w:pPr>
        <w:pStyle w:val="ListBullet"/>
      </w:pPr>
      <w:r>
        <w:t>Kind: room, virtual, equipment.</w:t>
      </w:r>
    </w:p>
    <w:p>
      <w:pPr>
        <w:pStyle w:val="ListBullet"/>
      </w:pPr>
      <w:r>
        <w:t>capacity: nullable for unlimited.</w:t>
      </w:r>
    </w:p>
    <w:p>
      <w:pPr>
        <w:pStyle w:val="ListBullet"/>
      </w:pPr>
      <w:r>
        <w:t>staff_only + resource_permit for access control.</w:t>
      </w:r>
    </w:p>
    <w:p/>
    <w:p>
      <w:pPr>
        <w:pStyle w:val="Heading2"/>
      </w:pPr>
      <w:r>
        <w:t>Primitive 14: Financial</w:t>
      </w:r>
    </w:p>
    <w:p>
      <w:r>
        <w:rPr>
          <w:i/>
          <w:color w:val="3B82F6"/>
          <w:sz w:val="22"/>
        </w:rPr>
        <w:t>All money flows: invoices, payments, waivers, scholarships.</w:t>
      </w:r>
    </w:p>
    <w:p/>
    <w:p>
      <w:r>
        <w:t>Common labels: tuition, fee, invoice, scholarship</w:t>
      </w:r>
    </w:p>
    <w:p>
      <w:r>
        <w:t>SchoolHub implementation: fee_invoice + fee_payment + waiver + scholarship</w:t>
      </w:r>
    </w:p>
    <w:p/>
    <w:p>
      <w:r>
        <w:rPr>
          <w:b/>
        </w:rPr>
        <w:t xml:space="preserve">Design rationale: </w:t>
      </w:r>
      <w:r>
        <w:t>Invoices fan out to students, classes, or the whole school. Draft-then-approve separates staff submission from admin authorisation. Payment uses an adapter pattern: Stripe integration is in progress.</w:t>
      </w:r>
    </w:p>
    <w:p>
      <w:pPr>
        <w:pStyle w:val="ListBullet"/>
      </w:pPr>
      <w:r>
        <w:t>Currency configurable per tenant (default NGN).</w:t>
      </w:r>
    </w:p>
    <w:p>
      <w:pPr>
        <w:pStyle w:val="ListBullet"/>
      </w:pPr>
      <w:r>
        <w:t>Scholarship rules: percentage-based discounts.</w:t>
      </w:r>
    </w:p>
    <w:p>
      <w:pPr>
        <w:pStyle w:val="ListBullet"/>
      </w:pPr>
      <w:r>
        <w:t>Waivers reduce balances without money changing hands.</w:t>
      </w:r>
    </w:p>
    <w:p>
      <w:pPr>
        <w:pStyle w:val="ListBullet"/>
      </w:pPr>
      <w:r>
        <w:t>Refunds: negative payment rows netting out automatically.</w:t>
      </w:r>
    </w:p>
    <w:p/>
    <w:p>
      <w:r>
        <w:br w:type="page"/>
      </w:r>
    </w:p>
    <w:p>
      <w:pPr>
        <w:pStyle w:val="Heading1"/>
      </w:pPr>
      <w:r>
        <w:t>10. The Three Primitives That Determine Success</w:t>
      </w:r>
    </w:p>
    <w:p>
      <w:r>
        <w:t>Three of the fourteen primitives are existential. If modelled incorrectly, the system collapses at the first real-world edge case.</w:t>
      </w:r>
    </w:p>
    <w:p>
      <w:pPr>
        <w:pStyle w:val="Heading2"/>
      </w:pPr>
      <w:r>
        <w:t>Primitive 2: Role</w:t>
      </w:r>
    </w:p>
    <w:p>
      <w:r>
        <w:rPr>
          <w:b/>
          <w:color w:val="DC2626"/>
        </w:rPr>
        <w:t xml:space="preserve">Incorrect: </w:t>
      </w:r>
      <w:r>
        <w:t>Creating separate database tables for Student, Teacher, and Guardian.</w:t>
      </w:r>
    </w:p>
    <w:p>
      <w:r>
        <w:rPr>
          <w:b/>
          <w:color w:val="10B981"/>
        </w:rPr>
        <w:t xml:space="preserve">Correct: </w:t>
      </w:r>
      <w:r>
        <w:t>A single Person table with Role as a relationship through a join table.</w:t>
      </w:r>
    </w:p>
    <w:p>
      <w:r>
        <w:t>A PhD student who also teaches must not be a schema contradiction. With the correct model, they simply hold two role assignments.</w:t>
      </w:r>
    </w:p>
    <w:p>
      <w:pPr>
        <w:pStyle w:val="Heading2"/>
      </w:pPr>
      <w:r>
        <w:t>Primitive 6: Enrollment</w:t>
      </w:r>
    </w:p>
    <w:p>
      <w:r>
        <w:rPr>
          <w:b/>
          <w:color w:val="DC2626"/>
        </w:rPr>
        <w:t xml:space="preserve">Incorrect: </w:t>
      </w:r>
      <w:r>
        <w:t>Adding a class_id column to the Student record.</w:t>
      </w:r>
    </w:p>
    <w:p>
      <w:r>
        <w:rPr>
          <w:b/>
          <w:color w:val="10B981"/>
        </w:rPr>
        <w:t xml:space="preserve">Correct: </w:t>
      </w:r>
      <w:r>
        <w:t>Enrollment as an independent entity with its own lifecycle, dates, status, and relationships.</w:t>
      </w:r>
    </w:p>
    <w:p>
      <w:r>
        <w:t>Attendance, grading, billing, and progression all depend on Enrollment rather than on Student directly. The legacy student.class_id is transitional.</w:t>
      </w:r>
    </w:p>
    <w:p>
      <w:pPr>
        <w:pStyle w:val="Heading2"/>
      </w:pPr>
      <w:r>
        <w:t>Primitive 8: Schedule</w:t>
      </w:r>
    </w:p>
    <w:p>
      <w:r>
        <w:rPr>
          <w:b/>
          <w:color w:val="DC2626"/>
        </w:rPr>
        <w:t xml:space="preserve">Incorrect: </w:t>
      </w:r>
      <w:r>
        <w:t>A single hardcoded Term or Semester model with fixed nesting levels.</w:t>
      </w:r>
    </w:p>
    <w:p>
      <w:r>
        <w:rPr>
          <w:b/>
          <w:color w:val="10B981"/>
        </w:rPr>
        <w:t xml:space="preserve">Correct: </w:t>
      </w:r>
      <w:r>
        <w:t>A self-referential schedule_period table supporting any depth of nesting with configurable labels.</w:t>
      </w:r>
    </w:p>
    <w:p>
      <w:r>
        <w:t>This primitive most frequently causes system failure. Different institution types require fundamentally different time models. Scoped to K-12 term-based schools.</w:t>
      </w:r>
    </w:p>
    <w:p>
      <w:r>
        <w:br w:type="page"/>
      </w:r>
    </w:p>
    <w:p>
      <w:pPr>
        <w:pStyle w:val="Heading1"/>
      </w:pPr>
      <w:r>
        <w:t>11. Scope and Boundaries</w:t>
      </w:r>
    </w:p>
    <w:p>
      <w:r>
        <w:rPr>
          <w:rFonts w:ascii="Georgia" w:hAnsi="Georgia"/>
          <w:i/>
          <w:color w:val="F59E0B"/>
          <w:sz w:val="26"/>
        </w:rPr>
        <w:t>"Works for all learning institutions" is a seductive but dangerous goal.</w:t>
      </w:r>
    </w:p>
    <w:p/>
    <w:p>
      <w:r>
        <w:t>The fourteen primitives constitute the vocabulary. The rules connecting them constitute the cost. A truly universal system is a career-length undertaking.</w:t>
      </w:r>
    </w:p>
    <w:p>
      <w:r>
        <w:t>Each institution type requires different business logic on the same fourteen tables. Supporting all simultaneously means every code path branches on institution type.</w:t>
      </w:r>
    </w:p>
    <w:p/>
    <w:p>
      <w:r>
        <w:rPr>
          <w:b/>
          <w:color w:val="10B981"/>
        </w:rPr>
        <w:t>Scope decision: K-12 private schools and vocational institutes.</w:t>
      </w:r>
    </w:p>
    <w:p>
      <w:r>
        <w:t>Achievable within the project timeframe. Defensible under academic examination. Extensible: the schema already supports deeper nesting.</w:t>
      </w:r>
    </w:p>
    <w:p>
      <w:pPr>
        <w:ind w:left="283"/>
      </w:pPr>
      <w:r>
        <w:rPr>
          <w:i/>
          <w:color w:val="64738B"/>
          <w:sz w:val="20"/>
        </w:rPr>
        <w:t>Two specific institution types is honest, testable, and defensible.</w:t>
      </w:r>
    </w:p>
    <w:p>
      <w:r>
        <w:br w:type="page"/>
      </w:r>
    </w:p>
    <w:p>
      <w:pPr>
        <w:pStyle w:val="Heading1"/>
      </w:pPr>
      <w:r>
        <w:t>12. Dependencies Used</w:t>
      </w:r>
    </w:p>
    <w:p>
      <w:r>
        <w:t>The following table documents the technology stack and external dependencies employed in the SchoolHub project.</w:t>
      </w:r>
    </w:p>
    <w:tbl>
      <w:tblPr>
        <w:tblStyle w:val="TableGrid"/>
        <w:tblW w:type="auto" w:w="0"/>
        <w:tblLook w:firstColumn="1" w:firstRow="1" w:lastColumn="0" w:lastRow="0" w:noHBand="0" w:noVBand="1" w:val="04A0"/>
      </w:tblPr>
      <w:tblGrid>
        <w:gridCol w:w="2160"/>
        <w:gridCol w:w="2160"/>
        <w:gridCol w:w="2160"/>
        <w:gridCol w:w="2160"/>
      </w:tblGrid>
      <w:tr>
        <w:tc>
          <w:tcPr>
            <w:tcW w:type="dxa" w:w="1247"/>
            <w:shd w:fill="0F172A" w:val="clear"/>
          </w:tcPr>
          <w:p>
            <w:pPr>
              <w:jc w:val="center"/>
            </w:pPr>
            <w:r>
              <w:rPr>
                <w:b/>
                <w:color w:val="FFFFFF"/>
                <w:sz w:val="18"/>
              </w:rPr>
              <w:t>Category</w:t>
            </w:r>
          </w:p>
        </w:tc>
        <w:tc>
          <w:tcPr>
            <w:tcW w:type="dxa" w:w="1984"/>
            <w:shd w:fill="0F172A" w:val="clear"/>
          </w:tcPr>
          <w:p>
            <w:pPr>
              <w:jc w:val="center"/>
            </w:pPr>
            <w:r>
              <w:rPr>
                <w:b/>
                <w:color w:val="FFFFFF"/>
                <w:sz w:val="18"/>
              </w:rPr>
              <w:t>Dependency</w:t>
            </w:r>
          </w:p>
        </w:tc>
        <w:tc>
          <w:tcPr>
            <w:tcW w:type="dxa" w:w="1020"/>
            <w:shd w:fill="0F172A" w:val="clear"/>
          </w:tcPr>
          <w:p>
            <w:pPr>
              <w:jc w:val="center"/>
            </w:pPr>
            <w:r>
              <w:rPr>
                <w:b/>
                <w:color w:val="FFFFFF"/>
                <w:sz w:val="18"/>
              </w:rPr>
              <w:t>Version</w:t>
            </w:r>
          </w:p>
        </w:tc>
        <w:tc>
          <w:tcPr>
            <w:tcW w:type="dxa" w:w="3402"/>
            <w:shd w:fill="0F172A" w:val="clear"/>
          </w:tcPr>
          <w:p>
            <w:pPr>
              <w:jc w:val="center"/>
            </w:pPr>
            <w:r>
              <w:rPr>
                <w:b/>
                <w:color w:val="FFFFFF"/>
                <w:sz w:val="18"/>
              </w:rPr>
              <w:t>Purpose</w:t>
            </w:r>
          </w:p>
        </w:tc>
      </w:tr>
      <w:tr>
        <w:tc>
          <w:tcPr>
            <w:tcW w:type="dxa" w:w="1247"/>
            <w:shd w:fill="F1F5F9" w:val="clear"/>
          </w:tcPr>
          <w:p>
            <w:r>
              <w:rPr>
                <w:sz w:val="18"/>
              </w:rPr>
              <w:t>Framework</w:t>
            </w:r>
          </w:p>
        </w:tc>
        <w:tc>
          <w:tcPr>
            <w:tcW w:type="dxa" w:w="1984"/>
            <w:shd w:fill="F1F5F9" w:val="clear"/>
          </w:tcPr>
          <w:p>
            <w:r>
              <w:rPr>
                <w:sz w:val="18"/>
              </w:rPr>
              <w:t>Spring Boot</w:t>
            </w:r>
          </w:p>
        </w:tc>
        <w:tc>
          <w:tcPr>
            <w:tcW w:type="dxa" w:w="1020"/>
            <w:shd w:fill="F1F5F9" w:val="clear"/>
          </w:tcPr>
          <w:p>
            <w:r>
              <w:rPr>
                <w:sz w:val="18"/>
              </w:rPr>
              <w:t>3.5.14</w:t>
            </w:r>
          </w:p>
        </w:tc>
        <w:tc>
          <w:tcPr>
            <w:tcW w:type="dxa" w:w="3402"/>
            <w:shd w:fill="F1F5F9" w:val="clear"/>
          </w:tcPr>
          <w:p>
            <w:r>
              <w:rPr>
                <w:sz w:val="18"/>
              </w:rPr>
              <w:t>Application framework; inversion of control and dependency injection</w:t>
            </w:r>
          </w:p>
        </w:tc>
      </w:tr>
      <w:tr>
        <w:tc>
          <w:tcPr>
            <w:tcW w:type="dxa" w:w="1247"/>
          </w:tcPr>
          <w:p>
            <w:r>
              <w:rPr>
                <w:sz w:val="18"/>
              </w:rPr>
              <w:t>Framework</w:t>
            </w:r>
          </w:p>
        </w:tc>
        <w:tc>
          <w:tcPr>
            <w:tcW w:type="dxa" w:w="1984"/>
          </w:tcPr>
          <w:p>
            <w:r>
              <w:rPr>
                <w:sz w:val="18"/>
              </w:rPr>
              <w:t>Spring Security</w:t>
            </w:r>
          </w:p>
        </w:tc>
        <w:tc>
          <w:tcPr>
            <w:tcW w:type="dxa" w:w="1020"/>
          </w:tcPr>
          <w:p>
            <w:r>
              <w:rPr>
                <w:sz w:val="18"/>
              </w:rPr>
              <w:t>3.5.14</w:t>
            </w:r>
          </w:p>
        </w:tc>
        <w:tc>
          <w:tcPr>
            <w:tcW w:type="dxa" w:w="3402"/>
          </w:tcPr>
          <w:p>
            <w:r>
              <w:rPr>
                <w:sz w:val="18"/>
              </w:rPr>
              <w:t>Authentication, authorisation, and role-based access control</w:t>
            </w:r>
          </w:p>
        </w:tc>
      </w:tr>
      <w:tr>
        <w:tc>
          <w:tcPr>
            <w:tcW w:type="dxa" w:w="1247"/>
            <w:shd w:fill="F1F5F9" w:val="clear"/>
          </w:tcPr>
          <w:p>
            <w:r>
              <w:rPr>
                <w:sz w:val="18"/>
              </w:rPr>
              <w:t>Framework</w:t>
            </w:r>
          </w:p>
        </w:tc>
        <w:tc>
          <w:tcPr>
            <w:tcW w:type="dxa" w:w="1984"/>
            <w:shd w:fill="F1F5F9" w:val="clear"/>
          </w:tcPr>
          <w:p>
            <w:r>
              <w:rPr>
                <w:sz w:val="18"/>
              </w:rPr>
              <w:t>Spring Data JPA</w:t>
            </w:r>
          </w:p>
        </w:tc>
        <w:tc>
          <w:tcPr>
            <w:tcW w:type="dxa" w:w="1020"/>
            <w:shd w:fill="F1F5F9" w:val="clear"/>
          </w:tcPr>
          <w:p>
            <w:r>
              <w:rPr>
                <w:sz w:val="18"/>
              </w:rPr>
              <w:t>3.5.14</w:t>
            </w:r>
          </w:p>
        </w:tc>
        <w:tc>
          <w:tcPr>
            <w:tcW w:type="dxa" w:w="3402"/>
            <w:shd w:fill="F1F5F9" w:val="clear"/>
          </w:tcPr>
          <w:p>
            <w:r>
              <w:rPr>
                <w:sz w:val="18"/>
              </w:rPr>
              <w:t>Object-relational mapping, repository abstraction, and query derivation</w:t>
            </w:r>
          </w:p>
        </w:tc>
      </w:tr>
      <w:tr>
        <w:tc>
          <w:tcPr>
            <w:tcW w:type="dxa" w:w="1247"/>
          </w:tcPr>
          <w:p>
            <w:r>
              <w:rPr>
                <w:sz w:val="18"/>
              </w:rPr>
              <w:t>Framework</w:t>
            </w:r>
          </w:p>
        </w:tc>
        <w:tc>
          <w:tcPr>
            <w:tcW w:type="dxa" w:w="1984"/>
          </w:tcPr>
          <w:p>
            <w:r>
              <w:rPr>
                <w:sz w:val="18"/>
              </w:rPr>
              <w:t>Spring Web (Apache Tomcat)</w:t>
            </w:r>
          </w:p>
        </w:tc>
        <w:tc>
          <w:tcPr>
            <w:tcW w:type="dxa" w:w="1020"/>
          </w:tcPr>
          <w:p>
            <w:r>
              <w:rPr>
                <w:sz w:val="18"/>
              </w:rPr>
              <w:t>10.1.54</w:t>
            </w:r>
          </w:p>
        </w:tc>
        <w:tc>
          <w:tcPr>
            <w:tcW w:type="dxa" w:w="3402"/>
          </w:tcPr>
          <w:p>
            <w:r>
              <w:rPr>
                <w:sz w:val="18"/>
              </w:rPr>
              <w:t>Embedded HTTP server and RESTful endpoint hosting</w:t>
            </w:r>
          </w:p>
        </w:tc>
      </w:tr>
      <w:tr>
        <w:tc>
          <w:tcPr>
            <w:tcW w:type="dxa" w:w="1247"/>
            <w:shd w:fill="F1F5F9" w:val="clear"/>
          </w:tcPr>
          <w:p>
            <w:r>
              <w:rPr>
                <w:sz w:val="18"/>
              </w:rPr>
              <w:t>Framework</w:t>
            </w:r>
          </w:p>
        </w:tc>
        <w:tc>
          <w:tcPr>
            <w:tcW w:type="dxa" w:w="1984"/>
            <w:shd w:fill="F1F5F9" w:val="clear"/>
          </w:tcPr>
          <w:p>
            <w:r>
              <w:rPr>
                <w:sz w:val="18"/>
              </w:rPr>
              <w:t>Spring Boot Actuator</w:t>
            </w:r>
          </w:p>
        </w:tc>
        <w:tc>
          <w:tcPr>
            <w:tcW w:type="dxa" w:w="1020"/>
            <w:shd w:fill="F1F5F9" w:val="clear"/>
          </w:tcPr>
          <w:p>
            <w:r>
              <w:rPr>
                <w:sz w:val="18"/>
              </w:rPr>
              <w:t>3.5.14</w:t>
            </w:r>
          </w:p>
        </w:tc>
        <w:tc>
          <w:tcPr>
            <w:tcW w:type="dxa" w:w="3402"/>
            <w:shd w:fill="F1F5F9" w:val="clear"/>
          </w:tcPr>
          <w:p>
            <w:r>
              <w:rPr>
                <w:sz w:val="18"/>
              </w:rPr>
              <w:t>Application health checks and operational monitoring endpoints</w:t>
            </w:r>
          </w:p>
        </w:tc>
      </w:tr>
      <w:tr>
        <w:tc>
          <w:tcPr>
            <w:tcW w:type="dxa" w:w="1247"/>
          </w:tcPr>
          <w:p>
            <w:r>
              <w:rPr>
                <w:sz w:val="18"/>
              </w:rPr>
              <w:t>Framework</w:t>
            </w:r>
          </w:p>
        </w:tc>
        <w:tc>
          <w:tcPr>
            <w:tcW w:type="dxa" w:w="1984"/>
          </w:tcPr>
          <w:p>
            <w:r>
              <w:rPr>
                <w:sz w:val="18"/>
              </w:rPr>
              <w:t>Spring Boot Validation</w:t>
            </w:r>
          </w:p>
        </w:tc>
        <w:tc>
          <w:tcPr>
            <w:tcW w:type="dxa" w:w="1020"/>
          </w:tcPr>
          <w:p>
            <w:r>
              <w:rPr>
                <w:sz w:val="18"/>
              </w:rPr>
              <w:t>3.5.14</w:t>
            </w:r>
          </w:p>
        </w:tc>
        <w:tc>
          <w:tcPr>
            <w:tcW w:type="dxa" w:w="3402"/>
          </w:tcPr>
          <w:p>
            <w:r>
              <w:rPr>
                <w:sz w:val="18"/>
              </w:rPr>
              <w:t>Declarative request DTO validation</w:t>
            </w:r>
          </w:p>
        </w:tc>
      </w:tr>
      <w:tr>
        <w:tc>
          <w:tcPr>
            <w:tcW w:type="dxa" w:w="1247"/>
            <w:shd w:fill="F1F5F9" w:val="clear"/>
          </w:tcPr>
          <w:p>
            <w:r>
              <w:rPr>
                <w:sz w:val="18"/>
              </w:rPr>
              <w:t>Framework</w:t>
            </w:r>
          </w:p>
        </w:tc>
        <w:tc>
          <w:tcPr>
            <w:tcW w:type="dxa" w:w="1984"/>
            <w:shd w:fill="F1F5F9" w:val="clear"/>
          </w:tcPr>
          <w:p>
            <w:r>
              <w:rPr>
                <w:sz w:val="18"/>
              </w:rPr>
              <w:t>Spring Boot Mail</w:t>
            </w:r>
          </w:p>
        </w:tc>
        <w:tc>
          <w:tcPr>
            <w:tcW w:type="dxa" w:w="1020"/>
            <w:shd w:fill="F1F5F9" w:val="clear"/>
          </w:tcPr>
          <w:p>
            <w:r>
              <w:rPr>
                <w:sz w:val="18"/>
              </w:rPr>
              <w:t>3.5.14</w:t>
            </w:r>
          </w:p>
        </w:tc>
        <w:tc>
          <w:tcPr>
            <w:tcW w:type="dxa" w:w="3402"/>
            <w:shd w:fill="F1F5F9" w:val="clear"/>
          </w:tcPr>
          <w:p>
            <w:r>
              <w:rPr>
                <w:sz w:val="18"/>
              </w:rPr>
              <w:t>Email notification support (AuthService only)</w:t>
            </w:r>
          </w:p>
        </w:tc>
      </w:tr>
      <w:tr>
        <w:tc>
          <w:tcPr>
            <w:tcW w:type="dxa" w:w="1247"/>
          </w:tcPr>
          <w:p>
            <w:r>
              <w:rPr>
                <w:sz w:val="18"/>
              </w:rPr>
              <w:t>Authentication</w:t>
            </w:r>
          </w:p>
        </w:tc>
        <w:tc>
          <w:tcPr>
            <w:tcW w:type="dxa" w:w="1984"/>
          </w:tcPr>
          <w:p>
            <w:r>
              <w:rPr>
                <w:sz w:val="18"/>
              </w:rPr>
              <w:t>JJWT (io.jsonwebtoken)</w:t>
            </w:r>
          </w:p>
        </w:tc>
        <w:tc>
          <w:tcPr>
            <w:tcW w:type="dxa" w:w="1020"/>
          </w:tcPr>
          <w:p>
            <w:r>
              <w:rPr>
                <w:sz w:val="18"/>
              </w:rPr>
              <w:t>0.12.6</w:t>
            </w:r>
          </w:p>
        </w:tc>
        <w:tc>
          <w:tcPr>
            <w:tcW w:type="dxa" w:w="3402"/>
          </w:tcPr>
          <w:p>
            <w:r>
              <w:rPr>
                <w:sz w:val="18"/>
              </w:rPr>
              <w:t>JSON Web Token creation, signing, and verification</w:t>
            </w:r>
          </w:p>
        </w:tc>
      </w:tr>
      <w:tr>
        <w:tc>
          <w:tcPr>
            <w:tcW w:type="dxa" w:w="1247"/>
            <w:shd w:fill="F1F5F9" w:val="clear"/>
          </w:tcPr>
          <w:p>
            <w:r>
              <w:rPr>
                <w:sz w:val="18"/>
              </w:rPr>
              <w:t>Database</w:t>
            </w:r>
          </w:p>
        </w:tc>
        <w:tc>
          <w:tcPr>
            <w:tcW w:type="dxa" w:w="1984"/>
            <w:shd w:fill="F1F5F9" w:val="clear"/>
          </w:tcPr>
          <w:p>
            <w:r>
              <w:rPr>
                <w:sz w:val="18"/>
              </w:rPr>
              <w:t>PostgreSQL JDBC Driver</w:t>
            </w:r>
          </w:p>
        </w:tc>
        <w:tc>
          <w:tcPr>
            <w:tcW w:type="dxa" w:w="1020"/>
            <w:shd w:fill="F1F5F9" w:val="clear"/>
          </w:tcPr>
          <w:p>
            <w:r>
              <w:rPr>
                <w:sz w:val="18"/>
              </w:rPr>
              <w:t>42.7.x</w:t>
            </w:r>
          </w:p>
        </w:tc>
        <w:tc>
          <w:tcPr>
            <w:tcW w:type="dxa" w:w="3402"/>
            <w:shd w:fill="F1F5F9" w:val="clear"/>
          </w:tcPr>
          <w:p>
            <w:r>
              <w:rPr>
                <w:sz w:val="18"/>
              </w:rPr>
              <w:t>Postgres database connectivity with schema-per-tenant isolation</w:t>
            </w:r>
          </w:p>
        </w:tc>
      </w:tr>
      <w:tr>
        <w:tc>
          <w:tcPr>
            <w:tcW w:type="dxa" w:w="1247"/>
          </w:tcPr>
          <w:p>
            <w:r>
              <w:rPr>
                <w:sz w:val="18"/>
              </w:rPr>
              <w:t>Connection Pool</w:t>
            </w:r>
          </w:p>
        </w:tc>
        <w:tc>
          <w:tcPr>
            <w:tcW w:type="dxa" w:w="1984"/>
          </w:tcPr>
          <w:p>
            <w:r>
              <w:rPr>
                <w:sz w:val="18"/>
              </w:rPr>
              <w:t>HikariCP</w:t>
            </w:r>
          </w:p>
        </w:tc>
        <w:tc>
          <w:tcPr>
            <w:tcW w:type="dxa" w:w="1020"/>
          </w:tcPr>
          <w:p>
            <w:r>
              <w:rPr>
                <w:sz w:val="18"/>
              </w:rPr>
              <w:t>(bundled)</w:t>
            </w:r>
          </w:p>
        </w:tc>
        <w:tc>
          <w:tcPr>
            <w:tcW w:type="dxa" w:w="3402"/>
          </w:tcPr>
          <w:p>
            <w:r>
              <w:rPr>
                <w:sz w:val="18"/>
              </w:rPr>
              <w:t>High-performance JDBC connection pooling</w:t>
            </w:r>
          </w:p>
        </w:tc>
      </w:tr>
      <w:tr>
        <w:tc>
          <w:tcPr>
            <w:tcW w:type="dxa" w:w="1247"/>
            <w:shd w:fill="F1F5F9" w:val="clear"/>
          </w:tcPr>
          <w:p>
            <w:r>
              <w:rPr>
                <w:sz w:val="18"/>
              </w:rPr>
              <w:t>ORM</w:t>
            </w:r>
          </w:p>
        </w:tc>
        <w:tc>
          <w:tcPr>
            <w:tcW w:type="dxa" w:w="1984"/>
            <w:shd w:fill="F1F5F9" w:val="clear"/>
          </w:tcPr>
          <w:p>
            <w:r>
              <w:rPr>
                <w:sz w:val="18"/>
              </w:rPr>
              <w:t>Hibernate ORM</w:t>
            </w:r>
          </w:p>
        </w:tc>
        <w:tc>
          <w:tcPr>
            <w:tcW w:type="dxa" w:w="1020"/>
            <w:shd w:fill="F1F5F9" w:val="clear"/>
          </w:tcPr>
          <w:p>
            <w:r>
              <w:rPr>
                <w:sz w:val="18"/>
              </w:rPr>
              <w:t>6.6.49</w:t>
            </w:r>
          </w:p>
        </w:tc>
        <w:tc>
          <w:tcPr>
            <w:tcW w:type="dxa" w:w="3402"/>
            <w:shd w:fill="F1F5F9" w:val="clear"/>
          </w:tcPr>
          <w:p>
            <w:r>
              <w:rPr>
                <w:sz w:val="18"/>
              </w:rPr>
              <w:t>Entity lifecycle management and schema auto-detection</w:t>
            </w:r>
          </w:p>
        </w:tc>
      </w:tr>
      <w:tr>
        <w:tc>
          <w:tcPr>
            <w:tcW w:type="dxa" w:w="1247"/>
          </w:tcPr>
          <w:p>
            <w:r>
              <w:rPr>
                <w:sz w:val="18"/>
              </w:rPr>
              <w:t>Serialisation</w:t>
            </w:r>
          </w:p>
        </w:tc>
        <w:tc>
          <w:tcPr>
            <w:tcW w:type="dxa" w:w="1984"/>
          </w:tcPr>
          <w:p>
            <w:r>
              <w:rPr>
                <w:sz w:val="18"/>
              </w:rPr>
              <w:t>Jackson</w:t>
            </w:r>
          </w:p>
        </w:tc>
        <w:tc>
          <w:tcPr>
            <w:tcW w:type="dxa" w:w="1020"/>
          </w:tcPr>
          <w:p>
            <w:r>
              <w:rPr>
                <w:sz w:val="18"/>
              </w:rPr>
              <w:t>(bundled)</w:t>
            </w:r>
          </w:p>
        </w:tc>
        <w:tc>
          <w:tcPr>
            <w:tcW w:type="dxa" w:w="3402"/>
          </w:tcPr>
          <w:p>
            <w:r>
              <w:rPr>
                <w:sz w:val="18"/>
              </w:rPr>
              <w:t>JSON serialisation and deserialisation</w:t>
            </w:r>
          </w:p>
        </w:tc>
      </w:tr>
      <w:tr>
        <w:tc>
          <w:tcPr>
            <w:tcW w:type="dxa" w:w="1247"/>
            <w:shd w:fill="F1F5F9" w:val="clear"/>
          </w:tcPr>
          <w:p>
            <w:r>
              <w:rPr>
                <w:sz w:val="18"/>
              </w:rPr>
              <w:t>Icons</w:t>
            </w:r>
          </w:p>
        </w:tc>
        <w:tc>
          <w:tcPr>
            <w:tcW w:type="dxa" w:w="1984"/>
            <w:shd w:fill="F1F5F9" w:val="clear"/>
          </w:tcPr>
          <w:p>
            <w:r>
              <w:rPr>
                <w:sz w:val="18"/>
              </w:rPr>
              <w:t>Lucide Icons</w:t>
            </w:r>
          </w:p>
        </w:tc>
        <w:tc>
          <w:tcPr>
            <w:tcW w:type="dxa" w:w="1020"/>
            <w:shd w:fill="F1F5F9" w:val="clear"/>
          </w:tcPr>
          <w:p>
            <w:r>
              <w:rPr>
                <w:sz w:val="18"/>
              </w:rPr>
              <w:t>(CDN)</w:t>
            </w:r>
          </w:p>
        </w:tc>
        <w:tc>
          <w:tcPr>
            <w:tcW w:type="dxa" w:w="3402"/>
            <w:shd w:fill="F1F5F9" w:val="clear"/>
          </w:tcPr>
          <w:p>
            <w:r>
              <w:rPr>
                <w:sz w:val="18"/>
              </w:rPr>
              <w:t>Lightweight icon library for the user interface</w:t>
            </w:r>
          </w:p>
        </w:tc>
      </w:tr>
      <w:tr>
        <w:tc>
          <w:tcPr>
            <w:tcW w:type="dxa" w:w="1247"/>
          </w:tcPr>
          <w:p>
            <w:r>
              <w:rPr>
                <w:sz w:val="18"/>
              </w:rPr>
              <w:t>Authentication</w:t>
            </w:r>
          </w:p>
        </w:tc>
        <w:tc>
          <w:tcPr>
            <w:tcW w:type="dxa" w:w="1984"/>
          </w:tcPr>
          <w:p>
            <w:r>
              <w:rPr>
                <w:sz w:val="18"/>
              </w:rPr>
              <w:t>Google Identity Services</w:t>
            </w:r>
          </w:p>
        </w:tc>
        <w:tc>
          <w:tcPr>
            <w:tcW w:type="dxa" w:w="1020"/>
          </w:tcPr>
          <w:p>
            <w:r>
              <w:rPr>
                <w:sz w:val="18"/>
              </w:rPr>
              <w:t>(CDN)</w:t>
            </w:r>
          </w:p>
        </w:tc>
        <w:tc>
          <w:tcPr>
            <w:tcW w:type="dxa" w:w="3402"/>
          </w:tcPr>
          <w:p>
            <w:r>
              <w:rPr>
                <w:sz w:val="18"/>
              </w:rPr>
              <w:t>OAuth 2.0 popup-based Google sign-in</w:t>
            </w:r>
          </w:p>
        </w:tc>
      </w:tr>
      <w:tr>
        <w:tc>
          <w:tcPr>
            <w:tcW w:type="dxa" w:w="1247"/>
            <w:shd w:fill="F1F5F9" w:val="clear"/>
          </w:tcPr>
          <w:p>
            <w:r>
              <w:rPr>
                <w:sz w:val="18"/>
              </w:rPr>
              <w:t>Build</w:t>
            </w:r>
          </w:p>
        </w:tc>
        <w:tc>
          <w:tcPr>
            <w:tcW w:type="dxa" w:w="1984"/>
            <w:shd w:fill="F1F5F9" w:val="clear"/>
          </w:tcPr>
          <w:p>
            <w:r>
              <w:rPr>
                <w:sz w:val="18"/>
              </w:rPr>
              <w:t>Apache Maven (wrapper)</w:t>
            </w:r>
          </w:p>
        </w:tc>
        <w:tc>
          <w:tcPr>
            <w:tcW w:type="dxa" w:w="1020"/>
            <w:shd w:fill="F1F5F9" w:val="clear"/>
          </w:tcPr>
          <w:p>
            <w:r>
              <w:rPr>
                <w:sz w:val="18"/>
              </w:rPr>
              <w:t>3.9.15</w:t>
            </w:r>
          </w:p>
        </w:tc>
        <w:tc>
          <w:tcPr>
            <w:tcW w:type="dxa" w:w="3402"/>
            <w:shd w:fill="F1F5F9" w:val="clear"/>
          </w:tcPr>
          <w:p>
            <w:r>
              <w:rPr>
                <w:sz w:val="18"/>
              </w:rPr>
              <w:t>Dependency management, compilation, and executable JAR packaging</w:t>
            </w:r>
          </w:p>
        </w:tc>
      </w:tr>
      <w:tr>
        <w:tc>
          <w:tcPr>
            <w:tcW w:type="dxa" w:w="1247"/>
          </w:tcPr>
          <w:p>
            <w:r>
              <w:rPr>
                <w:sz w:val="18"/>
              </w:rPr>
              <w:t>Runtime</w:t>
            </w:r>
          </w:p>
        </w:tc>
        <w:tc>
          <w:tcPr>
            <w:tcW w:type="dxa" w:w="1984"/>
          </w:tcPr>
          <w:p>
            <w:r>
              <w:rPr>
                <w:sz w:val="18"/>
              </w:rPr>
              <w:t>Java (OpenJDK Temurin)</w:t>
            </w:r>
          </w:p>
        </w:tc>
        <w:tc>
          <w:tcPr>
            <w:tcW w:type="dxa" w:w="1020"/>
          </w:tcPr>
          <w:p>
            <w:r>
              <w:rPr>
                <w:sz w:val="18"/>
              </w:rPr>
              <w:t>25.0.2</w:t>
            </w:r>
          </w:p>
        </w:tc>
        <w:tc>
          <w:tcPr>
            <w:tcW w:type="dxa" w:w="3402"/>
          </w:tcPr>
          <w:p>
            <w:r>
              <w:rPr>
                <w:sz w:val="18"/>
              </w:rPr>
              <w:t>Java runtime environment</w:t>
            </w:r>
          </w:p>
        </w:tc>
      </w:tr>
      <w:tr>
        <w:tc>
          <w:tcPr>
            <w:tcW w:type="dxa" w:w="1247"/>
            <w:shd w:fill="F1F5F9" w:val="clear"/>
          </w:tcPr>
          <w:p>
            <w:r>
              <w:rPr>
                <w:sz w:val="18"/>
              </w:rPr>
              <w:t>Database Server</w:t>
            </w:r>
          </w:p>
        </w:tc>
        <w:tc>
          <w:tcPr>
            <w:tcW w:type="dxa" w:w="1984"/>
            <w:shd w:fill="F1F5F9" w:val="clear"/>
          </w:tcPr>
          <w:p>
            <w:r>
              <w:rPr>
                <w:sz w:val="18"/>
              </w:rPr>
              <w:t>PostgreSQL</w:t>
            </w:r>
          </w:p>
        </w:tc>
        <w:tc>
          <w:tcPr>
            <w:tcW w:type="dxa" w:w="1020"/>
            <w:shd w:fill="F1F5F9" w:val="clear"/>
          </w:tcPr>
          <w:p>
            <w:r>
              <w:rPr>
                <w:sz w:val="18"/>
              </w:rPr>
              <w:t>18.3</w:t>
            </w:r>
          </w:p>
        </w:tc>
        <w:tc>
          <w:tcPr>
            <w:tcW w:type="dxa" w:w="3402"/>
            <w:shd w:fill="F1F5F9" w:val="clear"/>
          </w:tcPr>
          <w:p>
            <w:r>
              <w:rPr>
                <w:sz w:val="18"/>
              </w:rPr>
              <w:t>Relational database management system</w:t>
            </w:r>
          </w:p>
        </w:tc>
      </w:tr>
    </w:tbl>
    <w:p/>
    <w:p>
      <w:r>
        <w:t>All Java dependencies are managed through the Spring Boot parent POM (version 3.5.14) and Maven wrapper, ensuring consistent version resolution across all four microservices.</w:t>
      </w:r>
    </w:p>
    <w:p>
      <w:r>
        <w:br w:type="page"/>
      </w:r>
    </w:p>
    <w:p>
      <w:pPr>
        <w:pStyle w:val="Heading1"/>
      </w:pPr>
      <w:r>
        <w:t>13. Implementation Status</w:t>
      </w:r>
    </w:p>
    <w:p>
      <w:r>
        <w:t>Each primitive mapped to its implementation and current development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3"/>
            <w:shd w:fill="0F172A" w:val="clear"/>
          </w:tcPr>
          <w:p>
            <w:pPr>
              <w:jc w:val="center"/>
            </w:pPr>
            <w:r>
              <w:rPr>
                <w:b/>
                <w:color w:val="FFFFFF"/>
                <w:sz w:val="18"/>
              </w:rPr>
              <w:t>#</w:t>
            </w:r>
          </w:p>
        </w:tc>
        <w:tc>
          <w:tcPr>
            <w:tcW w:type="dxa" w:w="1134"/>
            <w:shd w:fill="0F172A" w:val="clear"/>
          </w:tcPr>
          <w:p>
            <w:pPr>
              <w:jc w:val="center"/>
            </w:pPr>
            <w:r>
              <w:rPr>
                <w:b/>
                <w:color w:val="FFFFFF"/>
                <w:sz w:val="18"/>
              </w:rPr>
              <w:t>Primitive</w:t>
            </w:r>
          </w:p>
        </w:tc>
        <w:tc>
          <w:tcPr>
            <w:tcW w:type="dxa" w:w="1814"/>
            <w:shd w:fill="0F172A" w:val="clear"/>
          </w:tcPr>
          <w:p>
            <w:pPr>
              <w:jc w:val="center"/>
            </w:pPr>
            <w:r>
              <w:rPr>
                <w:b/>
                <w:color w:val="FFFFFF"/>
                <w:sz w:val="18"/>
              </w:rPr>
              <w:t>Database Table</w:t>
            </w:r>
          </w:p>
        </w:tc>
        <w:tc>
          <w:tcPr>
            <w:tcW w:type="dxa" w:w="1587"/>
            <w:shd w:fill="0F172A" w:val="clear"/>
          </w:tcPr>
          <w:p>
            <w:pPr>
              <w:jc w:val="center"/>
            </w:pPr>
            <w:r>
              <w:rPr>
                <w:b/>
                <w:color w:val="FFFFFF"/>
                <w:sz w:val="18"/>
              </w:rPr>
              <w:t>Service Class</w:t>
            </w:r>
          </w:p>
        </w:tc>
        <w:tc>
          <w:tcPr>
            <w:tcW w:type="dxa" w:w="1020"/>
            <w:shd w:fill="0F172A" w:val="clear"/>
          </w:tcPr>
          <w:p>
            <w:pPr>
              <w:jc w:val="center"/>
            </w:pPr>
            <w:r>
              <w:rPr>
                <w:b/>
                <w:color w:val="FFFFFF"/>
                <w:sz w:val="18"/>
              </w:rPr>
              <w:t>Status</w:t>
            </w:r>
          </w:p>
        </w:tc>
      </w:tr>
      <w:tr>
        <w:tc>
          <w:tcPr>
            <w:tcW w:type="dxa" w:w="283"/>
            <w:shd w:fill="F1F5F9" w:val="clear"/>
          </w:tcPr>
          <w:p>
            <w:r>
              <w:rPr>
                <w:sz w:val="18"/>
              </w:rPr>
              <w:t>1</w:t>
            </w:r>
          </w:p>
        </w:tc>
        <w:tc>
          <w:tcPr>
            <w:tcW w:type="dxa" w:w="1134"/>
            <w:shd w:fill="F1F5F9" w:val="clear"/>
          </w:tcPr>
          <w:p>
            <w:r>
              <w:rPr>
                <w:sz w:val="18"/>
              </w:rPr>
              <w:t>Person / Party</w:t>
            </w:r>
          </w:p>
        </w:tc>
        <w:tc>
          <w:tcPr>
            <w:tcW w:type="dxa" w:w="1814"/>
            <w:shd w:fill="F1F5F9" w:val="clear"/>
          </w:tcPr>
          <w:p>
            <w:r>
              <w:rPr>
                <w:sz w:val="18"/>
              </w:rPr>
              <w:t>platform.app_user</w:t>
            </w:r>
          </w:p>
        </w:tc>
        <w:tc>
          <w:tcPr>
            <w:tcW w:type="dxa" w:w="1587"/>
            <w:shd w:fill="F1F5F9" w:val="clear"/>
          </w:tcPr>
          <w:p>
            <w:r>
              <w:rPr>
                <w:sz w:val="18"/>
              </w:rPr>
              <w:t>AuthService</w:t>
            </w:r>
          </w:p>
        </w:tc>
        <w:tc>
          <w:tcPr>
            <w:tcW w:type="dxa" w:w="1020"/>
            <w:shd w:fill="F1F5F9" w:val="clear"/>
          </w:tcPr>
          <w:p>
            <w:r>
              <w:rPr>
                <w:sz w:val="18"/>
              </w:rPr>
              <w:t>Complete</w:t>
            </w:r>
          </w:p>
        </w:tc>
      </w:tr>
      <w:tr>
        <w:tc>
          <w:tcPr>
            <w:tcW w:type="dxa" w:w="283"/>
          </w:tcPr>
          <w:p>
            <w:r>
              <w:rPr>
                <w:sz w:val="18"/>
              </w:rPr>
              <w:t>2</w:t>
            </w:r>
          </w:p>
        </w:tc>
        <w:tc>
          <w:tcPr>
            <w:tcW w:type="dxa" w:w="1134"/>
          </w:tcPr>
          <w:p>
            <w:r>
              <w:rPr>
                <w:sz w:val="18"/>
              </w:rPr>
              <w:t>Role</w:t>
            </w:r>
          </w:p>
        </w:tc>
        <w:tc>
          <w:tcPr>
            <w:tcW w:type="dxa" w:w="1814"/>
          </w:tcPr>
          <w:p>
            <w:r>
              <w:rPr>
                <w:sz w:val="18"/>
              </w:rPr>
              <w:t>platform.role + role_assignment</w:t>
            </w:r>
          </w:p>
        </w:tc>
        <w:tc>
          <w:tcPr>
            <w:tcW w:type="dxa" w:w="1587"/>
          </w:tcPr>
          <w:p>
            <w:r>
              <w:rPr>
                <w:sz w:val="18"/>
              </w:rPr>
              <w:t>AuthService</w:t>
            </w:r>
          </w:p>
        </w:tc>
        <w:tc>
          <w:tcPr>
            <w:tcW w:type="dxa" w:w="1020"/>
          </w:tcPr>
          <w:p>
            <w:r>
              <w:rPr>
                <w:sz w:val="18"/>
              </w:rPr>
              <w:t>Complete</w:t>
            </w:r>
          </w:p>
        </w:tc>
      </w:tr>
      <w:tr>
        <w:tc>
          <w:tcPr>
            <w:tcW w:type="dxa" w:w="283"/>
            <w:shd w:fill="F1F5F9" w:val="clear"/>
          </w:tcPr>
          <w:p>
            <w:r>
              <w:rPr>
                <w:sz w:val="18"/>
              </w:rPr>
              <w:t>3</w:t>
            </w:r>
          </w:p>
        </w:tc>
        <w:tc>
          <w:tcPr>
            <w:tcW w:type="dxa" w:w="1134"/>
            <w:shd w:fill="F1F5F9" w:val="clear"/>
          </w:tcPr>
          <w:p>
            <w:r>
              <w:rPr>
                <w:sz w:val="18"/>
              </w:rPr>
              <w:t>Org Unit</w:t>
            </w:r>
          </w:p>
        </w:tc>
        <w:tc>
          <w:tcPr>
            <w:tcW w:type="dxa" w:w="1814"/>
            <w:shd w:fill="F1F5F9" w:val="clear"/>
          </w:tcPr>
          <w:p>
            <w:r>
              <w:rPr>
                <w:sz w:val="18"/>
              </w:rPr>
              <w:t>{schema}.org_unit</w:t>
            </w:r>
          </w:p>
        </w:tc>
        <w:tc>
          <w:tcPr>
            <w:tcW w:type="dxa" w:w="1587"/>
            <w:shd w:fill="F1F5F9" w:val="clear"/>
          </w:tcPr>
          <w:p>
            <w:r>
              <w:rPr>
                <w:sz w:val="18"/>
              </w:rPr>
              <w:t>OrgUnitService</w:t>
            </w:r>
          </w:p>
        </w:tc>
        <w:tc>
          <w:tcPr>
            <w:tcW w:type="dxa" w:w="1020"/>
            <w:shd w:fill="F1F5F9" w:val="clear"/>
          </w:tcPr>
          <w:p>
            <w:r>
              <w:rPr>
                <w:sz w:val="18"/>
              </w:rPr>
              <w:t>Complete</w:t>
            </w:r>
          </w:p>
        </w:tc>
      </w:tr>
      <w:tr>
        <w:tc>
          <w:tcPr>
            <w:tcW w:type="dxa" w:w="283"/>
          </w:tcPr>
          <w:p>
            <w:r>
              <w:rPr>
                <w:sz w:val="18"/>
              </w:rPr>
              <w:t>4</w:t>
            </w:r>
          </w:p>
        </w:tc>
        <w:tc>
          <w:tcPr>
            <w:tcW w:type="dxa" w:w="1134"/>
          </w:tcPr>
          <w:p>
            <w:r>
              <w:rPr>
                <w:sz w:val="18"/>
              </w:rPr>
              <w:t>Offering</w:t>
            </w:r>
          </w:p>
        </w:tc>
        <w:tc>
          <w:tcPr>
            <w:tcW w:type="dxa" w:w="1814"/>
          </w:tcPr>
          <w:p>
            <w:r>
              <w:rPr>
                <w:sz w:val="18"/>
              </w:rPr>
              <w:t>{schema}.offering</w:t>
            </w:r>
          </w:p>
        </w:tc>
        <w:tc>
          <w:tcPr>
            <w:tcW w:type="dxa" w:w="1587"/>
          </w:tcPr>
          <w:p>
            <w:r>
              <w:rPr>
                <w:sz w:val="18"/>
              </w:rPr>
              <w:t>OfferingService</w:t>
            </w:r>
          </w:p>
        </w:tc>
        <w:tc>
          <w:tcPr>
            <w:tcW w:type="dxa" w:w="1020"/>
          </w:tcPr>
          <w:p>
            <w:r>
              <w:rPr>
                <w:sz w:val="18"/>
              </w:rPr>
              <w:t>Complete</w:t>
            </w:r>
          </w:p>
        </w:tc>
      </w:tr>
      <w:tr>
        <w:tc>
          <w:tcPr>
            <w:tcW w:type="dxa" w:w="283"/>
            <w:shd w:fill="F1F5F9" w:val="clear"/>
          </w:tcPr>
          <w:p>
            <w:r>
              <w:rPr>
                <w:sz w:val="18"/>
              </w:rPr>
              <w:t>5</w:t>
            </w:r>
          </w:p>
        </w:tc>
        <w:tc>
          <w:tcPr>
            <w:tcW w:type="dxa" w:w="1134"/>
            <w:shd w:fill="F1F5F9" w:val="clear"/>
          </w:tcPr>
          <w:p>
            <w:r>
              <w:rPr>
                <w:sz w:val="18"/>
              </w:rPr>
              <w:t>Cohort</w:t>
            </w:r>
          </w:p>
        </w:tc>
        <w:tc>
          <w:tcPr>
            <w:tcW w:type="dxa" w:w="1814"/>
            <w:shd w:fill="F1F5F9" w:val="clear"/>
          </w:tcPr>
          <w:p>
            <w:r>
              <w:rPr>
                <w:sz w:val="18"/>
              </w:rPr>
              <w:t>{schema}.cohort + group</w:t>
            </w:r>
          </w:p>
        </w:tc>
        <w:tc>
          <w:tcPr>
            <w:tcW w:type="dxa" w:w="1587"/>
            <w:shd w:fill="F1F5F9" w:val="clear"/>
          </w:tcPr>
          <w:p>
            <w:r>
              <w:rPr>
                <w:sz w:val="18"/>
              </w:rPr>
              <w:t>CohortService</w:t>
            </w:r>
          </w:p>
        </w:tc>
        <w:tc>
          <w:tcPr>
            <w:tcW w:type="dxa" w:w="1020"/>
            <w:shd w:fill="F1F5F9" w:val="clear"/>
          </w:tcPr>
          <w:p>
            <w:r>
              <w:rPr>
                <w:sz w:val="18"/>
              </w:rPr>
              <w:t>Complete</w:t>
            </w:r>
          </w:p>
        </w:tc>
      </w:tr>
      <w:tr>
        <w:tc>
          <w:tcPr>
            <w:tcW w:type="dxa" w:w="283"/>
          </w:tcPr>
          <w:p>
            <w:r>
              <w:rPr>
                <w:sz w:val="18"/>
              </w:rPr>
              <w:t>6</w:t>
            </w:r>
          </w:p>
        </w:tc>
        <w:tc>
          <w:tcPr>
            <w:tcW w:type="dxa" w:w="1134"/>
          </w:tcPr>
          <w:p>
            <w:r>
              <w:rPr>
                <w:sz w:val="18"/>
              </w:rPr>
              <w:t>Enrollment</w:t>
            </w:r>
          </w:p>
        </w:tc>
        <w:tc>
          <w:tcPr>
            <w:tcW w:type="dxa" w:w="1814"/>
          </w:tcPr>
          <w:p>
            <w:r>
              <w:rPr>
                <w:sz w:val="18"/>
              </w:rPr>
              <w:t>{schema}.enrollment</w:t>
            </w:r>
          </w:p>
        </w:tc>
        <w:tc>
          <w:tcPr>
            <w:tcW w:type="dxa" w:w="1587"/>
          </w:tcPr>
          <w:p>
            <w:r>
              <w:rPr>
                <w:sz w:val="18"/>
              </w:rPr>
              <w:t>EnrollmentService</w:t>
            </w:r>
          </w:p>
        </w:tc>
        <w:tc>
          <w:tcPr>
            <w:tcW w:type="dxa" w:w="1020"/>
          </w:tcPr>
          <w:p>
            <w:r>
              <w:rPr>
                <w:sz w:val="18"/>
              </w:rPr>
              <w:t>Complete</w:t>
            </w:r>
          </w:p>
        </w:tc>
      </w:tr>
      <w:tr>
        <w:tc>
          <w:tcPr>
            <w:tcW w:type="dxa" w:w="283"/>
            <w:shd w:fill="F1F5F9" w:val="clear"/>
          </w:tcPr>
          <w:p>
            <w:r>
              <w:rPr>
                <w:sz w:val="18"/>
              </w:rPr>
              <w:t>7</w:t>
            </w:r>
          </w:p>
        </w:tc>
        <w:tc>
          <w:tcPr>
            <w:tcW w:type="dxa" w:w="1134"/>
            <w:shd w:fill="F1F5F9" w:val="clear"/>
          </w:tcPr>
          <w:p>
            <w:r>
              <w:rPr>
                <w:sz w:val="18"/>
              </w:rPr>
              <w:t>Session</w:t>
            </w:r>
          </w:p>
        </w:tc>
        <w:tc>
          <w:tcPr>
            <w:tcW w:type="dxa" w:w="1814"/>
            <w:shd w:fill="F1F5F9" w:val="clear"/>
          </w:tcPr>
          <w:p>
            <w:r>
              <w:rPr>
                <w:sz w:val="18"/>
              </w:rPr>
              <w:t>{schema}.session</w:t>
            </w:r>
          </w:p>
        </w:tc>
        <w:tc>
          <w:tcPr>
            <w:tcW w:type="dxa" w:w="1587"/>
            <w:shd w:fill="F1F5F9" w:val="clear"/>
          </w:tcPr>
          <w:p>
            <w:r>
              <w:rPr>
                <w:sz w:val="18"/>
              </w:rPr>
              <w:t>SessionService</w:t>
            </w:r>
          </w:p>
        </w:tc>
        <w:tc>
          <w:tcPr>
            <w:tcW w:type="dxa" w:w="1020"/>
            <w:shd w:fill="F1F5F9" w:val="clear"/>
          </w:tcPr>
          <w:p>
            <w:r>
              <w:rPr>
                <w:sz w:val="18"/>
              </w:rPr>
              <w:t>Complete</w:t>
            </w:r>
          </w:p>
        </w:tc>
      </w:tr>
      <w:tr>
        <w:tc>
          <w:tcPr>
            <w:tcW w:type="dxa" w:w="283"/>
          </w:tcPr>
          <w:p>
            <w:r>
              <w:rPr>
                <w:sz w:val="18"/>
              </w:rPr>
              <w:t>8</w:t>
            </w:r>
          </w:p>
        </w:tc>
        <w:tc>
          <w:tcPr>
            <w:tcW w:type="dxa" w:w="1134"/>
          </w:tcPr>
          <w:p>
            <w:r>
              <w:rPr>
                <w:sz w:val="18"/>
              </w:rPr>
              <w:t>Schedule</w:t>
            </w:r>
          </w:p>
        </w:tc>
        <w:tc>
          <w:tcPr>
            <w:tcW w:type="dxa" w:w="1814"/>
          </w:tcPr>
          <w:p>
            <w:r>
              <w:rPr>
                <w:sz w:val="18"/>
              </w:rPr>
              <w:t>{schema}.schedule_period</w:t>
            </w:r>
          </w:p>
        </w:tc>
        <w:tc>
          <w:tcPr>
            <w:tcW w:type="dxa" w:w="1587"/>
          </w:tcPr>
          <w:p>
            <w:r>
              <w:rPr>
                <w:sz w:val="18"/>
              </w:rPr>
              <w:t>SchedulePeriodService</w:t>
            </w:r>
          </w:p>
        </w:tc>
        <w:tc>
          <w:tcPr>
            <w:tcW w:type="dxa" w:w="1020"/>
          </w:tcPr>
          <w:p>
            <w:r>
              <w:rPr>
                <w:sz w:val="18"/>
              </w:rPr>
              <w:t>Phase 1</w:t>
            </w:r>
          </w:p>
        </w:tc>
      </w:tr>
      <w:tr>
        <w:tc>
          <w:tcPr>
            <w:tcW w:type="dxa" w:w="283"/>
            <w:shd w:fill="F1F5F9" w:val="clear"/>
          </w:tcPr>
          <w:p>
            <w:r>
              <w:rPr>
                <w:sz w:val="18"/>
              </w:rPr>
              <w:t>9</w:t>
            </w:r>
          </w:p>
        </w:tc>
        <w:tc>
          <w:tcPr>
            <w:tcW w:type="dxa" w:w="1134"/>
            <w:shd w:fill="F1F5F9" w:val="clear"/>
          </w:tcPr>
          <w:p>
            <w:r>
              <w:rPr>
                <w:sz w:val="18"/>
              </w:rPr>
              <w:t>Assessment</w:t>
            </w:r>
          </w:p>
        </w:tc>
        <w:tc>
          <w:tcPr>
            <w:tcW w:type="dxa" w:w="1814"/>
            <w:shd w:fill="F1F5F9" w:val="clear"/>
          </w:tcPr>
          <w:p>
            <w:r>
              <w:rPr>
                <w:sz w:val="18"/>
              </w:rPr>
              <w:t>{schema}.assessment</w:t>
            </w:r>
          </w:p>
        </w:tc>
        <w:tc>
          <w:tcPr>
            <w:tcW w:type="dxa" w:w="1587"/>
            <w:shd w:fill="F1F5F9" w:val="clear"/>
          </w:tcPr>
          <w:p>
            <w:r>
              <w:rPr>
                <w:sz w:val="18"/>
              </w:rPr>
              <w:t>AcademicService</w:t>
            </w:r>
          </w:p>
        </w:tc>
        <w:tc>
          <w:tcPr>
            <w:tcW w:type="dxa" w:w="1020"/>
            <w:shd w:fill="F1F5F9" w:val="clear"/>
          </w:tcPr>
          <w:p>
            <w:r>
              <w:rPr>
                <w:sz w:val="18"/>
              </w:rPr>
              <w:t>Complete</w:t>
            </w:r>
          </w:p>
        </w:tc>
      </w:tr>
      <w:tr>
        <w:tc>
          <w:tcPr>
            <w:tcW w:type="dxa" w:w="283"/>
          </w:tcPr>
          <w:p>
            <w:r>
              <w:rPr>
                <w:sz w:val="18"/>
              </w:rPr>
              <w:t>10</w:t>
            </w:r>
          </w:p>
        </w:tc>
        <w:tc>
          <w:tcPr>
            <w:tcW w:type="dxa" w:w="1134"/>
          </w:tcPr>
          <w:p>
            <w:r>
              <w:rPr>
                <w:sz w:val="18"/>
              </w:rPr>
              <w:t>Result</w:t>
            </w:r>
          </w:p>
        </w:tc>
        <w:tc>
          <w:tcPr>
            <w:tcW w:type="dxa" w:w="1814"/>
          </w:tcPr>
          <w:p>
            <w:r>
              <w:rPr>
                <w:sz w:val="18"/>
              </w:rPr>
              <w:t>{schema}.result</w:t>
            </w:r>
          </w:p>
        </w:tc>
        <w:tc>
          <w:tcPr>
            <w:tcW w:type="dxa" w:w="1587"/>
          </w:tcPr>
          <w:p>
            <w:r>
              <w:rPr>
                <w:sz w:val="18"/>
              </w:rPr>
              <w:t>AcademicService</w:t>
            </w:r>
          </w:p>
        </w:tc>
        <w:tc>
          <w:tcPr>
            <w:tcW w:type="dxa" w:w="1020"/>
          </w:tcPr>
          <w:p>
            <w:r>
              <w:rPr>
                <w:sz w:val="18"/>
              </w:rPr>
              <w:t>Complete</w:t>
            </w:r>
          </w:p>
        </w:tc>
      </w:tr>
      <w:tr>
        <w:tc>
          <w:tcPr>
            <w:tcW w:type="dxa" w:w="283"/>
            <w:shd w:fill="F1F5F9" w:val="clear"/>
          </w:tcPr>
          <w:p>
            <w:r>
              <w:rPr>
                <w:sz w:val="18"/>
              </w:rPr>
              <w:t>11</w:t>
            </w:r>
          </w:p>
        </w:tc>
        <w:tc>
          <w:tcPr>
            <w:tcW w:type="dxa" w:w="1134"/>
            <w:shd w:fill="F1F5F9" w:val="clear"/>
          </w:tcPr>
          <w:p>
            <w:r>
              <w:rPr>
                <w:sz w:val="18"/>
              </w:rPr>
              <w:t>Credential</w:t>
            </w:r>
          </w:p>
        </w:tc>
        <w:tc>
          <w:tcPr>
            <w:tcW w:type="dxa" w:w="1814"/>
            <w:shd w:fill="F1F5F9" w:val="clear"/>
          </w:tcPr>
          <w:p>
            <w:r>
              <w:rPr>
                <w:sz w:val="18"/>
              </w:rPr>
              <w:t>{schema}.credential</w:t>
            </w:r>
          </w:p>
        </w:tc>
        <w:tc>
          <w:tcPr>
            <w:tcW w:type="dxa" w:w="1587"/>
            <w:shd w:fill="F1F5F9" w:val="clear"/>
          </w:tcPr>
          <w:p>
            <w:r>
              <w:rPr>
                <w:sz w:val="18"/>
              </w:rPr>
              <w:t>CredentialService</w:t>
            </w:r>
          </w:p>
        </w:tc>
        <w:tc>
          <w:tcPr>
            <w:tcW w:type="dxa" w:w="1020"/>
            <w:shd w:fill="F1F5F9" w:val="clear"/>
          </w:tcPr>
          <w:p>
            <w:r>
              <w:rPr>
                <w:sz w:val="18"/>
              </w:rPr>
              <w:t>Complete</w:t>
            </w:r>
          </w:p>
        </w:tc>
      </w:tr>
      <w:tr>
        <w:tc>
          <w:tcPr>
            <w:tcW w:type="dxa" w:w="283"/>
          </w:tcPr>
          <w:p>
            <w:r>
              <w:rPr>
                <w:sz w:val="18"/>
              </w:rPr>
              <w:t>12</w:t>
            </w:r>
          </w:p>
        </w:tc>
        <w:tc>
          <w:tcPr>
            <w:tcW w:type="dxa" w:w="1134"/>
          </w:tcPr>
          <w:p>
            <w:r>
              <w:rPr>
                <w:sz w:val="18"/>
              </w:rPr>
              <w:t>Progression</w:t>
            </w:r>
          </w:p>
        </w:tc>
        <w:tc>
          <w:tcPr>
            <w:tcW w:type="dxa" w:w="1814"/>
          </w:tcPr>
          <w:p>
            <w:r>
              <w:rPr>
                <w:sz w:val="18"/>
              </w:rPr>
              <w:t>{schema}.progression_rule</w:t>
            </w:r>
          </w:p>
        </w:tc>
        <w:tc>
          <w:tcPr>
            <w:tcW w:type="dxa" w:w="1587"/>
          </w:tcPr>
          <w:p>
            <w:r>
              <w:rPr>
                <w:sz w:val="18"/>
              </w:rPr>
              <w:t>ProgressionRuleService</w:t>
            </w:r>
          </w:p>
        </w:tc>
        <w:tc>
          <w:tcPr>
            <w:tcW w:type="dxa" w:w="1020"/>
          </w:tcPr>
          <w:p>
            <w:r>
              <w:rPr>
                <w:sz w:val="18"/>
              </w:rPr>
              <w:t>Complete</w:t>
            </w:r>
          </w:p>
        </w:tc>
      </w:tr>
      <w:tr>
        <w:tc>
          <w:tcPr>
            <w:tcW w:type="dxa" w:w="283"/>
            <w:shd w:fill="F1F5F9" w:val="clear"/>
          </w:tcPr>
          <w:p>
            <w:r>
              <w:rPr>
                <w:sz w:val="18"/>
              </w:rPr>
              <w:t>13</w:t>
            </w:r>
          </w:p>
        </w:tc>
        <w:tc>
          <w:tcPr>
            <w:tcW w:type="dxa" w:w="1134"/>
            <w:shd w:fill="F1F5F9" w:val="clear"/>
          </w:tcPr>
          <w:p>
            <w:r>
              <w:rPr>
                <w:sz w:val="18"/>
              </w:rPr>
              <w:t>Resource</w:t>
            </w:r>
          </w:p>
        </w:tc>
        <w:tc>
          <w:tcPr>
            <w:tcW w:type="dxa" w:w="1814"/>
            <w:shd w:fill="F1F5F9" w:val="clear"/>
          </w:tcPr>
          <w:p>
            <w:r>
              <w:rPr>
                <w:sz w:val="18"/>
              </w:rPr>
              <w:t>{schema}.resource</w:t>
            </w:r>
          </w:p>
        </w:tc>
        <w:tc>
          <w:tcPr>
            <w:tcW w:type="dxa" w:w="1587"/>
            <w:shd w:fill="F1F5F9" w:val="clear"/>
          </w:tcPr>
          <w:p>
            <w:r>
              <w:rPr>
                <w:sz w:val="18"/>
              </w:rPr>
              <w:t>ResourceService</w:t>
            </w:r>
          </w:p>
        </w:tc>
        <w:tc>
          <w:tcPr>
            <w:tcW w:type="dxa" w:w="1020"/>
            <w:shd w:fill="F1F5F9" w:val="clear"/>
          </w:tcPr>
          <w:p>
            <w:r>
              <w:rPr>
                <w:sz w:val="18"/>
              </w:rPr>
              <w:t>Complete</w:t>
            </w:r>
          </w:p>
        </w:tc>
      </w:tr>
      <w:tr>
        <w:tc>
          <w:tcPr>
            <w:tcW w:type="dxa" w:w="283"/>
          </w:tcPr>
          <w:p>
            <w:r>
              <w:rPr>
                <w:sz w:val="18"/>
              </w:rPr>
              <w:t>14</w:t>
            </w:r>
          </w:p>
        </w:tc>
        <w:tc>
          <w:tcPr>
            <w:tcW w:type="dxa" w:w="1134"/>
          </w:tcPr>
          <w:p>
            <w:r>
              <w:rPr>
                <w:sz w:val="18"/>
              </w:rPr>
              <w:t>Financial</w:t>
            </w:r>
          </w:p>
        </w:tc>
        <w:tc>
          <w:tcPr>
            <w:tcW w:type="dxa" w:w="1814"/>
          </w:tcPr>
          <w:p>
            <w:r>
              <w:rPr>
                <w:sz w:val="18"/>
              </w:rPr>
              <w:t>{schema}.fee_invoice + payment</w:t>
            </w:r>
          </w:p>
        </w:tc>
        <w:tc>
          <w:tcPr>
            <w:tcW w:type="dxa" w:w="1587"/>
          </w:tcPr>
          <w:p>
            <w:r>
              <w:rPr>
                <w:sz w:val="18"/>
              </w:rPr>
              <w:t>FeeService</w:t>
            </w:r>
          </w:p>
        </w:tc>
        <w:tc>
          <w:tcPr>
            <w:tcW w:type="dxa" w:w="1020"/>
          </w:tcPr>
          <w:p>
            <w:r>
              <w:rPr>
                <w:sz w:val="18"/>
              </w:rPr>
              <w:t>Complete</w:t>
            </w:r>
          </w:p>
        </w:tc>
      </w:tr>
    </w:tbl>
    <w:p/>
    <w:p>
      <w:r>
        <w:t>All fourteen primitives are implemented. The system uses a microservices architecture with four services (Gateway:9000, Auth:9001, Tenant:9002, School:9003) connected to PostgreSQL with schema-per-tenant isolation.</w:t>
      </w:r>
    </w:p>
    <w:p>
      <w:r>
        <w:br w:type="page"/>
      </w:r>
    </w:p>
    <w:p>
      <w:pPr>
        <w:pStyle w:val="Heading1"/>
      </w:pPr>
      <w:r>
        <w:t>14. Conclusion</w:t>
      </w:r>
    </w:p>
    <w:p>
      <w:r>
        <w:t>Every learning institution can be described with fourteen universal concepts. The differences are in the labels and the rules, not in the underlying data structures. By modelling the abstraction and treating the label as configuration data, a single system can serve multiple institution types.</w:t>
      </w:r>
    </w:p>
    <w:p>
      <w:r>
        <w:t>Three primitives determine whether a system is genuinely configurable: Role must be a relationship, Enrollment must be an independent entity, and Schedule must support self-referential nesting. Getting these right distinguishes a platform from a single-school application.</w:t>
      </w:r>
    </w:p>
    <w:p>
      <w:r>
        <w:t>Scope discipline is essential. Scoping deliberately to K-12 private schools and vocational institutes is achievable, defensible, and honest.</w:t>
      </w:r>
    </w:p>
    <w:p>
      <w:r>
        <w:t>The SchoolHub implementation demonstrates all fourteen primitives in working code, with twelve of fifteen planned features complete and the remainder actively in development.</w:t>
      </w:r>
    </w:p>
    <w:p>
      <w:r>
        <w:br w:type="page"/>
      </w:r>
    </w:p>
    <w:p>
      <w:pPr>
        <w:pStyle w:val="Heading1"/>
      </w:pPr>
      <w:r>
        <w:t>Appendix A: MoSCoW Decision Matrix</w:t>
      </w:r>
    </w:p>
    <w:tbl>
      <w:tblPr>
        <w:tblStyle w:val="TableGrid"/>
        <w:tblW w:type="auto" w:w="0"/>
        <w:tblLook w:firstColumn="1" w:firstRow="1" w:lastColumn="0" w:lastRow="0" w:noHBand="0" w:noVBand="1" w:val="04A0"/>
      </w:tblPr>
      <w:tblGrid>
        <w:gridCol w:w="2880"/>
        <w:gridCol w:w="2880"/>
        <w:gridCol w:w="2880"/>
      </w:tblGrid>
      <w:tr>
        <w:tc>
          <w:tcPr>
            <w:tcW w:type="dxa" w:w="1134"/>
            <w:shd w:fill="0F172A" w:val="clear"/>
          </w:tcPr>
          <w:p>
            <w:pPr>
              <w:jc w:val="center"/>
            </w:pPr>
            <w:r>
              <w:rPr>
                <w:b/>
                <w:color w:val="FFFFFF"/>
                <w:sz w:val="18"/>
              </w:rPr>
              <w:t>Priority</w:t>
            </w:r>
          </w:p>
        </w:tc>
        <w:tc>
          <w:tcPr>
            <w:tcW w:type="dxa" w:w="4535"/>
            <w:shd w:fill="0F172A" w:val="clear"/>
          </w:tcPr>
          <w:p>
            <w:pPr>
              <w:jc w:val="center"/>
            </w:pPr>
            <w:r>
              <w:rPr>
                <w:b/>
                <w:color w:val="FFFFFF"/>
                <w:sz w:val="18"/>
              </w:rPr>
              <w:t>Feature</w:t>
            </w:r>
          </w:p>
        </w:tc>
        <w:tc>
          <w:tcPr>
            <w:tcW w:type="dxa" w:w="1701"/>
            <w:shd w:fill="0F172A" w:val="clear"/>
          </w:tcPr>
          <w:p>
            <w:pPr>
              <w:jc w:val="center"/>
            </w:pPr>
            <w:r>
              <w:rPr>
                <w:b/>
                <w:color w:val="FFFFFF"/>
                <w:sz w:val="18"/>
              </w:rPr>
              <w:t>Status</w:t>
            </w:r>
          </w:p>
        </w:tc>
      </w:tr>
      <w:tr>
        <w:tc>
          <w:tcPr>
            <w:tcW w:type="dxa" w:w="1134"/>
            <w:shd w:fill="F1F5F9" w:val="clear"/>
          </w:tcPr>
          <w:p>
            <w:r>
              <w:rPr>
                <w:sz w:val="18"/>
              </w:rPr>
              <w:t>Must</w:t>
            </w:r>
          </w:p>
        </w:tc>
        <w:tc>
          <w:tcPr>
            <w:tcW w:type="dxa" w:w="4535"/>
            <w:shd w:fill="F1F5F9" w:val="clear"/>
          </w:tcPr>
          <w:p>
            <w:r>
              <w:rPr>
                <w:sz w:val="18"/>
              </w:rPr>
              <w:t>Authentication and authorisation</w:t>
            </w:r>
          </w:p>
        </w:tc>
        <w:tc>
          <w:tcPr>
            <w:tcW w:type="dxa" w:w="1701"/>
            <w:shd w:fill="F1F5F9" w:val="clear"/>
          </w:tcPr>
          <w:p>
            <w:r>
              <w:rPr>
                <w:sz w:val="18"/>
              </w:rPr>
              <w:t>Complete</w:t>
            </w:r>
          </w:p>
        </w:tc>
      </w:tr>
      <w:tr>
        <w:tc>
          <w:tcPr>
            <w:tcW w:type="dxa" w:w="1134"/>
          </w:tcPr>
          <w:p>
            <w:r>
              <w:rPr>
                <w:sz w:val="18"/>
              </w:rPr>
              <w:t>Must</w:t>
            </w:r>
          </w:p>
        </w:tc>
        <w:tc>
          <w:tcPr>
            <w:tcW w:type="dxa" w:w="4535"/>
          </w:tcPr>
          <w:p>
            <w:r>
              <w:rPr>
                <w:sz w:val="18"/>
              </w:rPr>
              <w:t>Multi-tenant schema isolation</w:t>
            </w:r>
          </w:p>
        </w:tc>
        <w:tc>
          <w:tcPr>
            <w:tcW w:type="dxa" w:w="1701"/>
          </w:tcPr>
          <w:p>
            <w:r>
              <w:rPr>
                <w:sz w:val="18"/>
              </w:rPr>
              <w:t>Complete</w:t>
            </w:r>
          </w:p>
        </w:tc>
      </w:tr>
      <w:tr>
        <w:tc>
          <w:tcPr>
            <w:tcW w:type="dxa" w:w="1134"/>
            <w:shd w:fill="F1F5F9" w:val="clear"/>
          </w:tcPr>
          <w:p>
            <w:r>
              <w:rPr>
                <w:sz w:val="18"/>
              </w:rPr>
              <w:t>Must</w:t>
            </w:r>
          </w:p>
        </w:tc>
        <w:tc>
          <w:tcPr>
            <w:tcW w:type="dxa" w:w="4535"/>
            <w:shd w:fill="F1F5F9" w:val="clear"/>
          </w:tcPr>
          <w:p>
            <w:r>
              <w:rPr>
                <w:sz w:val="18"/>
              </w:rPr>
              <w:t>Student, teacher, and class management</w:t>
            </w:r>
          </w:p>
        </w:tc>
        <w:tc>
          <w:tcPr>
            <w:tcW w:type="dxa" w:w="1701"/>
            <w:shd w:fill="F1F5F9" w:val="clear"/>
          </w:tcPr>
          <w:p>
            <w:r>
              <w:rPr>
                <w:sz w:val="18"/>
              </w:rPr>
              <w:t>Complete</w:t>
            </w:r>
          </w:p>
        </w:tc>
      </w:tr>
      <w:tr>
        <w:tc>
          <w:tcPr>
            <w:tcW w:type="dxa" w:w="1134"/>
          </w:tcPr>
          <w:p>
            <w:r>
              <w:rPr>
                <w:sz w:val="18"/>
              </w:rPr>
              <w:t>Must</w:t>
            </w:r>
          </w:p>
        </w:tc>
        <w:tc>
          <w:tcPr>
            <w:tcW w:type="dxa" w:w="4535"/>
          </w:tcPr>
          <w:p>
            <w:r>
              <w:rPr>
                <w:sz w:val="18"/>
              </w:rPr>
              <w:t>Attendance recording and result entry</w:t>
            </w:r>
          </w:p>
        </w:tc>
        <w:tc>
          <w:tcPr>
            <w:tcW w:type="dxa" w:w="1701"/>
          </w:tcPr>
          <w:p>
            <w:r>
              <w:rPr>
                <w:sz w:val="18"/>
              </w:rPr>
              <w:t>Complete</w:t>
            </w:r>
          </w:p>
        </w:tc>
      </w:tr>
      <w:tr>
        <w:tc>
          <w:tcPr>
            <w:tcW w:type="dxa" w:w="1134"/>
            <w:shd w:fill="F1F5F9" w:val="clear"/>
          </w:tcPr>
          <w:p>
            <w:r>
              <w:rPr>
                <w:sz w:val="18"/>
              </w:rPr>
              <w:t>Must</w:t>
            </w:r>
          </w:p>
        </w:tc>
        <w:tc>
          <w:tcPr>
            <w:tcW w:type="dxa" w:w="4535"/>
            <w:shd w:fill="F1F5F9" w:val="clear"/>
          </w:tcPr>
          <w:p>
            <w:r>
              <w:rPr>
                <w:sz w:val="18"/>
              </w:rPr>
              <w:t>Fee invoicing and payment processing</w:t>
            </w:r>
          </w:p>
        </w:tc>
        <w:tc>
          <w:tcPr>
            <w:tcW w:type="dxa" w:w="1701"/>
            <w:shd w:fill="F1F5F9" w:val="clear"/>
          </w:tcPr>
          <w:p>
            <w:r>
              <w:rPr>
                <w:sz w:val="18"/>
              </w:rPr>
              <w:t>Complete</w:t>
            </w:r>
          </w:p>
        </w:tc>
      </w:tr>
      <w:tr>
        <w:tc>
          <w:tcPr>
            <w:tcW w:type="dxa" w:w="1134"/>
          </w:tcPr>
          <w:p>
            <w:r>
              <w:rPr>
                <w:sz w:val="18"/>
              </w:rPr>
              <w:t>Must</w:t>
            </w:r>
          </w:p>
        </w:tc>
        <w:tc>
          <w:tcPr>
            <w:tcW w:type="dxa" w:w="4535"/>
          </w:tcPr>
          <w:p>
            <w:r>
              <w:rPr>
                <w:sz w:val="18"/>
              </w:rPr>
              <w:t>Calendar and event management</w:t>
            </w:r>
          </w:p>
        </w:tc>
        <w:tc>
          <w:tcPr>
            <w:tcW w:type="dxa" w:w="1701"/>
          </w:tcPr>
          <w:p>
            <w:r>
              <w:rPr>
                <w:sz w:val="18"/>
              </w:rPr>
              <w:t>Complete</w:t>
            </w:r>
          </w:p>
        </w:tc>
      </w:tr>
      <w:tr>
        <w:tc>
          <w:tcPr>
            <w:tcW w:type="dxa" w:w="1134"/>
            <w:shd w:fill="F1F5F9" w:val="clear"/>
          </w:tcPr>
          <w:p>
            <w:r>
              <w:rPr>
                <w:sz w:val="18"/>
              </w:rPr>
              <w:t>Should</w:t>
            </w:r>
          </w:p>
        </w:tc>
        <w:tc>
          <w:tcPr>
            <w:tcW w:type="dxa" w:w="4535"/>
            <w:shd w:fill="F1F5F9" w:val="clear"/>
          </w:tcPr>
          <w:p>
            <w:r>
              <w:rPr>
                <w:sz w:val="18"/>
              </w:rPr>
              <w:t>Cohort, offering, and enrollment model</w:t>
            </w:r>
          </w:p>
        </w:tc>
        <w:tc>
          <w:tcPr>
            <w:tcW w:type="dxa" w:w="1701"/>
            <w:shd w:fill="F1F5F9" w:val="clear"/>
          </w:tcPr>
          <w:p>
            <w:r>
              <w:rPr>
                <w:sz w:val="18"/>
              </w:rPr>
              <w:t>Complete</w:t>
            </w:r>
          </w:p>
        </w:tc>
      </w:tr>
      <w:tr>
        <w:tc>
          <w:tcPr>
            <w:tcW w:type="dxa" w:w="1134"/>
          </w:tcPr>
          <w:p>
            <w:r>
              <w:rPr>
                <w:sz w:val="18"/>
              </w:rPr>
              <w:t>Should</w:t>
            </w:r>
          </w:p>
        </w:tc>
        <w:tc>
          <w:tcPr>
            <w:tcW w:type="dxa" w:w="4535"/>
          </w:tcPr>
          <w:p>
            <w:r>
              <w:rPr>
                <w:sz w:val="18"/>
              </w:rPr>
              <w:t>Library management system</w:t>
            </w:r>
          </w:p>
        </w:tc>
        <w:tc>
          <w:tcPr>
            <w:tcW w:type="dxa" w:w="1701"/>
          </w:tcPr>
          <w:p>
            <w:r>
              <w:rPr>
                <w:sz w:val="18"/>
              </w:rPr>
              <w:t>Complete</w:t>
            </w:r>
          </w:p>
        </w:tc>
      </w:tr>
      <w:tr>
        <w:tc>
          <w:tcPr>
            <w:tcW w:type="dxa" w:w="1134"/>
            <w:shd w:fill="F1F5F9" w:val="clear"/>
          </w:tcPr>
          <w:p>
            <w:r>
              <w:rPr>
                <w:sz w:val="18"/>
              </w:rPr>
              <w:t>Should</w:t>
            </w:r>
          </w:p>
        </w:tc>
        <w:tc>
          <w:tcPr>
            <w:tcW w:type="dxa" w:w="4535"/>
            <w:shd w:fill="F1F5F9" w:val="clear"/>
          </w:tcPr>
          <w:p>
            <w:r>
              <w:rPr>
                <w:sz w:val="18"/>
              </w:rPr>
              <w:t>Notifications system</w:t>
            </w:r>
          </w:p>
        </w:tc>
        <w:tc>
          <w:tcPr>
            <w:tcW w:type="dxa" w:w="1701"/>
            <w:shd w:fill="F1F5F9" w:val="clear"/>
          </w:tcPr>
          <w:p>
            <w:r>
              <w:rPr>
                <w:sz w:val="18"/>
              </w:rPr>
              <w:t>Complete</w:t>
            </w:r>
          </w:p>
        </w:tc>
      </w:tr>
      <w:tr>
        <w:tc>
          <w:tcPr>
            <w:tcW w:type="dxa" w:w="1134"/>
          </w:tcPr>
          <w:p>
            <w:r>
              <w:rPr>
                <w:sz w:val="18"/>
              </w:rPr>
              <w:t>Should</w:t>
            </w:r>
          </w:p>
        </w:tc>
        <w:tc>
          <w:tcPr>
            <w:tcW w:type="dxa" w:w="4535"/>
          </w:tcPr>
          <w:p>
            <w:r>
              <w:rPr>
                <w:sz w:val="18"/>
              </w:rPr>
              <w:t>Workflow system (propose, confirm, protest)</w:t>
            </w:r>
          </w:p>
        </w:tc>
        <w:tc>
          <w:tcPr>
            <w:tcW w:type="dxa" w:w="1701"/>
          </w:tcPr>
          <w:p>
            <w:r>
              <w:rPr>
                <w:sz w:val="18"/>
              </w:rPr>
              <w:t>Complete</w:t>
            </w:r>
          </w:p>
        </w:tc>
      </w:tr>
      <w:tr>
        <w:tc>
          <w:tcPr>
            <w:tcW w:type="dxa" w:w="1134"/>
            <w:shd w:fill="F1F5F9" w:val="clear"/>
          </w:tcPr>
          <w:p>
            <w:r>
              <w:rPr>
                <w:sz w:val="18"/>
              </w:rPr>
              <w:t>Should</w:t>
            </w:r>
          </w:p>
        </w:tc>
        <w:tc>
          <w:tcPr>
            <w:tcW w:type="dxa" w:w="4535"/>
            <w:shd w:fill="F1F5F9" w:val="clear"/>
          </w:tcPr>
          <w:p>
            <w:r>
              <w:rPr>
                <w:sz w:val="18"/>
              </w:rPr>
              <w:t>Credentials and progression rules</w:t>
            </w:r>
          </w:p>
        </w:tc>
        <w:tc>
          <w:tcPr>
            <w:tcW w:type="dxa" w:w="1701"/>
            <w:shd w:fill="F1F5F9" w:val="clear"/>
          </w:tcPr>
          <w:p>
            <w:r>
              <w:rPr>
                <w:sz w:val="18"/>
              </w:rPr>
              <w:t>Complete</w:t>
            </w:r>
          </w:p>
        </w:tc>
      </w:tr>
      <w:tr>
        <w:tc>
          <w:tcPr>
            <w:tcW w:type="dxa" w:w="1134"/>
          </w:tcPr>
          <w:p>
            <w:r>
              <w:rPr>
                <w:sz w:val="18"/>
              </w:rPr>
              <w:t>Should</w:t>
            </w:r>
          </w:p>
        </w:tc>
        <w:tc>
          <w:tcPr>
            <w:tcW w:type="dxa" w:w="4535"/>
          </w:tcPr>
          <w:p>
            <w:r>
              <w:rPr>
                <w:sz w:val="18"/>
              </w:rPr>
              <w:t>Resource and room booking</w:t>
            </w:r>
          </w:p>
        </w:tc>
        <w:tc>
          <w:tcPr>
            <w:tcW w:type="dxa" w:w="1701"/>
          </w:tcPr>
          <w:p>
            <w:r>
              <w:rPr>
                <w:sz w:val="18"/>
              </w:rPr>
              <w:t>Complete</w:t>
            </w:r>
          </w:p>
        </w:tc>
      </w:tr>
      <w:tr>
        <w:tc>
          <w:tcPr>
            <w:tcW w:type="dxa" w:w="1134"/>
            <w:shd w:fill="F1F5F9" w:val="clear"/>
          </w:tcPr>
          <w:p>
            <w:r>
              <w:rPr>
                <w:sz w:val="18"/>
              </w:rPr>
              <w:t>Could</w:t>
            </w:r>
          </w:p>
        </w:tc>
        <w:tc>
          <w:tcPr>
            <w:tcW w:type="dxa" w:w="4535"/>
            <w:shd w:fill="F1F5F9" w:val="clear"/>
          </w:tcPr>
          <w:p>
            <w:r>
              <w:rPr>
                <w:sz w:val="18"/>
              </w:rPr>
              <w:t>Stripe payment integration</w:t>
            </w:r>
          </w:p>
        </w:tc>
        <w:tc>
          <w:tcPr>
            <w:tcW w:type="dxa" w:w="1701"/>
            <w:shd w:fill="F1F5F9" w:val="clear"/>
          </w:tcPr>
          <w:p>
            <w:r>
              <w:rPr>
                <w:sz w:val="18"/>
              </w:rPr>
              <w:t>In progress</w:t>
            </w:r>
          </w:p>
        </w:tc>
      </w:tr>
      <w:tr>
        <w:tc>
          <w:tcPr>
            <w:tcW w:type="dxa" w:w="1134"/>
          </w:tcPr>
          <w:p>
            <w:r>
              <w:rPr>
                <w:sz w:val="18"/>
              </w:rPr>
              <w:t>Could</w:t>
            </w:r>
          </w:p>
        </w:tc>
        <w:tc>
          <w:tcPr>
            <w:tcW w:type="dxa" w:w="4535"/>
          </w:tcPr>
          <w:p>
            <w:r>
              <w:rPr>
                <w:sz w:val="18"/>
              </w:rPr>
              <w:t>Template-specific school seeding</w:t>
            </w:r>
          </w:p>
        </w:tc>
        <w:tc>
          <w:tcPr>
            <w:tcW w:type="dxa" w:w="1701"/>
          </w:tcPr>
          <w:p>
            <w:r>
              <w:rPr>
                <w:sz w:val="18"/>
              </w:rPr>
              <w:t>Deferred</w:t>
            </w:r>
          </w:p>
        </w:tc>
      </w:tr>
      <w:tr>
        <w:tc>
          <w:tcPr>
            <w:tcW w:type="dxa" w:w="1134"/>
            <w:shd w:fill="F1F5F9" w:val="clear"/>
          </w:tcPr>
          <w:p>
            <w:r>
              <w:rPr>
                <w:sz w:val="18"/>
              </w:rPr>
              <w:t>Could</w:t>
            </w:r>
          </w:p>
        </w:tc>
        <w:tc>
          <w:tcPr>
            <w:tcW w:type="dxa" w:w="4535"/>
            <w:shd w:fill="F1F5F9" w:val="clear"/>
          </w:tcPr>
          <w:p>
            <w:r>
              <w:rPr>
                <w:sz w:val="18"/>
              </w:rPr>
              <w:t>Subscription plan student cap enforcement</w:t>
            </w:r>
          </w:p>
        </w:tc>
        <w:tc>
          <w:tcPr>
            <w:tcW w:type="dxa" w:w="1701"/>
            <w:shd w:fill="F1F5F9" w:val="clear"/>
          </w:tcPr>
          <w:p>
            <w:r>
              <w:rPr>
                <w:sz w:val="18"/>
              </w:rPr>
              <w:t>Deferred</w:t>
            </w:r>
          </w:p>
        </w:tc>
      </w:tr>
      <w:tr>
        <w:tc>
          <w:tcPr>
            <w:tcW w:type="dxa" w:w="1134"/>
          </w:tcPr>
          <w:p>
            <w:r>
              <w:rPr>
                <w:sz w:val="18"/>
              </w:rPr>
              <w:t>Could</w:t>
            </w:r>
          </w:p>
        </w:tc>
        <w:tc>
          <w:tcPr>
            <w:tcW w:type="dxa" w:w="4535"/>
          </w:tcPr>
          <w:p>
            <w:r>
              <w:rPr>
                <w:sz w:val="18"/>
              </w:rPr>
              <w:t>Self-service password recovery</w:t>
            </w:r>
          </w:p>
        </w:tc>
        <w:tc>
          <w:tcPr>
            <w:tcW w:type="dxa" w:w="1701"/>
          </w:tcPr>
          <w:p>
            <w:r>
              <w:rPr>
                <w:sz w:val="18"/>
              </w:rPr>
              <w:t>Deferred</w:t>
            </w:r>
          </w:p>
        </w:tc>
      </w:tr>
      <w:tr>
        <w:tc>
          <w:tcPr>
            <w:tcW w:type="dxa" w:w="1134"/>
            <w:shd w:fill="F1F5F9" w:val="clear"/>
          </w:tcPr>
          <w:p>
            <w:r>
              <w:rPr>
                <w:sz w:val="18"/>
              </w:rPr>
              <w:t>Could</w:t>
            </w:r>
          </w:p>
        </w:tc>
        <w:tc>
          <w:tcPr>
            <w:tcW w:type="dxa" w:w="4535"/>
            <w:shd w:fill="F1F5F9" w:val="clear"/>
          </w:tcPr>
          <w:p>
            <w:r>
              <w:rPr>
                <w:sz w:val="18"/>
              </w:rPr>
              <w:t>School hard-delete with schema removal</w:t>
            </w:r>
          </w:p>
        </w:tc>
        <w:tc>
          <w:tcPr>
            <w:tcW w:type="dxa" w:w="1701"/>
            <w:shd w:fill="F1F5F9" w:val="clear"/>
          </w:tcPr>
          <w:p>
            <w:r>
              <w:rPr>
                <w:sz w:val="18"/>
              </w:rPr>
              <w:t>Deferred</w:t>
            </w:r>
          </w:p>
        </w:tc>
      </w:tr>
      <w:tr>
        <w:tc>
          <w:tcPr>
            <w:tcW w:type="dxa" w:w="1134"/>
          </w:tcPr>
          <w:p>
            <w:r>
              <w:rPr>
                <w:sz w:val="18"/>
              </w:rPr>
              <w:t>Will not</w:t>
            </w:r>
          </w:p>
        </w:tc>
        <w:tc>
          <w:tcPr>
            <w:tcW w:type="dxa" w:w="4535"/>
          </w:tcPr>
          <w:p>
            <w:r>
              <w:rPr>
                <w:sz w:val="18"/>
              </w:rPr>
              <w:t>University semester model</w:t>
            </w:r>
          </w:p>
        </w:tc>
        <w:tc>
          <w:tcPr>
            <w:tcW w:type="dxa" w:w="1701"/>
          </w:tcPr>
          <w:p>
            <w:r>
              <w:rPr>
                <w:sz w:val="18"/>
              </w:rPr>
              <w:t>Out of scope</w:t>
            </w:r>
          </w:p>
        </w:tc>
      </w:tr>
      <w:tr>
        <w:tc>
          <w:tcPr>
            <w:tcW w:type="dxa" w:w="1134"/>
            <w:shd w:fill="F1F5F9" w:val="clear"/>
          </w:tcPr>
          <w:p>
            <w:r>
              <w:rPr>
                <w:sz w:val="18"/>
              </w:rPr>
              <w:t>Will not</w:t>
            </w:r>
          </w:p>
        </w:tc>
        <w:tc>
          <w:tcPr>
            <w:tcW w:type="dxa" w:w="4535"/>
            <w:shd w:fill="F1F5F9" w:val="clear"/>
          </w:tcPr>
          <w:p>
            <w:r>
              <w:rPr>
                <w:sz w:val="18"/>
              </w:rPr>
              <w:t>Rolling bootcamp intake model</w:t>
            </w:r>
          </w:p>
        </w:tc>
        <w:tc>
          <w:tcPr>
            <w:tcW w:type="dxa" w:w="1701"/>
            <w:shd w:fill="F1F5F9" w:val="clear"/>
          </w:tcPr>
          <w:p>
            <w:r>
              <w:rPr>
                <w:sz w:val="18"/>
              </w:rPr>
              <w:t>Out of scope</w:t>
            </w:r>
          </w:p>
        </w:tc>
      </w:tr>
      <w:tr>
        <w:tc>
          <w:tcPr>
            <w:tcW w:type="dxa" w:w="1134"/>
          </w:tcPr>
          <w:p>
            <w:r>
              <w:rPr>
                <w:sz w:val="18"/>
              </w:rPr>
              <w:t>Will not</w:t>
            </w:r>
          </w:p>
        </w:tc>
        <w:tc>
          <w:tcPr>
            <w:tcW w:type="dxa" w:w="4535"/>
          </w:tcPr>
          <w:p>
            <w:r>
              <w:rPr>
                <w:sz w:val="18"/>
              </w:rPr>
              <w:t>Corporate LMS competency tracking</w:t>
            </w:r>
          </w:p>
        </w:tc>
        <w:tc>
          <w:tcPr>
            <w:tcW w:type="dxa" w:w="1701"/>
          </w:tcPr>
          <w:p>
            <w:r>
              <w:rPr>
                <w:sz w:val="18"/>
              </w:rPr>
              <w:t>Out of scope</w:t>
            </w:r>
          </w:p>
        </w:tc>
      </w:tr>
    </w:tbl>
    <w:p/>
    <w:p>
      <w:r>
        <w:t>All Must and Should items are implemented and verified. Could items are deferred to future cycles. Will Not items define the scope boundary.</w:t>
      </w:r>
    </w:p>
    <w:p>
      <w:r>
        <w:br w:type="page"/>
      </w:r>
    </w:p>
    <w:p>
      <w:pPr>
        <w:pStyle w:val="Heading1"/>
      </w:pPr>
      <w:r>
        <w:t>Appendix B: Database Schema Reference</w:t>
      </w:r>
    </w:p>
    <w:p>
      <w:r>
        <w:t>Schema-per-tenant isolation: the platform schema contains shared registry and authentication tables. Each school receives its own PostgreSQL schema created at signup.</w:t>
      </w:r>
    </w:p>
    <w:p>
      <w:pPr>
        <w:pStyle w:val="Heading2"/>
      </w:pPr>
      <w:r>
        <w:t>Platform Schema</w:t>
      </w:r>
    </w:p>
    <w:p>
      <w:pPr>
        <w:pStyle w:val="ListBullet"/>
      </w:pPr>
      <w:r>
        <w:t>platform.role — Nine system roles</w:t>
      </w:r>
    </w:p>
    <w:p>
      <w:pPr>
        <w:pStyle w:val="ListBullet"/>
      </w:pPr>
      <w:r>
        <w:t>platform.subscription_plan — Pricing tiers</w:t>
      </w:r>
    </w:p>
    <w:p>
      <w:pPr>
        <w:pStyle w:val="ListBullet"/>
      </w:pPr>
      <w:r>
        <w:t>platform.tenant — School registry</w:t>
      </w:r>
    </w:p>
    <w:p>
      <w:pPr>
        <w:pStyle w:val="ListBullet"/>
      </w:pPr>
      <w:r>
        <w:t>platform.app_user — Single user table</w:t>
      </w:r>
    </w:p>
    <w:p>
      <w:pPr>
        <w:pStyle w:val="ListBullet"/>
      </w:pPr>
      <w:r>
        <w:t>platform.role_assignment — User-to-role mappings</w:t>
      </w:r>
    </w:p>
    <w:p>
      <w:pPr>
        <w:pStyle w:val="ListBullet"/>
      </w:pPr>
      <w:r>
        <w:t>platform.token_blacklist — Logout enforcement</w:t>
      </w:r>
    </w:p>
    <w:p>
      <w:pPr>
        <w:pStyle w:val="ListBullet"/>
      </w:pPr>
      <w:r>
        <w:t>platform.audit_log — Cross-service audit trail</w:t>
      </w:r>
    </w:p>
    <w:p>
      <w:pPr>
        <w:pStyle w:val="ListBullet"/>
      </w:pPr>
      <w:r>
        <w:t>platform.notification — User inbox</w:t>
      </w:r>
    </w:p>
    <w:p>
      <w:pPr>
        <w:pStyle w:val="ListBullet"/>
      </w:pPr>
      <w:r>
        <w:t>platform.workflow_request / workflow_protest — Governance</w:t>
      </w:r>
    </w:p>
    <w:p>
      <w:pPr>
        <w:pStyle w:val="ListBullet"/>
      </w:pPr>
      <w:r>
        <w:t>platform.invite / invite_redemption — Invitations</w:t>
      </w:r>
    </w:p>
    <w:p>
      <w:pPr>
        <w:pStyle w:val="Heading2"/>
      </w:pPr>
      <w:r>
        <w:t>Tenant Schema (per-school)</w:t>
      </w:r>
    </w:p>
    <w:p>
      <w:pPr>
        <w:pStyle w:val="ListBullet"/>
      </w:pPr>
      <w:r>
        <w:t>teacher, subject, school_class, class_subject, student, guardian, student_guardian</w:t>
      </w:r>
    </w:p>
    <w:p>
      <w:pPr>
        <w:pStyle w:val="ListBullet"/>
      </w:pPr>
      <w:r>
        <w:t>assessment, result</w:t>
      </w:r>
    </w:p>
    <w:p>
      <w:pPr>
        <w:pStyle w:val="ListBullet"/>
      </w:pPr>
      <w:r>
        <w:t>attendance (daily), session_attendance (per-session)</w:t>
      </w:r>
    </w:p>
    <w:p>
      <w:pPr>
        <w:pStyle w:val="ListBullet"/>
      </w:pPr>
      <w:r>
        <w:t>calendar_event</w:t>
      </w:r>
    </w:p>
    <w:p>
      <w:pPr>
        <w:pStyle w:val="ListBullet"/>
      </w:pPr>
      <w:r>
        <w:t>fee_invoice, fee_payment, fee_waiver, scholarship_rule, financial_settings, fee_category</w:t>
      </w:r>
    </w:p>
    <w:p>
      <w:pPr>
        <w:pStyle w:val="ListBullet"/>
      </w:pPr>
      <w:r>
        <w:t>cohort, group, cohort_offering, enrollment</w:t>
      </w:r>
    </w:p>
    <w:p>
      <w:pPr>
        <w:pStyle w:val="ListBullet"/>
      </w:pPr>
      <w:r>
        <w:t>org_unit, offering, offering_org_unit, offering_prerequisite</w:t>
      </w:r>
    </w:p>
    <w:p>
      <w:pPr>
        <w:pStyle w:val="ListBullet"/>
      </w:pPr>
      <w:r>
        <w:t>schedule_period, session, resource, resource_permit</w:t>
      </w:r>
    </w:p>
    <w:p>
      <w:pPr>
        <w:pStyle w:val="ListBullet"/>
      </w:pPr>
      <w:r>
        <w:t>progression_rule, progression_result, credential</w:t>
      </w:r>
    </w:p>
    <w:p>
      <w:pPr>
        <w:pStyle w:val="ListBullet"/>
      </w:pPr>
      <w:r>
        <w:t>library_staff, library_student, book, borrow_request, borrow_record, book_flag, library_fine_rule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