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4035A" w14:textId="425C0545" w:rsidR="003D6DAD" w:rsidRPr="003D6DAD" w:rsidRDefault="003D6DAD" w:rsidP="003D6DAD">
      <w:pPr>
        <w:jc w:val="center"/>
        <w:rPr>
          <w:rFonts w:ascii="Calibri" w:hAnsi="Calibri" w:cs="Calibri"/>
          <w:b/>
          <w:bCs/>
          <w:sz w:val="28"/>
          <w:szCs w:val="28"/>
        </w:rPr>
      </w:pPr>
      <w:r w:rsidRPr="003D6DAD">
        <w:rPr>
          <w:rFonts w:ascii="Calibri" w:hAnsi="Calibri" w:cs="Calibri"/>
          <w:b/>
          <w:bCs/>
          <w:sz w:val="28"/>
          <w:szCs w:val="28"/>
        </w:rPr>
        <w:t>Supplementary Material</w:t>
      </w:r>
    </w:p>
    <w:p w14:paraId="094BD3B8" w14:textId="361F5747" w:rsidR="003D6DAD" w:rsidRPr="003D6DAD" w:rsidRDefault="003D6DAD" w:rsidP="003D6DAD">
      <w:pPr>
        <w:spacing w:line="480" w:lineRule="auto"/>
        <w:jc w:val="center"/>
        <w:rPr>
          <w:rFonts w:ascii="Calibri" w:hAnsi="Calibri" w:cs="Calibri"/>
          <w:b/>
          <w:sz w:val="28"/>
          <w:szCs w:val="28"/>
        </w:rPr>
      </w:pPr>
      <w:r w:rsidRPr="003D6DAD">
        <w:rPr>
          <w:rFonts w:ascii="Calibri" w:hAnsi="Calibri" w:cs="Calibri"/>
          <w:b/>
          <w:sz w:val="28"/>
          <w:szCs w:val="28"/>
        </w:rPr>
        <w:t>COSMIC-dFBA: A novel multi-scale hybrid framework for bioprocess modeling</w:t>
      </w:r>
    </w:p>
    <w:p w14:paraId="3D05E9A6" w14:textId="77777777" w:rsidR="003D6DAD" w:rsidRPr="003D6DAD" w:rsidRDefault="003D6DAD" w:rsidP="003D6DAD">
      <w:pPr>
        <w:jc w:val="center"/>
        <w:rPr>
          <w:rFonts w:ascii="Calibri" w:eastAsia="Times New Roman" w:hAnsi="Calibri" w:cs="Calibri"/>
          <w:bCs/>
          <w:sz w:val="24"/>
          <w:szCs w:val="24"/>
        </w:rPr>
      </w:pPr>
      <w:r w:rsidRPr="003D6DAD">
        <w:rPr>
          <w:rFonts w:ascii="Calibri" w:eastAsia="Times New Roman" w:hAnsi="Calibri" w:cs="Calibri"/>
          <w:bCs/>
          <w:sz w:val="24"/>
          <w:szCs w:val="24"/>
        </w:rPr>
        <w:t>Saratram Gopalakrishnan</w:t>
      </w:r>
      <w:r w:rsidRPr="003D6DAD">
        <w:rPr>
          <w:rFonts w:ascii="Calibri" w:eastAsia="Times New Roman" w:hAnsi="Calibri" w:cs="Calibri"/>
          <w:bCs/>
          <w:sz w:val="24"/>
          <w:szCs w:val="24"/>
          <w:vertAlign w:val="superscript"/>
        </w:rPr>
        <w:t>1</w:t>
      </w:r>
      <w:r w:rsidRPr="003D6DAD">
        <w:rPr>
          <w:rFonts w:ascii="Calibri" w:eastAsia="Times New Roman" w:hAnsi="Calibri" w:cs="Calibri"/>
          <w:bCs/>
          <w:sz w:val="24"/>
          <w:szCs w:val="24"/>
        </w:rPr>
        <w:t>, William Johnson</w:t>
      </w:r>
      <w:r w:rsidRPr="003D6DAD">
        <w:rPr>
          <w:rFonts w:ascii="Calibri" w:eastAsia="Times New Roman" w:hAnsi="Calibri" w:cs="Calibri"/>
          <w:bCs/>
          <w:sz w:val="24"/>
          <w:szCs w:val="24"/>
          <w:vertAlign w:val="superscript"/>
        </w:rPr>
        <w:t>2</w:t>
      </w:r>
      <w:r w:rsidRPr="003D6DAD">
        <w:rPr>
          <w:rFonts w:ascii="Calibri" w:eastAsia="Times New Roman" w:hAnsi="Calibri" w:cs="Calibri"/>
          <w:bCs/>
          <w:sz w:val="24"/>
          <w:szCs w:val="24"/>
        </w:rPr>
        <w:t>, Miguel A. Valderrama-Gomez</w:t>
      </w:r>
      <w:r w:rsidRPr="003D6DAD">
        <w:rPr>
          <w:rFonts w:ascii="Calibri" w:eastAsia="Times New Roman" w:hAnsi="Calibri" w:cs="Calibri"/>
          <w:bCs/>
          <w:sz w:val="24"/>
          <w:szCs w:val="24"/>
          <w:vertAlign w:val="superscript"/>
        </w:rPr>
        <w:t>2</w:t>
      </w:r>
      <w:r w:rsidRPr="003D6DAD">
        <w:rPr>
          <w:rFonts w:ascii="Calibri" w:eastAsia="Times New Roman" w:hAnsi="Calibri" w:cs="Calibri"/>
          <w:bCs/>
          <w:sz w:val="24"/>
          <w:szCs w:val="24"/>
        </w:rPr>
        <w:t>, Elcin Icten</w:t>
      </w:r>
      <w:r w:rsidRPr="003D6DAD">
        <w:rPr>
          <w:rFonts w:ascii="Calibri" w:eastAsia="Times New Roman" w:hAnsi="Calibri" w:cs="Calibri"/>
          <w:bCs/>
          <w:sz w:val="24"/>
          <w:szCs w:val="24"/>
          <w:vertAlign w:val="superscript"/>
        </w:rPr>
        <w:t>2</w:t>
      </w:r>
      <w:r w:rsidRPr="003D6DAD">
        <w:rPr>
          <w:rFonts w:ascii="Calibri" w:eastAsia="Times New Roman" w:hAnsi="Calibri" w:cs="Calibri"/>
          <w:bCs/>
          <w:sz w:val="24"/>
          <w:szCs w:val="24"/>
        </w:rPr>
        <w:t>, Jasmine Tat</w:t>
      </w:r>
      <w:r w:rsidRPr="003D6DAD">
        <w:rPr>
          <w:rFonts w:ascii="Calibri" w:eastAsia="Times New Roman" w:hAnsi="Calibri" w:cs="Calibri"/>
          <w:bCs/>
          <w:sz w:val="24"/>
          <w:szCs w:val="24"/>
          <w:vertAlign w:val="superscript"/>
        </w:rPr>
        <w:t>2</w:t>
      </w:r>
      <w:r w:rsidRPr="003D6DAD">
        <w:rPr>
          <w:rFonts w:ascii="Calibri" w:eastAsia="Times New Roman" w:hAnsi="Calibri" w:cs="Calibri"/>
          <w:bCs/>
          <w:sz w:val="24"/>
          <w:szCs w:val="24"/>
        </w:rPr>
        <w:t>, Michael Ingram</w:t>
      </w:r>
      <w:r w:rsidRPr="003D6DAD">
        <w:rPr>
          <w:rFonts w:ascii="Calibri" w:eastAsia="Times New Roman" w:hAnsi="Calibri" w:cs="Calibri"/>
          <w:bCs/>
          <w:sz w:val="24"/>
          <w:szCs w:val="24"/>
          <w:vertAlign w:val="superscript"/>
        </w:rPr>
        <w:t>2</w:t>
      </w:r>
      <w:r w:rsidRPr="003D6DAD">
        <w:rPr>
          <w:rFonts w:ascii="Calibri" w:eastAsia="Times New Roman" w:hAnsi="Calibri" w:cs="Calibri"/>
          <w:bCs/>
          <w:sz w:val="24"/>
          <w:szCs w:val="24"/>
        </w:rPr>
        <w:t>, Coral Fung Shek</w:t>
      </w:r>
      <w:r w:rsidRPr="003D6DAD">
        <w:rPr>
          <w:rFonts w:ascii="Calibri" w:eastAsia="Times New Roman" w:hAnsi="Calibri" w:cs="Calibri"/>
          <w:bCs/>
          <w:sz w:val="24"/>
          <w:szCs w:val="24"/>
          <w:vertAlign w:val="superscript"/>
        </w:rPr>
        <w:t>2</w:t>
      </w:r>
      <w:r w:rsidRPr="003D6DAD">
        <w:rPr>
          <w:rFonts w:ascii="Calibri" w:eastAsia="Times New Roman" w:hAnsi="Calibri" w:cs="Calibri"/>
          <w:bCs/>
          <w:sz w:val="24"/>
          <w:szCs w:val="24"/>
        </w:rPr>
        <w:t>, Pik K. Chan</w:t>
      </w:r>
      <w:r w:rsidRPr="003D6DAD">
        <w:rPr>
          <w:rFonts w:ascii="Calibri" w:eastAsia="Times New Roman" w:hAnsi="Calibri" w:cs="Calibri"/>
          <w:bCs/>
          <w:sz w:val="24"/>
          <w:szCs w:val="24"/>
          <w:vertAlign w:val="superscript"/>
        </w:rPr>
        <w:t>2</w:t>
      </w:r>
      <w:r w:rsidRPr="003D6DAD">
        <w:rPr>
          <w:rFonts w:ascii="Calibri" w:eastAsia="Times New Roman" w:hAnsi="Calibri" w:cs="Calibri"/>
          <w:bCs/>
          <w:sz w:val="24"/>
          <w:szCs w:val="24"/>
        </w:rPr>
        <w:t>, Fabrice Schlegel</w:t>
      </w:r>
      <w:r w:rsidRPr="003D6DAD">
        <w:rPr>
          <w:rFonts w:ascii="Calibri" w:eastAsia="Times New Roman" w:hAnsi="Calibri" w:cs="Calibri"/>
          <w:bCs/>
          <w:sz w:val="24"/>
          <w:szCs w:val="24"/>
          <w:vertAlign w:val="superscript"/>
        </w:rPr>
        <w:t>2</w:t>
      </w:r>
      <w:r w:rsidRPr="003D6DAD">
        <w:rPr>
          <w:rFonts w:ascii="Calibri" w:eastAsia="Times New Roman" w:hAnsi="Calibri" w:cs="Calibri"/>
          <w:bCs/>
          <w:sz w:val="24"/>
          <w:szCs w:val="24"/>
        </w:rPr>
        <w:t>, Pablo Rolandi</w:t>
      </w:r>
      <w:r w:rsidRPr="003D6DAD">
        <w:rPr>
          <w:rFonts w:ascii="Calibri" w:eastAsia="Times New Roman" w:hAnsi="Calibri" w:cs="Calibri"/>
          <w:bCs/>
          <w:sz w:val="24"/>
          <w:szCs w:val="24"/>
          <w:vertAlign w:val="superscript"/>
        </w:rPr>
        <w:t>2</w:t>
      </w:r>
      <w:r w:rsidRPr="003D6DAD">
        <w:rPr>
          <w:rFonts w:ascii="Calibri" w:eastAsia="Times New Roman" w:hAnsi="Calibri" w:cs="Calibri"/>
          <w:bCs/>
          <w:sz w:val="24"/>
          <w:szCs w:val="24"/>
        </w:rPr>
        <w:t>, Cleo Kontoravdi</w:t>
      </w:r>
      <w:r w:rsidRPr="003D6DAD">
        <w:rPr>
          <w:rFonts w:ascii="Calibri" w:eastAsia="Times New Roman" w:hAnsi="Calibri" w:cs="Calibri"/>
          <w:bCs/>
          <w:sz w:val="24"/>
          <w:szCs w:val="24"/>
          <w:vertAlign w:val="superscript"/>
        </w:rPr>
        <w:t>3</w:t>
      </w:r>
      <w:r w:rsidRPr="003D6DAD">
        <w:rPr>
          <w:rFonts w:ascii="Calibri" w:eastAsia="Times New Roman" w:hAnsi="Calibri" w:cs="Calibri"/>
          <w:bCs/>
          <w:sz w:val="24"/>
          <w:szCs w:val="24"/>
        </w:rPr>
        <w:t>, Nathan Lewis</w:t>
      </w:r>
      <w:r w:rsidRPr="003D6DAD">
        <w:rPr>
          <w:rFonts w:ascii="Calibri" w:eastAsia="Times New Roman" w:hAnsi="Calibri" w:cs="Calibri"/>
          <w:bCs/>
          <w:sz w:val="24"/>
          <w:szCs w:val="24"/>
          <w:vertAlign w:val="superscript"/>
        </w:rPr>
        <w:t>1,4</w:t>
      </w:r>
    </w:p>
    <w:p w14:paraId="26E15ACD" w14:textId="77777777" w:rsidR="003D6DAD" w:rsidRPr="003D6DAD" w:rsidRDefault="003D6DAD" w:rsidP="003D6DAD">
      <w:pPr>
        <w:rPr>
          <w:rFonts w:ascii="Calibri" w:eastAsia="Times New Roman" w:hAnsi="Calibri" w:cs="Calibri"/>
          <w:b/>
          <w:sz w:val="28"/>
          <w:szCs w:val="28"/>
        </w:rPr>
      </w:pPr>
    </w:p>
    <w:p w14:paraId="2E65279E" w14:textId="77777777" w:rsidR="003D6DAD" w:rsidRPr="003D6DAD" w:rsidRDefault="003D6DAD" w:rsidP="003D6DAD">
      <w:pPr>
        <w:rPr>
          <w:rFonts w:ascii="Calibri" w:eastAsia="Times New Roman" w:hAnsi="Calibri" w:cs="Calibri"/>
          <w:bCs/>
          <w:color w:val="000000" w:themeColor="text1"/>
          <w:sz w:val="24"/>
          <w:szCs w:val="24"/>
        </w:rPr>
      </w:pPr>
      <w:r w:rsidRPr="003D6DAD">
        <w:rPr>
          <w:rFonts w:ascii="Calibri" w:eastAsia="Times New Roman" w:hAnsi="Calibri" w:cs="Calibri"/>
          <w:bCs/>
          <w:sz w:val="24"/>
          <w:szCs w:val="24"/>
          <w:vertAlign w:val="superscript"/>
        </w:rPr>
        <w:t>1</w:t>
      </w:r>
      <w:r w:rsidRPr="003D6DAD">
        <w:rPr>
          <w:rFonts w:ascii="Calibri" w:eastAsia="Times New Roman" w:hAnsi="Calibri" w:cs="Calibri"/>
          <w:bCs/>
          <w:sz w:val="24"/>
          <w:szCs w:val="24"/>
        </w:rPr>
        <w:t xml:space="preserve"> </w:t>
      </w:r>
      <w:r w:rsidRPr="003D6DAD">
        <w:rPr>
          <w:rFonts w:ascii="Calibri" w:eastAsia="Times New Roman" w:hAnsi="Calibri" w:cs="Calibri"/>
          <w:bCs/>
          <w:color w:val="000000" w:themeColor="text1"/>
          <w:sz w:val="24"/>
          <w:szCs w:val="24"/>
        </w:rPr>
        <w:t>Department of Pediatrics, University of California San Diego</w:t>
      </w:r>
    </w:p>
    <w:p w14:paraId="79AD9443" w14:textId="77777777" w:rsidR="003D6DAD" w:rsidRPr="003D6DAD" w:rsidRDefault="003D6DAD" w:rsidP="003D6DAD">
      <w:pPr>
        <w:rPr>
          <w:rFonts w:ascii="Calibri" w:eastAsia="Times New Roman" w:hAnsi="Calibri" w:cs="Calibri"/>
          <w:bCs/>
          <w:color w:val="000000" w:themeColor="text1"/>
          <w:sz w:val="24"/>
          <w:szCs w:val="24"/>
        </w:rPr>
      </w:pPr>
      <w:r w:rsidRPr="003D6DAD">
        <w:rPr>
          <w:rFonts w:ascii="Calibri" w:eastAsia="Times New Roman" w:hAnsi="Calibri" w:cs="Calibri"/>
          <w:color w:val="000000" w:themeColor="text1"/>
          <w:sz w:val="24"/>
          <w:szCs w:val="24"/>
          <w:vertAlign w:val="superscript"/>
        </w:rPr>
        <w:t>2</w:t>
      </w:r>
      <w:r w:rsidRPr="003D6DAD">
        <w:rPr>
          <w:rFonts w:ascii="Calibri" w:eastAsia="Times New Roman" w:hAnsi="Calibri" w:cs="Calibri"/>
          <w:bCs/>
          <w:color w:val="000000" w:themeColor="text1"/>
          <w:sz w:val="24"/>
          <w:szCs w:val="24"/>
        </w:rPr>
        <w:t xml:space="preserve"> Process Development, Amgen</w:t>
      </w:r>
    </w:p>
    <w:p w14:paraId="131DD391" w14:textId="77777777" w:rsidR="003D6DAD" w:rsidRPr="003D6DAD" w:rsidRDefault="003D6DAD" w:rsidP="003D6DAD">
      <w:pPr>
        <w:rPr>
          <w:rFonts w:ascii="Calibri" w:eastAsia="Times New Roman" w:hAnsi="Calibri" w:cs="Calibri"/>
          <w:bCs/>
          <w:color w:val="000000" w:themeColor="text1"/>
          <w:sz w:val="24"/>
          <w:szCs w:val="24"/>
        </w:rPr>
      </w:pPr>
      <w:r w:rsidRPr="003D6DAD">
        <w:rPr>
          <w:rFonts w:ascii="Calibri" w:eastAsia="Times New Roman" w:hAnsi="Calibri" w:cs="Calibri"/>
          <w:bCs/>
          <w:color w:val="000000" w:themeColor="text1"/>
          <w:sz w:val="24"/>
          <w:szCs w:val="24"/>
          <w:vertAlign w:val="superscript"/>
        </w:rPr>
        <w:t>3</w:t>
      </w:r>
      <w:r w:rsidRPr="003D6DAD">
        <w:rPr>
          <w:rFonts w:ascii="Calibri" w:eastAsia="Times New Roman" w:hAnsi="Calibri" w:cs="Calibri"/>
          <w:bCs/>
          <w:color w:val="000000" w:themeColor="text1"/>
          <w:sz w:val="24"/>
          <w:szCs w:val="24"/>
        </w:rPr>
        <w:t xml:space="preserve"> Department of Chemical Engineering, Imperial College London</w:t>
      </w:r>
    </w:p>
    <w:p w14:paraId="7A4A13A6" w14:textId="77777777" w:rsidR="003D6DAD" w:rsidRPr="003D6DAD" w:rsidRDefault="003D6DAD" w:rsidP="003D6DAD">
      <w:pPr>
        <w:rPr>
          <w:rFonts w:ascii="Calibri" w:eastAsia="Times New Roman" w:hAnsi="Calibri" w:cs="Calibri"/>
          <w:bCs/>
          <w:color w:val="000000" w:themeColor="text1"/>
          <w:sz w:val="24"/>
          <w:szCs w:val="24"/>
        </w:rPr>
      </w:pPr>
      <w:r w:rsidRPr="003D6DAD">
        <w:rPr>
          <w:rFonts w:ascii="Calibri" w:eastAsia="Times New Roman" w:hAnsi="Calibri" w:cs="Calibri"/>
          <w:bCs/>
          <w:color w:val="000000" w:themeColor="text1"/>
          <w:sz w:val="24"/>
          <w:szCs w:val="24"/>
          <w:vertAlign w:val="superscript"/>
        </w:rPr>
        <w:t>4</w:t>
      </w:r>
      <w:r w:rsidRPr="003D6DAD">
        <w:rPr>
          <w:rFonts w:ascii="Calibri" w:eastAsia="Times New Roman" w:hAnsi="Calibri" w:cs="Calibri"/>
          <w:bCs/>
          <w:color w:val="000000" w:themeColor="text1"/>
          <w:sz w:val="24"/>
          <w:szCs w:val="24"/>
        </w:rPr>
        <w:t xml:space="preserve"> Department of Bioengineering, University of California San Diego</w:t>
      </w:r>
    </w:p>
    <w:p w14:paraId="63C310DF" w14:textId="77777777" w:rsidR="003D6DAD" w:rsidRPr="003D6DAD" w:rsidRDefault="003D6DAD" w:rsidP="00740A7F">
      <w:pPr>
        <w:jc w:val="center"/>
        <w:rPr>
          <w:rFonts w:ascii="Calibri" w:hAnsi="Calibri" w:cs="Calibri"/>
          <w:b/>
          <w:bCs/>
        </w:rPr>
      </w:pPr>
    </w:p>
    <w:p w14:paraId="049CECCE" w14:textId="13354F10" w:rsidR="0027174D" w:rsidRPr="003D6DAD" w:rsidRDefault="0027174D">
      <w:pPr>
        <w:rPr>
          <w:rFonts w:ascii="Calibri" w:hAnsi="Calibri" w:cs="Calibri"/>
        </w:rPr>
      </w:pPr>
    </w:p>
    <w:p w14:paraId="5299C6F0" w14:textId="00DCFEEE" w:rsidR="003D6DAD" w:rsidRPr="003D6DAD" w:rsidRDefault="003D6DAD" w:rsidP="003D6DAD">
      <w:pPr>
        <w:pStyle w:val="ListParagraph"/>
        <w:numPr>
          <w:ilvl w:val="0"/>
          <w:numId w:val="2"/>
        </w:numPr>
        <w:ind w:left="360"/>
        <w:rPr>
          <w:rFonts w:ascii="Calibri" w:hAnsi="Calibri" w:cs="Calibri"/>
          <w:b/>
          <w:bCs/>
        </w:rPr>
      </w:pPr>
      <w:r w:rsidRPr="003D6DAD">
        <w:rPr>
          <w:rFonts w:ascii="Calibri" w:hAnsi="Calibri" w:cs="Calibri"/>
          <w:b/>
          <w:bCs/>
          <w:sz w:val="24"/>
          <w:szCs w:val="24"/>
        </w:rPr>
        <w:t>Supplementary</w:t>
      </w:r>
      <w:r w:rsidRPr="003D6DAD">
        <w:rPr>
          <w:rFonts w:ascii="Calibri" w:hAnsi="Calibri" w:cs="Calibri"/>
          <w:b/>
          <w:bCs/>
        </w:rPr>
        <w:t xml:space="preserve"> Methods</w:t>
      </w:r>
    </w:p>
    <w:p w14:paraId="09F38633" w14:textId="7435B423" w:rsidR="00CC3FFF" w:rsidRPr="003D6DAD" w:rsidRDefault="00CC3FFF" w:rsidP="003D6DAD">
      <w:pPr>
        <w:pStyle w:val="ListParagraph"/>
        <w:numPr>
          <w:ilvl w:val="1"/>
          <w:numId w:val="2"/>
        </w:numPr>
        <w:spacing w:line="480" w:lineRule="auto"/>
        <w:ind w:left="720"/>
        <w:jc w:val="both"/>
        <w:rPr>
          <w:b/>
          <w:bCs/>
          <w:sz w:val="24"/>
          <w:szCs w:val="24"/>
        </w:rPr>
      </w:pPr>
      <w:r w:rsidRPr="003D6DAD">
        <w:rPr>
          <w:b/>
          <w:bCs/>
          <w:sz w:val="24"/>
          <w:szCs w:val="24"/>
        </w:rPr>
        <w:t>Flux and Phase Calculation</w:t>
      </w:r>
    </w:p>
    <w:p w14:paraId="0D048A9F" w14:textId="77777777" w:rsidR="00CC3FFF" w:rsidRDefault="00CC3FFF" w:rsidP="00CC3FFF">
      <w:pPr>
        <w:spacing w:line="480" w:lineRule="auto"/>
        <w:rPr>
          <w:rFonts w:eastAsiaTheme="minorEastAsia"/>
          <w:sz w:val="24"/>
          <w:szCs w:val="24"/>
        </w:rPr>
      </w:pPr>
      <w:r>
        <w:rPr>
          <w:sz w:val="24"/>
          <w:szCs w:val="24"/>
        </w:rPr>
        <w:t xml:space="preserve">Fluxes (growth rate, uptake, and secretion rates) associated with all quantities (cell density, cell size, antibody, metabolites, and amino acids) were computed using nonlinear regression so as to minimize the variance-weighted sum of squared deviation of predicted quantities from their experimentally measured values. Metabolite concentrations are predicted using a two-state phenotypic model. Cells are assumed to be either in the growth phase or in the stationary phase, each represented by a unique set of fluxes. We define </w:t>
      </w:r>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oMath>
      <w:r>
        <w:rPr>
          <w:rFonts w:eastAsiaTheme="minorEastAsia"/>
          <w:sz w:val="24"/>
          <w:szCs w:val="24"/>
        </w:rPr>
        <w:t xml:space="preserve"> as the fluxes associated with quantity </w:t>
      </w:r>
      <m:oMath>
        <m:r>
          <w:rPr>
            <w:rFonts w:ascii="Cambria Math" w:eastAsiaTheme="minorEastAsia" w:hAnsi="Cambria Math"/>
            <w:sz w:val="24"/>
            <w:szCs w:val="24"/>
          </w:rPr>
          <m:t>i</m:t>
        </m:r>
      </m:oMath>
      <w:r>
        <w:rPr>
          <w:rFonts w:eastAsiaTheme="minorEastAsia"/>
          <w:sz w:val="24"/>
          <w:szCs w:val="24"/>
        </w:rPr>
        <w:t xml:space="preserve"> in phase </w:t>
      </w:r>
      <m:oMath>
        <m:r>
          <w:rPr>
            <w:rFonts w:ascii="Cambria Math" w:eastAsiaTheme="minorEastAsia" w:hAnsi="Cambria Math"/>
            <w:sz w:val="24"/>
            <w:szCs w:val="24"/>
          </w:rPr>
          <m:t>k</m:t>
        </m:r>
      </m:oMath>
      <w:r>
        <w:rPr>
          <w:rFonts w:eastAsiaTheme="minorEastAsia"/>
          <w:sz w:val="24"/>
          <w:szCs w:val="24"/>
        </w:rPr>
        <w:t xml:space="preserve"> (either </w:t>
      </w:r>
      <m:oMath>
        <m:r>
          <w:rPr>
            <w:rFonts w:ascii="Cambria Math" w:eastAsiaTheme="minorEastAsia" w:hAnsi="Cambria Math"/>
            <w:sz w:val="24"/>
            <w:szCs w:val="24"/>
          </w:rPr>
          <m:t>(growth)</m:t>
        </m:r>
      </m:oMath>
      <w:r>
        <w:rPr>
          <w:rFonts w:eastAsiaTheme="minorEastAsia"/>
          <w:sz w:val="24"/>
          <w:szCs w:val="24"/>
        </w:rPr>
        <w:t xml:space="preserve"> or </w:t>
      </w:r>
      <m:oMath>
        <m:r>
          <w:rPr>
            <w:rFonts w:ascii="Cambria Math" w:eastAsiaTheme="minorEastAsia" w:hAnsi="Cambria Math"/>
            <w:sz w:val="24"/>
            <w:szCs w:val="24"/>
          </w:rPr>
          <m:t>(stat)</m:t>
        </m:r>
      </m:oMath>
      <w:r>
        <w:rPr>
          <w:rFonts w:eastAsiaTheme="minorEastAsia"/>
          <w:sz w:val="24"/>
          <w:szCs w:val="24"/>
        </w:rPr>
        <w:t xml:space="preserve">). The objective is to identify the set of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bSup>
      </m:oMath>
      <w:r>
        <w:rPr>
          <w:rFonts w:eastAsiaTheme="minorEastAsia"/>
          <w:sz w:val="24"/>
          <w:szCs w:val="24"/>
        </w:rPr>
        <w:t xml:space="preserve"> that recapitulates the measured concentrations of all quantities at all sampling times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M</m:t>
            </m:r>
          </m:sub>
        </m:sSub>
      </m:oMath>
      <w:r>
        <w:rPr>
          <w:rFonts w:eastAsiaTheme="minorEastAsia"/>
          <w:sz w:val="24"/>
          <w:szCs w:val="24"/>
        </w:rPr>
        <w:t xml:space="preserve">). We first divide the process into M intervals based on sampling times such that interval </w:t>
      </w:r>
      <m:oMath>
        <m:r>
          <w:rPr>
            <w:rFonts w:ascii="Cambria Math" w:eastAsiaTheme="minorEastAsia" w:hAnsi="Cambria Math"/>
            <w:sz w:val="24"/>
            <w:szCs w:val="24"/>
          </w:rPr>
          <m:t>m</m:t>
        </m:r>
      </m:oMath>
      <w:r>
        <w:rPr>
          <w:rFonts w:eastAsiaTheme="minorEastAsia"/>
          <w:sz w:val="24"/>
          <w:szCs w:val="24"/>
        </w:rPr>
        <w:t xml:space="preserve"> represents the time interval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m-1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m</m:t>
            </m:r>
          </m:sub>
        </m:sSub>
        <m:r>
          <w:rPr>
            <w:rFonts w:ascii="Cambria Math" w:eastAsiaTheme="minorEastAsia" w:hAnsi="Cambria Math"/>
            <w:sz w:val="24"/>
            <w:szCs w:val="24"/>
          </w:rPr>
          <m:t>]</m:t>
        </m:r>
      </m:oMath>
      <w:r>
        <w:rPr>
          <w:rFonts w:eastAsiaTheme="minorEastAsia"/>
          <w:sz w:val="24"/>
          <w:szCs w:val="24"/>
        </w:rPr>
        <w:t xml:space="preserve">.  For each time interval, we define a </w:t>
      </w:r>
      <w:r>
        <w:rPr>
          <w:rFonts w:eastAsiaTheme="minorEastAsia"/>
          <w:sz w:val="24"/>
          <w:szCs w:val="24"/>
        </w:rPr>
        <w:lastRenderedPageBreak/>
        <w:t xml:space="preserve">parameter </w:t>
      </w:r>
      <m:oMath>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m</m:t>
            </m:r>
          </m:sub>
        </m:sSub>
        <m:r>
          <w:rPr>
            <w:rFonts w:ascii="Cambria Math" w:eastAsiaTheme="minorEastAsia" w:hAnsi="Cambria Math"/>
            <w:sz w:val="24"/>
            <w:szCs w:val="24"/>
          </w:rPr>
          <m:t>≤1</m:t>
        </m:r>
      </m:oMath>
      <w:r>
        <w:rPr>
          <w:rFonts w:eastAsiaTheme="minorEastAsia"/>
          <w:sz w:val="24"/>
          <w:szCs w:val="24"/>
        </w:rPr>
        <w:t xml:space="preserve"> that represents the fraction of the cell population in the stationary phase. Thus, the net flux in interval </w:t>
      </w:r>
      <m:oMath>
        <m:r>
          <w:rPr>
            <w:rFonts w:ascii="Cambria Math" w:eastAsiaTheme="minorEastAsia" w:hAnsi="Cambria Math"/>
            <w:sz w:val="24"/>
            <w:szCs w:val="24"/>
          </w:rPr>
          <m:t>m</m:t>
        </m:r>
      </m:oMath>
      <w:r>
        <w:rPr>
          <w:rFonts w:eastAsiaTheme="minorEastAsia"/>
          <w:sz w:val="24"/>
          <w:szCs w:val="24"/>
        </w:rPr>
        <w:t xml:space="preserve"> associated with quantity </w:t>
      </w:r>
      <m:oMath>
        <m:r>
          <w:rPr>
            <w:rFonts w:ascii="Cambria Math" w:eastAsiaTheme="minorEastAsia" w:hAnsi="Cambria Math"/>
            <w:sz w:val="24"/>
            <w:szCs w:val="24"/>
          </w:rPr>
          <m:t>i</m:t>
        </m:r>
      </m:oMath>
      <w:r>
        <w:rPr>
          <w:rFonts w:eastAsiaTheme="minorEastAsia"/>
          <w:sz w:val="24"/>
          <w:szCs w:val="24"/>
        </w:rPr>
        <w:t xml:space="preserve"> is computed using Equation (1).</w:t>
      </w:r>
    </w:p>
    <w:tbl>
      <w:tblPr>
        <w:tblStyle w:val="TableGrid"/>
        <w:tblW w:w="0" w:type="auto"/>
        <w:tblLook w:val="04A0" w:firstRow="1" w:lastRow="0" w:firstColumn="1" w:lastColumn="0" w:noHBand="0" w:noVBand="1"/>
      </w:tblPr>
      <w:tblGrid>
        <w:gridCol w:w="8725"/>
        <w:gridCol w:w="625"/>
      </w:tblGrid>
      <w:tr w:rsidR="00CC3FFF" w14:paraId="2205F6BF" w14:textId="77777777" w:rsidTr="005E1E99">
        <w:tc>
          <w:tcPr>
            <w:tcW w:w="8725" w:type="dxa"/>
          </w:tcPr>
          <w:p w14:paraId="0246B17C" w14:textId="77777777" w:rsidR="00CC3FFF" w:rsidRDefault="00000000" w:rsidP="005E1E99">
            <w:pPr>
              <w:spacing w:line="480" w:lineRule="auto"/>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m</m:t>
                        </m:r>
                      </m:sub>
                    </m:sSub>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growth</m:t>
                        </m:r>
                      </m:e>
                    </m:d>
                  </m:sup>
                </m:sSub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m</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stat</m:t>
                        </m:r>
                      </m:e>
                    </m:d>
                  </m:sup>
                </m:sSubSup>
              </m:oMath>
            </m:oMathPara>
          </w:p>
        </w:tc>
        <w:tc>
          <w:tcPr>
            <w:tcW w:w="625" w:type="dxa"/>
          </w:tcPr>
          <w:p w14:paraId="6D138C9B" w14:textId="77777777" w:rsidR="00CC3FFF" w:rsidRDefault="00CC3FFF" w:rsidP="005E1E99">
            <w:pPr>
              <w:spacing w:line="480" w:lineRule="auto"/>
              <w:rPr>
                <w:rFonts w:eastAsiaTheme="minorEastAsia"/>
                <w:sz w:val="24"/>
                <w:szCs w:val="24"/>
              </w:rPr>
            </w:pPr>
            <w:r>
              <w:rPr>
                <w:rFonts w:eastAsiaTheme="minorEastAsia"/>
                <w:sz w:val="24"/>
                <w:szCs w:val="24"/>
              </w:rPr>
              <w:t>(1)</w:t>
            </w:r>
          </w:p>
        </w:tc>
      </w:tr>
    </w:tbl>
    <w:p w14:paraId="59D7BF19" w14:textId="77777777" w:rsidR="00CC3FFF" w:rsidRDefault="00CC3FFF" w:rsidP="00CC3FFF">
      <w:pPr>
        <w:spacing w:line="480" w:lineRule="auto"/>
        <w:rPr>
          <w:rFonts w:eastAsiaTheme="minorEastAsia"/>
          <w:sz w:val="24"/>
          <w:szCs w:val="24"/>
        </w:rPr>
      </w:pPr>
    </w:p>
    <w:p w14:paraId="44CB0763" w14:textId="77777777" w:rsidR="00CC3FFF" w:rsidRDefault="00CC3FFF" w:rsidP="00CC3FFF">
      <w:pPr>
        <w:spacing w:line="480" w:lineRule="auto"/>
        <w:rPr>
          <w:rFonts w:eastAsiaTheme="minorEastAsia"/>
          <w:sz w:val="24"/>
          <w:szCs w:val="24"/>
        </w:rPr>
      </w:pPr>
      <w:r>
        <w:rPr>
          <w:rFonts w:eastAsiaTheme="minorEastAsia"/>
          <w:sz w:val="24"/>
          <w:szCs w:val="24"/>
        </w:rPr>
        <w:t xml:space="preserve">The time-course profile of all quantities in the interval </w:t>
      </w:r>
      <m:oMath>
        <m:r>
          <w:rPr>
            <w:rFonts w:ascii="Cambria Math" w:eastAsiaTheme="minorEastAsia" w:hAnsi="Cambria Math"/>
            <w:sz w:val="24"/>
            <w:szCs w:val="24"/>
          </w:rPr>
          <m:t>m</m:t>
        </m:r>
      </m:oMath>
      <w:r>
        <w:rPr>
          <w:rFonts w:eastAsiaTheme="minorEastAsia"/>
          <w:sz w:val="24"/>
          <w:szCs w:val="24"/>
        </w:rPr>
        <w:t xml:space="preserve"> are then computed by solving the system of ODEs described in Equation (2).</w:t>
      </w:r>
    </w:p>
    <w:tbl>
      <w:tblPr>
        <w:tblStyle w:val="TableGrid"/>
        <w:tblW w:w="0" w:type="auto"/>
        <w:tblLook w:val="04A0" w:firstRow="1" w:lastRow="0" w:firstColumn="1" w:lastColumn="0" w:noHBand="0" w:noVBand="1"/>
      </w:tblPr>
      <w:tblGrid>
        <w:gridCol w:w="8725"/>
        <w:gridCol w:w="625"/>
      </w:tblGrid>
      <w:tr w:rsidR="00CC3FFF" w14:paraId="6F14763B" w14:textId="77777777" w:rsidTr="005E1E99">
        <w:tc>
          <w:tcPr>
            <w:tcW w:w="8725" w:type="dxa"/>
          </w:tcPr>
          <w:p w14:paraId="3BE72A9F" w14:textId="77777777" w:rsidR="00CC3FFF" w:rsidRDefault="00000000" w:rsidP="005E1E99">
            <w:pPr>
              <w:spacing w:line="480" w:lineRule="auto"/>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num>
                  <m:den>
                    <m:r>
                      <w:rPr>
                        <w:rFonts w:ascii="Cambria Math" w:eastAsiaTheme="minorEastAsia" w:hAnsi="Cambria Math"/>
                        <w:sz w:val="24"/>
                        <w:szCs w:val="24"/>
                      </w:rPr>
                      <m:t>dt</m:t>
                    </m:r>
                  </m:den>
                </m:f>
                <m:r>
                  <w:rPr>
                    <w:rFonts w:ascii="Cambria Math" w:eastAsiaTheme="minorEastAsia" w:hAnsi="Cambria Math"/>
                    <w:sz w:val="24"/>
                    <w:szCs w:val="24"/>
                  </w:rPr>
                  <m:t>=F</m:t>
                </m:r>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in</m:t>
                            </m:r>
                          </m:e>
                        </m:d>
                      </m:sup>
                    </m:sSubSup>
                    <m:r>
                      <w:rPr>
                        <w:rFonts w:ascii="Cambria Math" w:eastAsiaTheme="minorEastAsia" w:hAnsi="Cambria Math"/>
                        <w:sz w:val="24"/>
                        <w:szCs w:val="24"/>
                      </w:rPr>
                      <m:t>-η</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m:oMathPara>
          </w:p>
        </w:tc>
        <w:tc>
          <w:tcPr>
            <w:tcW w:w="625" w:type="dxa"/>
          </w:tcPr>
          <w:p w14:paraId="2E5ADE72" w14:textId="77777777" w:rsidR="00CC3FFF" w:rsidRDefault="00CC3FFF" w:rsidP="005E1E99">
            <w:pPr>
              <w:spacing w:line="480" w:lineRule="auto"/>
              <w:rPr>
                <w:rFonts w:eastAsiaTheme="minorEastAsia"/>
                <w:sz w:val="24"/>
                <w:szCs w:val="24"/>
              </w:rPr>
            </w:pPr>
            <w:r>
              <w:rPr>
                <w:rFonts w:eastAsiaTheme="minorEastAsia"/>
                <w:sz w:val="24"/>
                <w:szCs w:val="24"/>
              </w:rPr>
              <w:t>(2)</w:t>
            </w:r>
          </w:p>
        </w:tc>
      </w:tr>
    </w:tbl>
    <w:p w14:paraId="7F08A5D3" w14:textId="77777777" w:rsidR="00CC3FFF" w:rsidRDefault="00CC3FFF" w:rsidP="00CC3FFF">
      <w:pPr>
        <w:spacing w:line="480" w:lineRule="auto"/>
        <w:rPr>
          <w:rFonts w:eastAsiaTheme="minorEastAsia"/>
          <w:sz w:val="24"/>
          <w:szCs w:val="24"/>
        </w:rPr>
      </w:pPr>
    </w:p>
    <w:p w14:paraId="09CE7B2E" w14:textId="77777777" w:rsidR="00CC3FFF" w:rsidRDefault="00CC3FFF" w:rsidP="00CC3FFF">
      <w:pPr>
        <w:spacing w:line="480" w:lineRule="auto"/>
        <w:rPr>
          <w:rFonts w:eastAsiaTheme="minorEastAsia"/>
          <w:sz w:val="24"/>
          <w:szCs w:val="24"/>
        </w:rPr>
      </w:pPr>
      <w:r>
        <w:rPr>
          <w:rFonts w:eastAsiaTheme="minorEastAsia"/>
          <w:sz w:val="24"/>
          <w:szCs w:val="24"/>
        </w:rPr>
        <w:t xml:space="preserve">In the above Equation,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w:r>
        <w:rPr>
          <w:rFonts w:eastAsiaTheme="minorEastAsia"/>
          <w:sz w:val="24"/>
          <w:szCs w:val="24"/>
        </w:rPr>
        <w:t xml:space="preserve"> refers to the cell density in the reactor,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in</m:t>
                </m:r>
              </m:e>
            </m:d>
          </m:sup>
        </m:sSubSup>
      </m:oMath>
      <w:r>
        <w:rPr>
          <w:rFonts w:eastAsiaTheme="minorEastAsia"/>
          <w:sz w:val="24"/>
          <w:szCs w:val="24"/>
        </w:rPr>
        <w:t xml:space="preserve"> denotes the concentration of quantity </w:t>
      </w:r>
      <m:oMath>
        <m:r>
          <w:rPr>
            <w:rFonts w:ascii="Cambria Math" w:eastAsiaTheme="minorEastAsia" w:hAnsi="Cambria Math"/>
            <w:sz w:val="24"/>
            <w:szCs w:val="24"/>
          </w:rPr>
          <m:t>i</m:t>
        </m:r>
      </m:oMath>
      <w:r>
        <w:rPr>
          <w:rFonts w:eastAsiaTheme="minorEastAsia"/>
          <w:sz w:val="24"/>
          <w:szCs w:val="24"/>
        </w:rPr>
        <w:t xml:space="preserve"> in the perfusion medium, </w:t>
      </w:r>
      <m:oMath>
        <m:r>
          <w:rPr>
            <w:rFonts w:ascii="Cambria Math" w:eastAsiaTheme="minorEastAsia" w:hAnsi="Cambria Math"/>
            <w:sz w:val="24"/>
            <w:szCs w:val="24"/>
          </w:rPr>
          <m:t>F</m:t>
        </m:r>
      </m:oMath>
      <w:r>
        <w:rPr>
          <w:rFonts w:eastAsiaTheme="minorEastAsia"/>
          <w:sz w:val="24"/>
          <w:szCs w:val="24"/>
        </w:rPr>
        <w:t xml:space="preserve"> denotes the perfusion rate (equal to 1 </w:t>
      </w:r>
      <m:oMath>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-1</m:t>
            </m:r>
          </m:sup>
        </m:sSup>
      </m:oMath>
      <w:r>
        <w:rPr>
          <w:rFonts w:eastAsiaTheme="minorEastAsia"/>
          <w:sz w:val="24"/>
          <w:szCs w:val="24"/>
        </w:rPr>
        <w:t xml:space="preserve">), and </w:t>
      </w:r>
      <m:oMath>
        <m:r>
          <w:rPr>
            <w:rFonts w:ascii="Cambria Math" w:eastAsiaTheme="minorEastAsia" w:hAnsi="Cambria Math"/>
            <w:sz w:val="24"/>
            <w:szCs w:val="24"/>
          </w:rPr>
          <m:t>η</m:t>
        </m:r>
      </m:oMath>
      <w:r>
        <w:rPr>
          <w:rFonts w:eastAsiaTheme="minorEastAsia"/>
          <w:sz w:val="24"/>
          <w:szCs w:val="24"/>
        </w:rPr>
        <w:t xml:space="preserve"> is the removal fraction of the quantities from the bioreactor. </w:t>
      </w:r>
      <m:oMath>
        <m:r>
          <w:rPr>
            <w:rFonts w:ascii="Cambria Math" w:eastAsiaTheme="minorEastAsia" w:hAnsi="Cambria Math"/>
            <w:sz w:val="24"/>
            <w:szCs w:val="24"/>
          </w:rPr>
          <m:t>η</m:t>
        </m:r>
      </m:oMath>
      <w:r>
        <w:rPr>
          <w:rFonts w:eastAsiaTheme="minorEastAsia"/>
          <w:sz w:val="24"/>
          <w:szCs w:val="24"/>
        </w:rPr>
        <w:t xml:space="preserve"> equals 0 for cell density and cell size at all time points, and for antibody before day 8. In all other cases, </w:t>
      </w:r>
      <m:oMath>
        <m:r>
          <w:rPr>
            <w:rFonts w:ascii="Cambria Math" w:eastAsiaTheme="minorEastAsia" w:hAnsi="Cambria Math"/>
            <w:sz w:val="24"/>
            <w:szCs w:val="24"/>
          </w:rPr>
          <m:t>η</m:t>
        </m:r>
      </m:oMath>
      <w:r>
        <w:rPr>
          <w:rFonts w:eastAsiaTheme="minorEastAsia"/>
          <w:sz w:val="24"/>
          <w:szCs w:val="24"/>
        </w:rPr>
        <w:t xml:space="preserve"> equals 1.</w:t>
      </w:r>
    </w:p>
    <w:p w14:paraId="51583A00" w14:textId="77777777" w:rsidR="00CC3FFF" w:rsidRDefault="00CC3FFF" w:rsidP="00CC3FFF">
      <w:pPr>
        <w:spacing w:line="480" w:lineRule="auto"/>
        <w:rPr>
          <w:rFonts w:eastAsiaTheme="minorEastAsia"/>
          <w:sz w:val="24"/>
          <w:szCs w:val="24"/>
        </w:rPr>
      </w:pPr>
      <w:r>
        <w:rPr>
          <w:rFonts w:eastAsiaTheme="minorEastAsia"/>
          <w:sz w:val="24"/>
          <w:szCs w:val="24"/>
        </w:rPr>
        <w:t xml:space="preserve">Thus, the parameters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bSup>
      </m:oMath>
      <w:r>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m</m:t>
            </m:r>
          </m:sub>
        </m:sSub>
      </m:oMath>
      <w:r>
        <w:rPr>
          <w:rFonts w:eastAsiaTheme="minorEastAsia"/>
          <w:sz w:val="24"/>
          <w:szCs w:val="24"/>
        </w:rPr>
        <w:t xml:space="preserve"> are computed by solving the following nonlinear optimization problem:</w:t>
      </w:r>
    </w:p>
    <w:tbl>
      <w:tblPr>
        <w:tblStyle w:val="TableGrid"/>
        <w:tblW w:w="0" w:type="auto"/>
        <w:tblLook w:val="04A0" w:firstRow="1" w:lastRow="0" w:firstColumn="1" w:lastColumn="0" w:noHBand="0" w:noVBand="1"/>
      </w:tblPr>
      <w:tblGrid>
        <w:gridCol w:w="1333"/>
        <w:gridCol w:w="5142"/>
        <w:gridCol w:w="2160"/>
        <w:gridCol w:w="715"/>
      </w:tblGrid>
      <w:tr w:rsidR="00CC3FFF" w14:paraId="4CAF1CE8" w14:textId="77777777" w:rsidTr="005E1E99">
        <w:tc>
          <w:tcPr>
            <w:tcW w:w="1333" w:type="dxa"/>
          </w:tcPr>
          <w:p w14:paraId="40B5E4DF" w14:textId="77777777" w:rsidR="00CC3FFF" w:rsidRDefault="00CC3FFF" w:rsidP="005E1E99">
            <w:pPr>
              <w:spacing w:line="480" w:lineRule="auto"/>
              <w:rPr>
                <w:rFonts w:eastAsiaTheme="minorEastAsia"/>
                <w:sz w:val="24"/>
                <w:szCs w:val="24"/>
              </w:rPr>
            </w:pPr>
          </w:p>
        </w:tc>
        <w:tc>
          <w:tcPr>
            <w:tcW w:w="5142" w:type="dxa"/>
          </w:tcPr>
          <w:p w14:paraId="1D1A14CF" w14:textId="77777777" w:rsidR="00CC3FFF" w:rsidRDefault="00000000" w:rsidP="005E1E99">
            <w:pPr>
              <w:spacing w:line="480" w:lineRule="auto"/>
              <w:rPr>
                <w:rFonts w:eastAsiaTheme="minorEastAsia"/>
                <w:sz w:val="24"/>
                <w:szCs w:val="24"/>
              </w:rPr>
            </w:pPr>
            <m:oMathPara>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eastAsiaTheme="minorEastAsia" w:hAnsi="Cambria Math"/>
                            <w:sz w:val="24"/>
                            <w:szCs w:val="24"/>
                          </w:rPr>
                          <m:t>min</m:t>
                        </m:r>
                        <m:ctrlPr>
                          <w:rPr>
                            <w:rFonts w:ascii="Cambria Math" w:eastAsiaTheme="minorEastAsia" w:hAnsi="Cambria Math"/>
                            <w:sz w:val="24"/>
                            <w:szCs w:val="24"/>
                          </w:rPr>
                        </m:ctrlPr>
                      </m:e>
                      <m:lim>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b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m</m:t>
                            </m:r>
                          </m:sub>
                        </m:sSub>
                        <m:ctrlPr>
                          <w:rPr>
                            <w:rFonts w:ascii="Cambria Math" w:eastAsiaTheme="minorEastAsia" w:hAnsi="Cambria Math"/>
                            <w:sz w:val="24"/>
                            <w:szCs w:val="24"/>
                          </w:rPr>
                        </m:ctrlPr>
                      </m:lim>
                    </m:limLow>
                  </m:fName>
                  <m:e>
                    <m:nary>
                      <m:naryPr>
                        <m:chr m:val="∑"/>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nary>
                          <m:naryPr>
                            <m:chr m:val="∑"/>
                            <m:ctrlPr>
                              <w:rPr>
                                <w:rFonts w:ascii="Cambria Math" w:eastAsiaTheme="minorEastAsia" w:hAnsi="Cambria Math"/>
                                <w:i/>
                                <w:sz w:val="24"/>
                                <w:szCs w:val="24"/>
                              </w:rPr>
                            </m:ctrlPr>
                          </m:naryPr>
                          <m:sub>
                            <m:r>
                              <w:rPr>
                                <w:rFonts w:ascii="Cambria Math" w:eastAsiaTheme="minorEastAsia" w:hAnsi="Cambria Math"/>
                                <w:sz w:val="24"/>
                                <w:szCs w:val="24"/>
                              </w:rPr>
                              <m:t>m=1</m:t>
                            </m:r>
                          </m:sub>
                          <m:sup>
                            <m:r>
                              <w:rPr>
                                <w:rFonts w:ascii="Cambria Math" w:eastAsiaTheme="minorEastAsia" w:hAnsi="Cambria Math"/>
                                <w:sz w:val="24"/>
                                <w:szCs w:val="24"/>
                              </w:rPr>
                              <m:t>M</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m</m:t>
                                                </m:r>
                                              </m:sub>
                                            </m:sSub>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meas</m:t>
                                                </m:r>
                                              </m:e>
                                            </m:d>
                                          </m:sup>
                                        </m:sSub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m</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i,m</m:t>
                                            </m:r>
                                          </m:sub>
                                        </m:sSub>
                                      </m:den>
                                    </m:f>
                                  </m:e>
                                </m:d>
                              </m:e>
                              <m:sup>
                                <m:r>
                                  <w:rPr>
                                    <w:rFonts w:ascii="Cambria Math" w:eastAsiaTheme="minorEastAsia" w:hAnsi="Cambria Math"/>
                                    <w:sz w:val="24"/>
                                    <w:szCs w:val="24"/>
                                  </w:rPr>
                                  <m:t>2</m:t>
                                </m:r>
                              </m:sup>
                            </m:sSup>
                          </m:e>
                        </m:nary>
                      </m:e>
                    </m:nary>
                  </m:e>
                </m:func>
              </m:oMath>
            </m:oMathPara>
          </w:p>
        </w:tc>
        <w:tc>
          <w:tcPr>
            <w:tcW w:w="2160" w:type="dxa"/>
          </w:tcPr>
          <w:p w14:paraId="0C9CFBDB" w14:textId="77777777" w:rsidR="00CC3FFF" w:rsidRDefault="00CC3FFF" w:rsidP="005E1E99">
            <w:pPr>
              <w:spacing w:line="480" w:lineRule="auto"/>
              <w:rPr>
                <w:rFonts w:eastAsiaTheme="minorEastAsia"/>
                <w:sz w:val="24"/>
                <w:szCs w:val="24"/>
              </w:rPr>
            </w:pPr>
          </w:p>
        </w:tc>
        <w:tc>
          <w:tcPr>
            <w:tcW w:w="715" w:type="dxa"/>
          </w:tcPr>
          <w:p w14:paraId="7D76ABF0" w14:textId="77777777" w:rsidR="00CC3FFF" w:rsidRDefault="00CC3FFF" w:rsidP="005E1E99">
            <w:pPr>
              <w:spacing w:line="480" w:lineRule="auto"/>
              <w:rPr>
                <w:rFonts w:eastAsiaTheme="minorEastAsia"/>
                <w:sz w:val="24"/>
                <w:szCs w:val="24"/>
              </w:rPr>
            </w:pPr>
          </w:p>
        </w:tc>
      </w:tr>
      <w:tr w:rsidR="00CC3FFF" w14:paraId="106F3ED6" w14:textId="77777777" w:rsidTr="005E1E99">
        <w:tc>
          <w:tcPr>
            <w:tcW w:w="1333" w:type="dxa"/>
          </w:tcPr>
          <w:p w14:paraId="74F4E0E5" w14:textId="77777777" w:rsidR="00CC3FFF" w:rsidRDefault="00CC3FFF" w:rsidP="005E1E99">
            <w:pPr>
              <w:spacing w:line="480" w:lineRule="auto"/>
              <w:rPr>
                <w:rFonts w:eastAsiaTheme="minorEastAsia"/>
                <w:sz w:val="24"/>
                <w:szCs w:val="24"/>
              </w:rPr>
            </w:pPr>
            <w:r>
              <w:rPr>
                <w:rFonts w:eastAsiaTheme="minorEastAsia"/>
                <w:sz w:val="24"/>
                <w:szCs w:val="24"/>
              </w:rPr>
              <w:t>Subject to:</w:t>
            </w:r>
          </w:p>
        </w:tc>
        <w:tc>
          <w:tcPr>
            <w:tcW w:w="5142" w:type="dxa"/>
          </w:tcPr>
          <w:p w14:paraId="7164B19E" w14:textId="77777777" w:rsidR="00CC3FFF" w:rsidRDefault="00000000" w:rsidP="005E1E99">
            <w:pPr>
              <w:spacing w:line="480" w:lineRule="auto"/>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num>
                  <m:den>
                    <m:r>
                      <w:rPr>
                        <w:rFonts w:ascii="Cambria Math" w:eastAsiaTheme="minorEastAsia" w:hAnsi="Cambria Math"/>
                        <w:sz w:val="24"/>
                        <w:szCs w:val="24"/>
                      </w:rPr>
                      <m:t>dt</m:t>
                    </m:r>
                  </m:den>
                </m:f>
                <m:r>
                  <w:rPr>
                    <w:rFonts w:ascii="Cambria Math" w:eastAsiaTheme="minorEastAsia" w:hAnsi="Cambria Math"/>
                    <w:sz w:val="24"/>
                    <w:szCs w:val="24"/>
                  </w:rPr>
                  <m:t>=F</m:t>
                </m:r>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in</m:t>
                            </m:r>
                          </m:e>
                        </m:d>
                      </m:sup>
                    </m:sSubSup>
                    <m:r>
                      <w:rPr>
                        <w:rFonts w:ascii="Cambria Math" w:eastAsiaTheme="minorEastAsia" w:hAnsi="Cambria Math"/>
                        <w:sz w:val="24"/>
                        <w:szCs w:val="24"/>
                      </w:rPr>
                      <m:t>-η</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m:oMathPara>
          </w:p>
        </w:tc>
        <w:tc>
          <w:tcPr>
            <w:tcW w:w="2160" w:type="dxa"/>
          </w:tcPr>
          <w:p w14:paraId="3EFEE120" w14:textId="77777777" w:rsidR="00CC3FFF" w:rsidRDefault="00CC3FFF" w:rsidP="005E1E99">
            <w:pPr>
              <w:spacing w:line="480" w:lineRule="auto"/>
              <w:rPr>
                <w:rFonts w:eastAsiaTheme="minorEastAsia"/>
                <w:sz w:val="24"/>
                <w:szCs w:val="24"/>
              </w:rPr>
            </w:pPr>
            <m:oMathPara>
              <m:oMath>
                <m:r>
                  <w:rPr>
                    <w:rFonts w:ascii="Cambria Math" w:eastAsiaTheme="minorEastAsia" w:hAnsi="Cambria Math"/>
                    <w:sz w:val="24"/>
                    <w:szCs w:val="24"/>
                  </w:rPr>
                  <w:lastRenderedPageBreak/>
                  <m:t>∀t∈[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m-1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m</m:t>
                    </m:r>
                  </m:sub>
                </m:sSub>
                <m:r>
                  <w:rPr>
                    <w:rFonts w:ascii="Cambria Math" w:eastAsiaTheme="minorEastAsia" w:hAnsi="Cambria Math"/>
                    <w:sz w:val="24"/>
                    <w:szCs w:val="24"/>
                  </w:rPr>
                  <m:t>]</m:t>
                </m:r>
                <m:r>
                  <m:rPr>
                    <m:sty m:val="p"/>
                  </m:rPr>
                  <w:rPr>
                    <w:rFonts w:eastAsiaTheme="minorEastAsia"/>
                    <w:sz w:val="24"/>
                    <w:szCs w:val="24"/>
                  </w:rPr>
                  <w:br/>
                </m:r>
              </m:oMath>
              <m:oMath>
                <m:r>
                  <w:rPr>
                    <w:rFonts w:ascii="Cambria Math" w:eastAsiaTheme="minorEastAsia" w:hAnsi="Cambria Math"/>
                    <w:sz w:val="24"/>
                    <w:szCs w:val="24"/>
                  </w:rPr>
                  <m:t>1≤m≤M</m:t>
                </m:r>
              </m:oMath>
            </m:oMathPara>
          </w:p>
        </w:tc>
        <w:tc>
          <w:tcPr>
            <w:tcW w:w="715" w:type="dxa"/>
          </w:tcPr>
          <w:p w14:paraId="530F63A9" w14:textId="77777777" w:rsidR="00CC3FFF" w:rsidRDefault="00CC3FFF" w:rsidP="005E1E99">
            <w:pPr>
              <w:spacing w:line="480" w:lineRule="auto"/>
              <w:rPr>
                <w:rFonts w:eastAsiaTheme="minorEastAsia"/>
                <w:sz w:val="24"/>
                <w:szCs w:val="24"/>
              </w:rPr>
            </w:pPr>
            <w:r>
              <w:rPr>
                <w:rFonts w:eastAsiaTheme="minorEastAsia"/>
                <w:sz w:val="24"/>
                <w:szCs w:val="24"/>
              </w:rPr>
              <w:lastRenderedPageBreak/>
              <w:t>(2)</w:t>
            </w:r>
          </w:p>
        </w:tc>
      </w:tr>
      <w:tr w:rsidR="00CC3FFF" w14:paraId="75763835" w14:textId="77777777" w:rsidTr="005E1E99">
        <w:tc>
          <w:tcPr>
            <w:tcW w:w="1333" w:type="dxa"/>
          </w:tcPr>
          <w:p w14:paraId="16CA5590" w14:textId="77777777" w:rsidR="00CC3FFF" w:rsidRDefault="00CC3FFF" w:rsidP="005E1E99">
            <w:pPr>
              <w:spacing w:line="480" w:lineRule="auto"/>
              <w:rPr>
                <w:rFonts w:eastAsiaTheme="minorEastAsia"/>
                <w:sz w:val="24"/>
                <w:szCs w:val="24"/>
              </w:rPr>
            </w:pPr>
          </w:p>
        </w:tc>
        <w:tc>
          <w:tcPr>
            <w:tcW w:w="5142" w:type="dxa"/>
          </w:tcPr>
          <w:p w14:paraId="6B41232B" w14:textId="77777777" w:rsidR="00CC3FFF" w:rsidRDefault="00000000" w:rsidP="005E1E99">
            <w:pPr>
              <w:spacing w:line="480" w:lineRule="auto"/>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m</m:t>
                        </m:r>
                      </m:sub>
                    </m:sSub>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growth</m:t>
                        </m:r>
                      </m:e>
                    </m:d>
                  </m:sup>
                </m:sSub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m</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stat</m:t>
                        </m:r>
                      </m:e>
                    </m:d>
                  </m:sup>
                </m:sSubSup>
              </m:oMath>
            </m:oMathPara>
          </w:p>
        </w:tc>
        <w:tc>
          <w:tcPr>
            <w:tcW w:w="2160" w:type="dxa"/>
          </w:tcPr>
          <w:p w14:paraId="3CEF08C1" w14:textId="77777777" w:rsidR="00CC3FFF" w:rsidRDefault="00CC3FFF" w:rsidP="005E1E99">
            <w:pPr>
              <w:spacing w:line="480" w:lineRule="auto"/>
              <w:rPr>
                <w:rFonts w:eastAsiaTheme="minorEastAsia"/>
                <w:sz w:val="24"/>
                <w:szCs w:val="24"/>
              </w:rPr>
            </w:pPr>
            <m:oMathPara>
              <m:oMath>
                <m:r>
                  <w:rPr>
                    <w:rFonts w:ascii="Cambria Math" w:eastAsiaTheme="minorEastAsia" w:hAnsi="Cambria Math"/>
                    <w:sz w:val="24"/>
                    <w:szCs w:val="24"/>
                  </w:rPr>
                  <m:t>1≤m≤M</m:t>
                </m:r>
                <m:r>
                  <m:rPr>
                    <m:sty m:val="p"/>
                  </m:rPr>
                  <w:rPr>
                    <w:rFonts w:ascii="Cambria Math" w:eastAsiaTheme="minorEastAsia" w:hAnsi="Cambria Math"/>
                    <w:sz w:val="24"/>
                    <w:szCs w:val="24"/>
                  </w:rPr>
                  <w:br/>
                </m:r>
              </m:oMath>
              <m:oMath>
                <m:r>
                  <w:rPr>
                    <w:rFonts w:ascii="Cambria Math" w:eastAsiaTheme="minorEastAsia" w:hAnsi="Cambria Math"/>
                    <w:sz w:val="24"/>
                    <w:szCs w:val="24"/>
                  </w:rPr>
                  <m:t>1≤i≤N</m:t>
                </m:r>
              </m:oMath>
            </m:oMathPara>
          </w:p>
        </w:tc>
        <w:tc>
          <w:tcPr>
            <w:tcW w:w="715" w:type="dxa"/>
          </w:tcPr>
          <w:p w14:paraId="392FAFC0" w14:textId="77777777" w:rsidR="00CC3FFF" w:rsidRDefault="00CC3FFF" w:rsidP="005E1E99">
            <w:pPr>
              <w:spacing w:line="480" w:lineRule="auto"/>
              <w:rPr>
                <w:rFonts w:eastAsiaTheme="minorEastAsia"/>
                <w:sz w:val="24"/>
                <w:szCs w:val="24"/>
              </w:rPr>
            </w:pPr>
            <w:r>
              <w:rPr>
                <w:rFonts w:eastAsiaTheme="minorEastAsia"/>
                <w:sz w:val="24"/>
                <w:szCs w:val="24"/>
              </w:rPr>
              <w:t>(1)</w:t>
            </w:r>
          </w:p>
        </w:tc>
      </w:tr>
      <w:tr w:rsidR="00CC3FFF" w14:paraId="5BD398FB" w14:textId="77777777" w:rsidTr="005E1E99">
        <w:tc>
          <w:tcPr>
            <w:tcW w:w="1333" w:type="dxa"/>
          </w:tcPr>
          <w:p w14:paraId="535732D4" w14:textId="77777777" w:rsidR="00CC3FFF" w:rsidRDefault="00CC3FFF" w:rsidP="005E1E99">
            <w:pPr>
              <w:spacing w:line="480" w:lineRule="auto"/>
              <w:rPr>
                <w:rFonts w:eastAsiaTheme="minorEastAsia"/>
                <w:sz w:val="24"/>
                <w:szCs w:val="24"/>
              </w:rPr>
            </w:pPr>
          </w:p>
        </w:tc>
        <w:tc>
          <w:tcPr>
            <w:tcW w:w="5142" w:type="dxa"/>
          </w:tcPr>
          <w:p w14:paraId="5345C64E" w14:textId="77777777" w:rsidR="00CC3FFF" w:rsidRDefault="00CC3FFF" w:rsidP="005E1E99">
            <w:pPr>
              <w:spacing w:line="480" w:lineRule="auto"/>
              <w:rPr>
                <w:rFonts w:eastAsiaTheme="minorEastAsia"/>
                <w:sz w:val="24"/>
                <w:szCs w:val="24"/>
              </w:rPr>
            </w:pPr>
            <m:oMathPara>
              <m:oMath>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m</m:t>
                    </m:r>
                  </m:sub>
                </m:sSub>
                <m:r>
                  <w:rPr>
                    <w:rFonts w:ascii="Cambria Math" w:eastAsiaTheme="minorEastAsia" w:hAnsi="Cambria Math"/>
                    <w:sz w:val="24"/>
                    <w:szCs w:val="24"/>
                  </w:rPr>
                  <m:t>≤1</m:t>
                </m:r>
              </m:oMath>
            </m:oMathPara>
          </w:p>
        </w:tc>
        <w:tc>
          <w:tcPr>
            <w:tcW w:w="2160" w:type="dxa"/>
          </w:tcPr>
          <w:p w14:paraId="36D58FA1" w14:textId="77777777" w:rsidR="00CC3FFF" w:rsidRDefault="00CC3FFF" w:rsidP="005E1E99">
            <w:pPr>
              <w:spacing w:line="480" w:lineRule="auto"/>
              <w:rPr>
                <w:rFonts w:eastAsiaTheme="minorEastAsia"/>
                <w:sz w:val="24"/>
                <w:szCs w:val="24"/>
              </w:rPr>
            </w:pPr>
            <m:oMathPara>
              <m:oMath>
                <m:r>
                  <w:rPr>
                    <w:rFonts w:ascii="Cambria Math" w:eastAsiaTheme="minorEastAsia" w:hAnsi="Cambria Math"/>
                    <w:sz w:val="24"/>
                    <w:szCs w:val="24"/>
                  </w:rPr>
                  <m:t>1≤m≤M</m:t>
                </m:r>
              </m:oMath>
            </m:oMathPara>
          </w:p>
        </w:tc>
        <w:tc>
          <w:tcPr>
            <w:tcW w:w="715" w:type="dxa"/>
          </w:tcPr>
          <w:p w14:paraId="39F3DF8B" w14:textId="77777777" w:rsidR="00CC3FFF" w:rsidRDefault="00CC3FFF" w:rsidP="005E1E99">
            <w:pPr>
              <w:spacing w:line="480" w:lineRule="auto"/>
              <w:rPr>
                <w:rFonts w:eastAsiaTheme="minorEastAsia"/>
                <w:sz w:val="24"/>
                <w:szCs w:val="24"/>
              </w:rPr>
            </w:pPr>
            <w:r>
              <w:rPr>
                <w:rFonts w:eastAsiaTheme="minorEastAsia"/>
                <w:sz w:val="24"/>
                <w:szCs w:val="24"/>
              </w:rPr>
              <w:t>(3)</w:t>
            </w:r>
          </w:p>
        </w:tc>
      </w:tr>
      <w:tr w:rsidR="00CC3FFF" w14:paraId="4B335907" w14:textId="77777777" w:rsidTr="005E1E99">
        <w:tc>
          <w:tcPr>
            <w:tcW w:w="1333" w:type="dxa"/>
          </w:tcPr>
          <w:p w14:paraId="5FA0CBF1" w14:textId="77777777" w:rsidR="00CC3FFF" w:rsidRDefault="00CC3FFF" w:rsidP="005E1E99">
            <w:pPr>
              <w:spacing w:line="480" w:lineRule="auto"/>
              <w:rPr>
                <w:rFonts w:eastAsiaTheme="minorEastAsia"/>
                <w:sz w:val="24"/>
                <w:szCs w:val="24"/>
              </w:rPr>
            </w:pPr>
          </w:p>
        </w:tc>
        <w:tc>
          <w:tcPr>
            <w:tcW w:w="5142" w:type="dxa"/>
          </w:tcPr>
          <w:p w14:paraId="36BCD8EF" w14:textId="77777777" w:rsidR="00CC3FFF" w:rsidRDefault="00000000" w:rsidP="005E1E99">
            <w:pPr>
              <w:spacing w:line="480" w:lineRule="auto"/>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m</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m-1</m:t>
                    </m:r>
                  </m:sub>
                </m:sSub>
              </m:oMath>
            </m:oMathPara>
          </w:p>
        </w:tc>
        <w:tc>
          <w:tcPr>
            <w:tcW w:w="2160" w:type="dxa"/>
          </w:tcPr>
          <w:p w14:paraId="05DB1062" w14:textId="77777777" w:rsidR="00CC3FFF" w:rsidRDefault="00CC3FFF" w:rsidP="005E1E99">
            <w:pPr>
              <w:spacing w:line="480" w:lineRule="auto"/>
              <w:rPr>
                <w:rFonts w:eastAsiaTheme="minorEastAsia"/>
                <w:sz w:val="24"/>
                <w:szCs w:val="24"/>
              </w:rPr>
            </w:pPr>
            <m:oMathPara>
              <m:oMath>
                <m:r>
                  <w:rPr>
                    <w:rFonts w:ascii="Cambria Math" w:eastAsiaTheme="minorEastAsia" w:hAnsi="Cambria Math"/>
                    <w:sz w:val="24"/>
                    <w:szCs w:val="24"/>
                  </w:rPr>
                  <m:t>1≤m≤M</m:t>
                </m:r>
              </m:oMath>
            </m:oMathPara>
          </w:p>
        </w:tc>
        <w:tc>
          <w:tcPr>
            <w:tcW w:w="715" w:type="dxa"/>
          </w:tcPr>
          <w:p w14:paraId="401044FC" w14:textId="77777777" w:rsidR="00CC3FFF" w:rsidRDefault="00CC3FFF" w:rsidP="005E1E99">
            <w:pPr>
              <w:spacing w:line="480" w:lineRule="auto"/>
              <w:rPr>
                <w:rFonts w:eastAsiaTheme="minorEastAsia"/>
                <w:sz w:val="24"/>
                <w:szCs w:val="24"/>
              </w:rPr>
            </w:pPr>
            <w:r>
              <w:rPr>
                <w:rFonts w:eastAsiaTheme="minorEastAsia"/>
                <w:sz w:val="24"/>
                <w:szCs w:val="24"/>
              </w:rPr>
              <w:t>(4)</w:t>
            </w:r>
          </w:p>
        </w:tc>
      </w:tr>
      <w:tr w:rsidR="00CC3FFF" w14:paraId="78ABAA30" w14:textId="77777777" w:rsidTr="005E1E99">
        <w:tc>
          <w:tcPr>
            <w:tcW w:w="1333" w:type="dxa"/>
          </w:tcPr>
          <w:p w14:paraId="0BEB4773" w14:textId="77777777" w:rsidR="00CC3FFF" w:rsidRDefault="00CC3FFF" w:rsidP="005E1E99">
            <w:pPr>
              <w:spacing w:line="480" w:lineRule="auto"/>
              <w:rPr>
                <w:rFonts w:eastAsiaTheme="minorEastAsia"/>
                <w:sz w:val="24"/>
                <w:szCs w:val="24"/>
              </w:rPr>
            </w:pPr>
          </w:p>
        </w:tc>
        <w:tc>
          <w:tcPr>
            <w:tcW w:w="5142" w:type="dxa"/>
          </w:tcPr>
          <w:p w14:paraId="5C20BB73" w14:textId="77777777" w:rsidR="00CC3FFF" w:rsidRDefault="00000000" w:rsidP="005E1E99">
            <w:pPr>
              <w:spacing w:line="480" w:lineRule="auto"/>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=0</m:t>
                </m:r>
              </m:oMath>
            </m:oMathPara>
          </w:p>
        </w:tc>
        <w:tc>
          <w:tcPr>
            <w:tcW w:w="2160" w:type="dxa"/>
          </w:tcPr>
          <w:p w14:paraId="6EC41F37" w14:textId="77777777" w:rsidR="00CC3FFF" w:rsidRDefault="00CC3FFF" w:rsidP="005E1E99">
            <w:pPr>
              <w:spacing w:line="480" w:lineRule="auto"/>
              <w:rPr>
                <w:rFonts w:eastAsiaTheme="minorEastAsia"/>
                <w:sz w:val="24"/>
                <w:szCs w:val="24"/>
              </w:rPr>
            </w:pPr>
          </w:p>
        </w:tc>
        <w:tc>
          <w:tcPr>
            <w:tcW w:w="715" w:type="dxa"/>
          </w:tcPr>
          <w:p w14:paraId="74EE6528" w14:textId="77777777" w:rsidR="00CC3FFF" w:rsidRDefault="00CC3FFF" w:rsidP="005E1E99">
            <w:pPr>
              <w:spacing w:line="480" w:lineRule="auto"/>
              <w:rPr>
                <w:rFonts w:eastAsiaTheme="minorEastAsia"/>
                <w:sz w:val="24"/>
                <w:szCs w:val="24"/>
              </w:rPr>
            </w:pPr>
            <w:r>
              <w:rPr>
                <w:rFonts w:eastAsiaTheme="minorEastAsia"/>
                <w:sz w:val="24"/>
                <w:szCs w:val="24"/>
              </w:rPr>
              <w:t>(5)</w:t>
            </w:r>
          </w:p>
        </w:tc>
      </w:tr>
      <w:tr w:rsidR="00CC3FFF" w14:paraId="61C7F070" w14:textId="77777777" w:rsidTr="005E1E99">
        <w:tc>
          <w:tcPr>
            <w:tcW w:w="1333" w:type="dxa"/>
          </w:tcPr>
          <w:p w14:paraId="6CACDA9D" w14:textId="77777777" w:rsidR="00CC3FFF" w:rsidRDefault="00CC3FFF" w:rsidP="005E1E99">
            <w:pPr>
              <w:spacing w:line="480" w:lineRule="auto"/>
              <w:rPr>
                <w:rFonts w:eastAsiaTheme="minorEastAsia"/>
                <w:sz w:val="24"/>
                <w:szCs w:val="24"/>
              </w:rPr>
            </w:pPr>
          </w:p>
        </w:tc>
        <w:tc>
          <w:tcPr>
            <w:tcW w:w="5142" w:type="dxa"/>
          </w:tcPr>
          <w:p w14:paraId="3E4B9785" w14:textId="77777777" w:rsidR="00CC3FFF" w:rsidRDefault="00000000" w:rsidP="005E1E99">
            <w:pPr>
              <w:spacing w:line="480" w:lineRule="auto"/>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M</m:t>
                    </m:r>
                  </m:sub>
                </m:sSub>
                <m:r>
                  <w:rPr>
                    <w:rFonts w:ascii="Cambria Math" w:eastAsiaTheme="minorEastAsia" w:hAnsi="Cambria Math"/>
                    <w:sz w:val="24"/>
                    <w:szCs w:val="24"/>
                  </w:rPr>
                  <m:t>=1</m:t>
                </m:r>
              </m:oMath>
            </m:oMathPara>
          </w:p>
        </w:tc>
        <w:tc>
          <w:tcPr>
            <w:tcW w:w="2160" w:type="dxa"/>
          </w:tcPr>
          <w:p w14:paraId="7500A51A" w14:textId="77777777" w:rsidR="00CC3FFF" w:rsidRDefault="00CC3FFF" w:rsidP="005E1E99">
            <w:pPr>
              <w:spacing w:line="480" w:lineRule="auto"/>
              <w:rPr>
                <w:rFonts w:eastAsiaTheme="minorEastAsia"/>
                <w:sz w:val="24"/>
                <w:szCs w:val="24"/>
              </w:rPr>
            </w:pPr>
          </w:p>
        </w:tc>
        <w:tc>
          <w:tcPr>
            <w:tcW w:w="715" w:type="dxa"/>
          </w:tcPr>
          <w:p w14:paraId="34CAC3D7" w14:textId="77777777" w:rsidR="00CC3FFF" w:rsidRDefault="00CC3FFF" w:rsidP="005E1E99">
            <w:pPr>
              <w:spacing w:line="480" w:lineRule="auto"/>
              <w:rPr>
                <w:rFonts w:eastAsiaTheme="minorEastAsia"/>
                <w:sz w:val="24"/>
                <w:szCs w:val="24"/>
              </w:rPr>
            </w:pPr>
            <w:r>
              <w:rPr>
                <w:rFonts w:eastAsiaTheme="minorEastAsia"/>
                <w:sz w:val="24"/>
                <w:szCs w:val="24"/>
              </w:rPr>
              <w:t>(6)</w:t>
            </w:r>
          </w:p>
        </w:tc>
      </w:tr>
      <w:tr w:rsidR="00CC3FFF" w14:paraId="40EE77B0" w14:textId="77777777" w:rsidTr="005E1E99">
        <w:tc>
          <w:tcPr>
            <w:tcW w:w="1333" w:type="dxa"/>
          </w:tcPr>
          <w:p w14:paraId="4E5FD0A7" w14:textId="77777777" w:rsidR="00CC3FFF" w:rsidRDefault="00CC3FFF" w:rsidP="005E1E99">
            <w:pPr>
              <w:spacing w:line="480" w:lineRule="auto"/>
              <w:rPr>
                <w:rFonts w:eastAsiaTheme="minorEastAsia"/>
                <w:sz w:val="24"/>
                <w:szCs w:val="24"/>
              </w:rPr>
            </w:pPr>
          </w:p>
        </w:tc>
        <w:tc>
          <w:tcPr>
            <w:tcW w:w="5142" w:type="dxa"/>
          </w:tcPr>
          <w:p w14:paraId="4CD479F3" w14:textId="77777777" w:rsidR="00CC3FFF" w:rsidRDefault="00000000" w:rsidP="005E1E99">
            <w:pPr>
              <w:spacing w:line="480" w:lineRule="auto"/>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0</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0,i</m:t>
                    </m:r>
                  </m:sub>
                </m:sSub>
              </m:oMath>
            </m:oMathPara>
          </w:p>
        </w:tc>
        <w:tc>
          <w:tcPr>
            <w:tcW w:w="2160" w:type="dxa"/>
          </w:tcPr>
          <w:p w14:paraId="0E572C9B" w14:textId="77777777" w:rsidR="00CC3FFF" w:rsidRDefault="00CC3FFF" w:rsidP="005E1E99">
            <w:pPr>
              <w:spacing w:line="480" w:lineRule="auto"/>
              <w:rPr>
                <w:rFonts w:eastAsiaTheme="minorEastAsia"/>
                <w:sz w:val="24"/>
                <w:szCs w:val="24"/>
              </w:rPr>
            </w:pPr>
            <m:oMathPara>
              <m:oMath>
                <m:r>
                  <w:rPr>
                    <w:rFonts w:ascii="Cambria Math" w:eastAsiaTheme="minorEastAsia" w:hAnsi="Cambria Math"/>
                    <w:sz w:val="24"/>
                    <w:szCs w:val="24"/>
                  </w:rPr>
                  <m:t>1≤i≤N</m:t>
                </m:r>
              </m:oMath>
            </m:oMathPara>
          </w:p>
        </w:tc>
        <w:tc>
          <w:tcPr>
            <w:tcW w:w="715" w:type="dxa"/>
          </w:tcPr>
          <w:p w14:paraId="4156FB2B" w14:textId="77777777" w:rsidR="00CC3FFF" w:rsidRDefault="00CC3FFF" w:rsidP="005E1E99">
            <w:pPr>
              <w:spacing w:line="480" w:lineRule="auto"/>
              <w:rPr>
                <w:rFonts w:eastAsiaTheme="minorEastAsia"/>
                <w:sz w:val="24"/>
                <w:szCs w:val="24"/>
              </w:rPr>
            </w:pPr>
            <w:r>
              <w:rPr>
                <w:rFonts w:eastAsiaTheme="minorEastAsia"/>
                <w:sz w:val="24"/>
                <w:szCs w:val="24"/>
              </w:rPr>
              <w:t>(7)</w:t>
            </w:r>
          </w:p>
        </w:tc>
      </w:tr>
      <w:tr w:rsidR="00CC3FFF" w14:paraId="577E50B5" w14:textId="77777777" w:rsidTr="005E1E99">
        <w:tc>
          <w:tcPr>
            <w:tcW w:w="1333" w:type="dxa"/>
          </w:tcPr>
          <w:p w14:paraId="17727754" w14:textId="77777777" w:rsidR="00CC3FFF" w:rsidRDefault="00CC3FFF" w:rsidP="005E1E99">
            <w:pPr>
              <w:spacing w:line="480" w:lineRule="auto"/>
              <w:rPr>
                <w:rFonts w:eastAsiaTheme="minorEastAsia"/>
                <w:sz w:val="24"/>
                <w:szCs w:val="24"/>
              </w:rPr>
            </w:pPr>
          </w:p>
        </w:tc>
        <w:tc>
          <w:tcPr>
            <w:tcW w:w="5142" w:type="dxa"/>
          </w:tcPr>
          <w:p w14:paraId="1D588392" w14:textId="77777777" w:rsidR="00CC3FFF" w:rsidRDefault="00000000" w:rsidP="005E1E99">
            <w:pPr>
              <w:spacing w:line="480" w:lineRule="auto"/>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≥0</m:t>
                </m:r>
              </m:oMath>
            </m:oMathPara>
          </w:p>
        </w:tc>
        <w:tc>
          <w:tcPr>
            <w:tcW w:w="2160" w:type="dxa"/>
          </w:tcPr>
          <w:p w14:paraId="67BC3866" w14:textId="77777777" w:rsidR="00CC3FFF" w:rsidRDefault="00CC3FFF" w:rsidP="005E1E99">
            <w:pPr>
              <w:spacing w:line="480" w:lineRule="auto"/>
              <w:rPr>
                <w:rFonts w:eastAsiaTheme="minorEastAsia"/>
                <w:sz w:val="24"/>
                <w:szCs w:val="24"/>
              </w:rPr>
            </w:pPr>
            <m:oMathPara>
              <m:oMath>
                <m:r>
                  <w:rPr>
                    <w:rFonts w:ascii="Cambria Math" w:eastAsiaTheme="minorEastAsia" w:hAnsi="Cambria Math"/>
                    <w:sz w:val="24"/>
                    <w:szCs w:val="24"/>
                  </w:rPr>
                  <m:t>1≤i≤N</m:t>
                </m:r>
              </m:oMath>
            </m:oMathPara>
          </w:p>
        </w:tc>
        <w:tc>
          <w:tcPr>
            <w:tcW w:w="715" w:type="dxa"/>
          </w:tcPr>
          <w:p w14:paraId="3ACCA262" w14:textId="77777777" w:rsidR="00CC3FFF" w:rsidRDefault="00CC3FFF" w:rsidP="005E1E99">
            <w:pPr>
              <w:spacing w:line="480" w:lineRule="auto"/>
              <w:rPr>
                <w:rFonts w:eastAsiaTheme="minorEastAsia"/>
                <w:sz w:val="24"/>
                <w:szCs w:val="24"/>
              </w:rPr>
            </w:pPr>
            <w:r>
              <w:rPr>
                <w:rFonts w:eastAsiaTheme="minorEastAsia"/>
                <w:sz w:val="24"/>
                <w:szCs w:val="24"/>
              </w:rPr>
              <w:t>(8)</w:t>
            </w:r>
          </w:p>
        </w:tc>
      </w:tr>
      <w:tr w:rsidR="00CC3FFF" w14:paraId="4255AA02" w14:textId="77777777" w:rsidTr="005E1E99">
        <w:tc>
          <w:tcPr>
            <w:tcW w:w="1333" w:type="dxa"/>
          </w:tcPr>
          <w:p w14:paraId="23EB180E" w14:textId="77777777" w:rsidR="00CC3FFF" w:rsidRDefault="00CC3FFF" w:rsidP="005E1E99">
            <w:pPr>
              <w:spacing w:line="480" w:lineRule="auto"/>
              <w:rPr>
                <w:rFonts w:eastAsiaTheme="minorEastAsia"/>
                <w:sz w:val="24"/>
                <w:szCs w:val="24"/>
              </w:rPr>
            </w:pPr>
          </w:p>
        </w:tc>
        <w:tc>
          <w:tcPr>
            <w:tcW w:w="5142" w:type="dxa"/>
          </w:tcPr>
          <w:p w14:paraId="0D06A4EF" w14:textId="77777777" w:rsidR="00CC3FFF" w:rsidRDefault="00000000" w:rsidP="005E1E99">
            <w:pPr>
              <w:spacing w:line="480" w:lineRule="auto"/>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bSup>
                <m:r>
                  <m:rPr>
                    <m:scr m:val="double-struck"/>
                  </m:rPr>
                  <w:rPr>
                    <w:rFonts w:ascii="Cambria Math" w:eastAsiaTheme="minorEastAsia" w:hAnsi="Cambria Math"/>
                    <w:sz w:val="24"/>
                    <w:szCs w:val="24"/>
                  </w:rPr>
                  <m:t>∈R</m:t>
                </m:r>
              </m:oMath>
            </m:oMathPara>
          </w:p>
        </w:tc>
        <w:tc>
          <w:tcPr>
            <w:tcW w:w="2160" w:type="dxa"/>
          </w:tcPr>
          <w:p w14:paraId="52F2221D" w14:textId="77777777" w:rsidR="00CC3FFF" w:rsidRDefault="00CC3FFF" w:rsidP="005E1E99">
            <w:pPr>
              <w:spacing w:line="480" w:lineRule="auto"/>
              <w:rPr>
                <w:rFonts w:eastAsiaTheme="minorEastAsia"/>
                <w:sz w:val="24"/>
                <w:szCs w:val="24"/>
              </w:rPr>
            </w:pPr>
            <m:oMathPara>
              <m:oMath>
                <m:r>
                  <w:rPr>
                    <w:rFonts w:ascii="Cambria Math" w:eastAsiaTheme="minorEastAsia" w:hAnsi="Cambria Math"/>
                    <w:sz w:val="24"/>
                    <w:szCs w:val="24"/>
                  </w:rPr>
                  <m:t>1≤i≤N</m:t>
                </m:r>
                <m:r>
                  <m:rPr>
                    <m:sty m:val="p"/>
                  </m:rPr>
                  <w:rPr>
                    <w:rFonts w:ascii="Cambria Math" w:eastAsiaTheme="minorEastAsia" w:hAnsi="Cambria Math"/>
                    <w:sz w:val="24"/>
                    <w:szCs w:val="24"/>
                  </w:rPr>
                  <w:br/>
                </m:r>
              </m:oMath>
              <m:oMath>
                <m:r>
                  <w:rPr>
                    <w:rFonts w:ascii="Cambria Math" w:eastAsiaTheme="minorEastAsia" w:hAnsi="Cambria Math"/>
                    <w:sz w:val="24"/>
                    <w:szCs w:val="24"/>
                  </w:rPr>
                  <m:t>k∈{growth,stat}</m:t>
                </m:r>
              </m:oMath>
            </m:oMathPara>
          </w:p>
        </w:tc>
        <w:tc>
          <w:tcPr>
            <w:tcW w:w="715" w:type="dxa"/>
          </w:tcPr>
          <w:p w14:paraId="2E13A2B4" w14:textId="77777777" w:rsidR="00CC3FFF" w:rsidRDefault="00CC3FFF" w:rsidP="005E1E99">
            <w:pPr>
              <w:spacing w:line="480" w:lineRule="auto"/>
              <w:rPr>
                <w:rFonts w:eastAsiaTheme="minorEastAsia"/>
                <w:sz w:val="24"/>
                <w:szCs w:val="24"/>
              </w:rPr>
            </w:pPr>
            <w:r>
              <w:rPr>
                <w:rFonts w:eastAsiaTheme="minorEastAsia"/>
                <w:sz w:val="24"/>
                <w:szCs w:val="24"/>
              </w:rPr>
              <w:t>(9)</w:t>
            </w:r>
          </w:p>
        </w:tc>
      </w:tr>
    </w:tbl>
    <w:p w14:paraId="6B67E7AA" w14:textId="77777777" w:rsidR="00CC3FFF" w:rsidRDefault="00CC3FFF" w:rsidP="00CC3FFF">
      <w:pPr>
        <w:spacing w:line="480" w:lineRule="auto"/>
        <w:rPr>
          <w:rFonts w:eastAsiaTheme="minorEastAsia"/>
          <w:sz w:val="24"/>
          <w:szCs w:val="24"/>
        </w:rPr>
      </w:pPr>
    </w:p>
    <w:p w14:paraId="0C2F55E7" w14:textId="77777777" w:rsidR="00CC3FFF" w:rsidRDefault="00CC3FFF" w:rsidP="00CC3FFF">
      <w:pPr>
        <w:spacing w:line="480" w:lineRule="auto"/>
        <w:rPr>
          <w:rFonts w:eastAsiaTheme="minorEastAsia"/>
          <w:sz w:val="24"/>
          <w:szCs w:val="24"/>
        </w:rPr>
      </w:pPr>
      <w:r>
        <w:rPr>
          <w:rFonts w:eastAsiaTheme="minorEastAsia"/>
          <w:sz w:val="24"/>
          <w:szCs w:val="24"/>
        </w:rPr>
        <w:t xml:space="preserve">Kinetic parameters need only be computed for fluxes corresponding to taken up quantities. The kinetic rate law is defined using a Michaelis-Menten-type equation. We fix the parameters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m</m:t>
            </m:r>
          </m:sub>
        </m:sSub>
      </m:oMath>
      <w:r>
        <w:rPr>
          <w:rFonts w:eastAsiaTheme="minorEastAsia"/>
          <w:sz w:val="24"/>
          <w:szCs w:val="24"/>
        </w:rPr>
        <w:t xml:space="preserve"> and all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bSup>
        <m:r>
          <w:rPr>
            <w:rFonts w:ascii="Cambria Math" w:eastAsiaTheme="minorEastAsia" w:hAnsi="Cambria Math"/>
            <w:sz w:val="24"/>
            <w:szCs w:val="24"/>
          </w:rPr>
          <m:t>≥0</m:t>
        </m:r>
      </m:oMath>
      <w:r>
        <w:rPr>
          <w:rFonts w:eastAsiaTheme="minorEastAsia"/>
          <w:sz w:val="24"/>
          <w:szCs w:val="24"/>
        </w:rPr>
        <w:t xml:space="preserve">, replace all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bSup>
        <m:r>
          <w:rPr>
            <w:rFonts w:ascii="Cambria Math" w:eastAsiaTheme="minorEastAsia" w:hAnsi="Cambria Math"/>
            <w:sz w:val="24"/>
            <w:szCs w:val="24"/>
          </w:rPr>
          <m:t>&lt;0</m:t>
        </m:r>
      </m:oMath>
      <w:r>
        <w:rPr>
          <w:rFonts w:eastAsiaTheme="minorEastAsia"/>
          <w:sz w:val="24"/>
          <w:szCs w:val="24"/>
        </w:rPr>
        <w:t xml:space="preserve"> with the kinetic rate law and solve the above optimization problem again to compute the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MAX</m:t>
            </m:r>
          </m:sub>
        </m:sSub>
      </m:oMath>
      <w:r>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M</m:t>
            </m:r>
          </m:sub>
        </m:sSub>
      </m:oMath>
      <w:r>
        <w:rPr>
          <w:rFonts w:eastAsiaTheme="minorEastAsia"/>
          <w:sz w:val="24"/>
          <w:szCs w:val="24"/>
        </w:rPr>
        <w:t xml:space="preserve"> terms to modulate the uptake of quantities based on the reactor concentration.  The NLP problem was solved using the fmincon function within the Optimization Toolbox in MATLAB</w:t>
      </w:r>
      <w:r w:rsidRPr="00014592">
        <w:rPr>
          <w:rFonts w:eastAsiaTheme="minorEastAsia"/>
          <w:sz w:val="24"/>
          <w:szCs w:val="24"/>
          <w:vertAlign w:val="superscript"/>
        </w:rPr>
        <w:t>TM</w:t>
      </w:r>
      <w:r>
        <w:rPr>
          <w:rFonts w:eastAsiaTheme="minorEastAsia"/>
          <w:sz w:val="24"/>
          <w:szCs w:val="24"/>
        </w:rPr>
        <w:t>.</w:t>
      </w:r>
    </w:p>
    <w:p w14:paraId="20B43CD9" w14:textId="13318962" w:rsidR="00CC3FFF" w:rsidRPr="003D6DAD" w:rsidRDefault="00CC3FFF" w:rsidP="003D6DAD">
      <w:pPr>
        <w:pStyle w:val="ListParagraph"/>
        <w:numPr>
          <w:ilvl w:val="1"/>
          <w:numId w:val="2"/>
        </w:numPr>
        <w:spacing w:line="480" w:lineRule="auto"/>
        <w:ind w:left="720"/>
        <w:jc w:val="both"/>
        <w:rPr>
          <w:b/>
          <w:bCs/>
          <w:sz w:val="24"/>
          <w:szCs w:val="24"/>
        </w:rPr>
      </w:pPr>
      <w:r w:rsidRPr="003D6DAD">
        <w:rPr>
          <w:b/>
          <w:bCs/>
          <w:sz w:val="24"/>
          <w:szCs w:val="24"/>
        </w:rPr>
        <w:t>Mining metabolic tasks and task efficiencies</w:t>
      </w:r>
    </w:p>
    <w:p w14:paraId="3611D4ED" w14:textId="77777777" w:rsidR="00CC3FFF" w:rsidRDefault="00CC3FFF" w:rsidP="00CC3FFF">
      <w:pPr>
        <w:spacing w:line="480" w:lineRule="auto"/>
        <w:rPr>
          <w:sz w:val="24"/>
          <w:szCs w:val="24"/>
        </w:rPr>
      </w:pPr>
      <w:r>
        <w:rPr>
          <w:sz w:val="24"/>
          <w:szCs w:val="24"/>
        </w:rPr>
        <w:t xml:space="preserve">We first classify the growth rate, antibody productivity, and the secreted metabolites in each phase as metabolic tasks. In order to accurately simulate the intracellular flux distribution for a </w:t>
      </w:r>
      <w:r>
        <w:rPr>
          <w:sz w:val="24"/>
          <w:szCs w:val="24"/>
        </w:rPr>
        <w:lastRenderedPageBreak/>
        <w:t xml:space="preserve">given set of nutrient uptake rates, we must rank the metabolic tasks based on resource allocation determined using the </w:t>
      </w:r>
      <w:r w:rsidRPr="000D6C3E">
        <w:rPr>
          <w:i/>
          <w:iCs/>
          <w:sz w:val="24"/>
          <w:szCs w:val="24"/>
        </w:rPr>
        <w:t>i</w:t>
      </w:r>
      <w:r>
        <w:rPr>
          <w:sz w:val="24"/>
          <w:szCs w:val="24"/>
        </w:rPr>
        <w:t>CHO1766 metabolic model. We also define “task efficiency” as the ratio of measured flux through a metabolic task to the maximum flux predicted using the metabolic model. The metabolic task priority and efficiencies for each phase are computed using the following algorithm.</w:t>
      </w:r>
    </w:p>
    <w:tbl>
      <w:tblPr>
        <w:tblStyle w:val="TableGrid"/>
        <w:tblW w:w="0" w:type="auto"/>
        <w:tblLook w:val="04A0" w:firstRow="1" w:lastRow="0" w:firstColumn="1" w:lastColumn="0" w:noHBand="0" w:noVBand="1"/>
      </w:tblPr>
      <w:tblGrid>
        <w:gridCol w:w="1165"/>
        <w:gridCol w:w="8185"/>
      </w:tblGrid>
      <w:tr w:rsidR="00CC3FFF" w14:paraId="6BD333BC" w14:textId="77777777" w:rsidTr="00267A03">
        <w:tc>
          <w:tcPr>
            <w:tcW w:w="1165" w:type="dxa"/>
          </w:tcPr>
          <w:p w14:paraId="65226A8D" w14:textId="77777777" w:rsidR="00CC3FFF" w:rsidRDefault="00CC3FFF" w:rsidP="005E1E99">
            <w:pPr>
              <w:spacing w:line="480" w:lineRule="auto"/>
              <w:rPr>
                <w:sz w:val="24"/>
                <w:szCs w:val="24"/>
              </w:rPr>
            </w:pPr>
            <w:r>
              <w:rPr>
                <w:sz w:val="24"/>
                <w:szCs w:val="24"/>
              </w:rPr>
              <w:t>Step 1:</w:t>
            </w:r>
          </w:p>
        </w:tc>
        <w:tc>
          <w:tcPr>
            <w:tcW w:w="8185" w:type="dxa"/>
          </w:tcPr>
          <w:p w14:paraId="745E96FC" w14:textId="77777777" w:rsidR="00CC3FFF" w:rsidRDefault="00CC3FFF" w:rsidP="005E1E99">
            <w:pPr>
              <w:spacing w:line="480" w:lineRule="auto"/>
              <w:rPr>
                <w:sz w:val="24"/>
                <w:szCs w:val="24"/>
              </w:rPr>
            </w:pPr>
            <w:r>
              <w:rPr>
                <w:sz w:val="24"/>
                <w:szCs w:val="24"/>
              </w:rPr>
              <w:t>Impose the uptake rates of measured metabolites as bounds in the metabolic model.</w:t>
            </w:r>
          </w:p>
        </w:tc>
      </w:tr>
      <w:tr w:rsidR="00CC3FFF" w14:paraId="452FCE4E" w14:textId="77777777" w:rsidTr="00267A03">
        <w:tc>
          <w:tcPr>
            <w:tcW w:w="1165" w:type="dxa"/>
          </w:tcPr>
          <w:p w14:paraId="2074AC9C" w14:textId="77777777" w:rsidR="00CC3FFF" w:rsidRDefault="00CC3FFF" w:rsidP="005E1E99">
            <w:pPr>
              <w:spacing w:line="480" w:lineRule="auto"/>
              <w:rPr>
                <w:sz w:val="24"/>
                <w:szCs w:val="24"/>
              </w:rPr>
            </w:pPr>
            <w:r>
              <w:rPr>
                <w:sz w:val="24"/>
                <w:szCs w:val="24"/>
              </w:rPr>
              <w:t>Step 2:</w:t>
            </w:r>
          </w:p>
        </w:tc>
        <w:tc>
          <w:tcPr>
            <w:tcW w:w="8185" w:type="dxa"/>
          </w:tcPr>
          <w:p w14:paraId="370E9325" w14:textId="4CAFDFF7" w:rsidR="00CC3FFF" w:rsidRDefault="00CC3FFF" w:rsidP="005E1E99">
            <w:pPr>
              <w:spacing w:line="480" w:lineRule="auto"/>
              <w:rPr>
                <w:sz w:val="24"/>
                <w:szCs w:val="24"/>
              </w:rPr>
            </w:pPr>
            <w:r>
              <w:rPr>
                <w:sz w:val="24"/>
                <w:szCs w:val="24"/>
              </w:rPr>
              <w:t xml:space="preserve">Set </w:t>
            </w:r>
            <m:oMath>
              <m:r>
                <w:rPr>
                  <w:rFonts w:ascii="Cambria Math" w:hAnsi="Cambria Math"/>
                  <w:sz w:val="24"/>
                  <w:szCs w:val="24"/>
                </w:rPr>
                <m:t>L = list of measured products</m:t>
              </m:r>
            </m:oMath>
            <w:r>
              <w:rPr>
                <w:sz w:val="24"/>
                <w:szCs w:val="24"/>
              </w:rPr>
              <w:t xml:space="preserve">, </w:t>
            </w:r>
            <m:oMath>
              <m:r>
                <w:rPr>
                  <w:rFonts w:ascii="Cambria Math" w:hAnsi="Cambria Math"/>
                  <w:sz w:val="24"/>
                  <w:szCs w:val="24"/>
                </w:rPr>
                <m:t>N = number of measured products</m:t>
              </m:r>
            </m:oMath>
            <w:r>
              <w:rPr>
                <w:sz w:val="24"/>
                <w:szCs w:val="24"/>
              </w:rPr>
              <w:t xml:space="preserve"> and </w:t>
            </w:r>
            <m:oMath>
              <m:r>
                <w:rPr>
                  <w:rFonts w:ascii="Cambria Math" w:hAnsi="Cambria Math"/>
                  <w:sz w:val="24"/>
                  <w:szCs w:val="24"/>
                </w:rPr>
                <m:t>i = 0</m:t>
              </m:r>
            </m:oMath>
            <w:r>
              <w:rPr>
                <w:sz w:val="24"/>
                <w:szCs w:val="24"/>
              </w:rPr>
              <w:t>.</w:t>
            </w:r>
          </w:p>
        </w:tc>
      </w:tr>
      <w:tr w:rsidR="00CC3FFF" w14:paraId="2018EE7C" w14:textId="77777777" w:rsidTr="00267A03">
        <w:tc>
          <w:tcPr>
            <w:tcW w:w="1165" w:type="dxa"/>
          </w:tcPr>
          <w:p w14:paraId="560A5456" w14:textId="77777777" w:rsidR="00CC3FFF" w:rsidRDefault="00CC3FFF" w:rsidP="005E1E99">
            <w:pPr>
              <w:spacing w:line="480" w:lineRule="auto"/>
              <w:rPr>
                <w:sz w:val="24"/>
                <w:szCs w:val="24"/>
              </w:rPr>
            </w:pPr>
            <w:r>
              <w:rPr>
                <w:sz w:val="24"/>
                <w:szCs w:val="24"/>
              </w:rPr>
              <w:t>Step 3:</w:t>
            </w:r>
          </w:p>
        </w:tc>
        <w:tc>
          <w:tcPr>
            <w:tcW w:w="8185" w:type="dxa"/>
          </w:tcPr>
          <w:p w14:paraId="65524473" w14:textId="4551866A" w:rsidR="00CC3FFF" w:rsidRDefault="00CC3FFF" w:rsidP="005E1E99">
            <w:pPr>
              <w:spacing w:line="480" w:lineRule="auto"/>
              <w:rPr>
                <w:sz w:val="24"/>
                <w:szCs w:val="24"/>
              </w:rPr>
            </w:pPr>
            <w:r>
              <w:rPr>
                <w:sz w:val="24"/>
                <w:szCs w:val="24"/>
              </w:rPr>
              <w:t xml:space="preserve">Set </w:t>
            </w:r>
            <m:oMath>
              <m:r>
                <w:rPr>
                  <w:rFonts w:ascii="Cambria Math" w:hAnsi="Cambria Math"/>
                  <w:sz w:val="24"/>
                  <w:szCs w:val="24"/>
                </w:rPr>
                <m:t>i = i+1</m:t>
              </m:r>
            </m:oMath>
          </w:p>
        </w:tc>
      </w:tr>
      <w:tr w:rsidR="00CC3FFF" w14:paraId="4010BF86" w14:textId="77777777" w:rsidTr="00267A03">
        <w:tc>
          <w:tcPr>
            <w:tcW w:w="1165" w:type="dxa"/>
          </w:tcPr>
          <w:p w14:paraId="7781C470" w14:textId="77777777" w:rsidR="00CC3FFF" w:rsidRDefault="00CC3FFF" w:rsidP="005E1E99">
            <w:pPr>
              <w:spacing w:line="480" w:lineRule="auto"/>
              <w:rPr>
                <w:sz w:val="24"/>
                <w:szCs w:val="24"/>
              </w:rPr>
            </w:pPr>
            <w:r>
              <w:rPr>
                <w:sz w:val="24"/>
                <w:szCs w:val="24"/>
              </w:rPr>
              <w:t>Step 4:</w:t>
            </w:r>
          </w:p>
        </w:tc>
        <w:tc>
          <w:tcPr>
            <w:tcW w:w="8185" w:type="dxa"/>
          </w:tcPr>
          <w:p w14:paraId="485A0222" w14:textId="74EE9126" w:rsidR="00CC3FFF" w:rsidRDefault="00CC3FFF" w:rsidP="005E1E99">
            <w:pPr>
              <w:spacing w:line="480" w:lineRule="auto"/>
              <w:rPr>
                <w:sz w:val="24"/>
                <w:szCs w:val="24"/>
              </w:rPr>
            </w:pPr>
            <w:r>
              <w:rPr>
                <w:sz w:val="24"/>
                <w:szCs w:val="24"/>
              </w:rPr>
              <w:t xml:space="preserve">Using FBA, compute the maximum flux through each product in </w:t>
            </w:r>
            <m:oMath>
              <m:r>
                <w:rPr>
                  <w:rFonts w:ascii="Cambria Math" w:hAnsi="Cambria Math"/>
                  <w:sz w:val="24"/>
                  <w:szCs w:val="24"/>
                </w:rPr>
                <m:t>L</m:t>
              </m:r>
            </m:oMath>
            <w:r>
              <w:rPr>
                <w:sz w:val="24"/>
                <w:szCs w:val="24"/>
              </w:rPr>
              <w:t>.</w:t>
            </w:r>
          </w:p>
        </w:tc>
      </w:tr>
      <w:tr w:rsidR="00CC3FFF" w14:paraId="2852B4DF" w14:textId="77777777" w:rsidTr="00267A03">
        <w:tc>
          <w:tcPr>
            <w:tcW w:w="1165" w:type="dxa"/>
          </w:tcPr>
          <w:p w14:paraId="5D90441B" w14:textId="77777777" w:rsidR="00CC3FFF" w:rsidRDefault="00CC3FFF" w:rsidP="005E1E99">
            <w:pPr>
              <w:spacing w:line="480" w:lineRule="auto"/>
              <w:rPr>
                <w:sz w:val="24"/>
                <w:szCs w:val="24"/>
              </w:rPr>
            </w:pPr>
            <w:r>
              <w:rPr>
                <w:sz w:val="24"/>
                <w:szCs w:val="24"/>
              </w:rPr>
              <w:t>Step 5:</w:t>
            </w:r>
          </w:p>
        </w:tc>
        <w:tc>
          <w:tcPr>
            <w:tcW w:w="8185" w:type="dxa"/>
          </w:tcPr>
          <w:p w14:paraId="0291A424" w14:textId="66919004" w:rsidR="00CC3FFF" w:rsidRDefault="00CC3FFF" w:rsidP="005E1E99">
            <w:pPr>
              <w:spacing w:line="480" w:lineRule="auto"/>
              <w:rPr>
                <w:sz w:val="24"/>
                <w:szCs w:val="24"/>
              </w:rPr>
            </w:pPr>
            <w:r>
              <w:rPr>
                <w:sz w:val="24"/>
                <w:szCs w:val="24"/>
              </w:rPr>
              <w:t xml:space="preserve">Compute </w:t>
            </w:r>
            <m:oMath>
              <m:r>
                <w:rPr>
                  <w:rFonts w:ascii="Cambria Math" w:hAnsi="Cambria Math"/>
                  <w:sz w:val="24"/>
                  <w:szCs w:val="24"/>
                </w:rPr>
                <m:t>task efficiency =</m:t>
              </m:r>
              <m:f>
                <m:fPr>
                  <m:ctrlPr>
                    <w:rPr>
                      <w:rFonts w:ascii="Cambria Math" w:hAnsi="Cambria Math"/>
                      <w:i/>
                      <w:sz w:val="24"/>
                      <w:szCs w:val="24"/>
                    </w:rPr>
                  </m:ctrlPr>
                </m:fPr>
                <m:num>
                  <m:r>
                    <w:rPr>
                      <w:rFonts w:ascii="Cambria Math" w:hAnsi="Cambria Math"/>
                      <w:sz w:val="24"/>
                      <w:szCs w:val="24"/>
                    </w:rPr>
                    <m:t>measured flux</m:t>
                  </m:r>
                </m:num>
                <m:den>
                  <m:r>
                    <w:rPr>
                      <w:rFonts w:ascii="Cambria Math" w:hAnsi="Cambria Math"/>
                      <w:sz w:val="24"/>
                      <w:szCs w:val="24"/>
                    </w:rPr>
                    <m:t>max flux</m:t>
                  </m:r>
                </m:den>
              </m:f>
              <m:r>
                <w:rPr>
                  <w:rFonts w:ascii="Cambria Math" w:hAnsi="Cambria Math"/>
                  <w:sz w:val="24"/>
                  <w:szCs w:val="24"/>
                </w:rPr>
                <m:t xml:space="preserve"> </m:t>
              </m:r>
            </m:oMath>
            <w:r>
              <w:rPr>
                <w:sz w:val="24"/>
                <w:szCs w:val="24"/>
              </w:rPr>
              <w:t xml:space="preserve"> for each product in </w:t>
            </w:r>
            <m:oMath>
              <m:r>
                <w:rPr>
                  <w:rFonts w:ascii="Cambria Math" w:hAnsi="Cambria Math"/>
                  <w:sz w:val="24"/>
                  <w:szCs w:val="24"/>
                </w:rPr>
                <m:t>L</m:t>
              </m:r>
            </m:oMath>
            <w:r w:rsidR="00267A03">
              <w:rPr>
                <w:rFonts w:eastAsiaTheme="minorEastAsia"/>
                <w:sz w:val="24"/>
                <w:szCs w:val="24"/>
              </w:rPr>
              <w:t>.</w:t>
            </w:r>
          </w:p>
        </w:tc>
      </w:tr>
      <w:tr w:rsidR="00CC3FFF" w14:paraId="092CC92E" w14:textId="77777777" w:rsidTr="00267A03">
        <w:tc>
          <w:tcPr>
            <w:tcW w:w="1165" w:type="dxa"/>
          </w:tcPr>
          <w:p w14:paraId="07F1A6E9" w14:textId="77777777" w:rsidR="00CC3FFF" w:rsidRDefault="00CC3FFF" w:rsidP="005E1E99">
            <w:pPr>
              <w:spacing w:line="480" w:lineRule="auto"/>
              <w:rPr>
                <w:sz w:val="24"/>
                <w:szCs w:val="24"/>
              </w:rPr>
            </w:pPr>
            <w:r>
              <w:rPr>
                <w:sz w:val="24"/>
                <w:szCs w:val="24"/>
              </w:rPr>
              <w:t>Step 6:</w:t>
            </w:r>
          </w:p>
        </w:tc>
        <w:tc>
          <w:tcPr>
            <w:tcW w:w="8185" w:type="dxa"/>
          </w:tcPr>
          <w:p w14:paraId="5C9CDF3B" w14:textId="70ED902C" w:rsidR="00CC3FFF" w:rsidRDefault="00CC3FFF" w:rsidP="005E1E99">
            <w:pPr>
              <w:spacing w:line="480" w:lineRule="auto"/>
              <w:rPr>
                <w:sz w:val="24"/>
                <w:szCs w:val="24"/>
              </w:rPr>
            </w:pPr>
            <w:r>
              <w:rPr>
                <w:sz w:val="24"/>
                <w:szCs w:val="24"/>
              </w:rPr>
              <w:t xml:space="preserve">Assign the product with the highest task efficiency to </w:t>
            </w:r>
            <m:oMath>
              <m:r>
                <w:rPr>
                  <w:rFonts w:ascii="Cambria Math" w:hAnsi="Cambria Math"/>
                  <w:sz w:val="24"/>
                  <w:szCs w:val="24"/>
                </w:rPr>
                <m:t>Priority i</m:t>
              </m:r>
            </m:oMath>
            <w:r>
              <w:rPr>
                <w:sz w:val="24"/>
                <w:szCs w:val="24"/>
              </w:rPr>
              <w:t xml:space="preserve">. Assign the corresponding task efficiency to </w:t>
            </w:r>
            <m:oMath>
              <m:r>
                <w:rPr>
                  <w:rFonts w:ascii="Cambria Math" w:hAnsi="Cambria Math"/>
                  <w:sz w:val="24"/>
                  <w:szCs w:val="24"/>
                </w:rPr>
                <m:t>Efficiency i</m:t>
              </m:r>
            </m:oMath>
            <w:r>
              <w:rPr>
                <w:sz w:val="24"/>
                <w:szCs w:val="24"/>
              </w:rPr>
              <w:t xml:space="preserve">. </w:t>
            </w:r>
          </w:p>
        </w:tc>
      </w:tr>
      <w:tr w:rsidR="00CC3FFF" w14:paraId="66C0D98A" w14:textId="77777777" w:rsidTr="00267A03">
        <w:tc>
          <w:tcPr>
            <w:tcW w:w="1165" w:type="dxa"/>
          </w:tcPr>
          <w:p w14:paraId="162EAF06" w14:textId="77777777" w:rsidR="00CC3FFF" w:rsidRDefault="00CC3FFF" w:rsidP="005E1E99">
            <w:pPr>
              <w:spacing w:line="480" w:lineRule="auto"/>
              <w:rPr>
                <w:sz w:val="24"/>
                <w:szCs w:val="24"/>
              </w:rPr>
            </w:pPr>
            <w:r>
              <w:rPr>
                <w:sz w:val="24"/>
                <w:szCs w:val="24"/>
              </w:rPr>
              <w:t>Step 7:</w:t>
            </w:r>
          </w:p>
        </w:tc>
        <w:tc>
          <w:tcPr>
            <w:tcW w:w="8185" w:type="dxa"/>
          </w:tcPr>
          <w:p w14:paraId="17FD2D55" w14:textId="56D1F42E" w:rsidR="00CC3FFF" w:rsidRDefault="00CC3FFF" w:rsidP="005E1E99">
            <w:pPr>
              <w:spacing w:line="480" w:lineRule="auto"/>
              <w:rPr>
                <w:sz w:val="24"/>
                <w:szCs w:val="24"/>
              </w:rPr>
            </w:pPr>
            <w:r>
              <w:rPr>
                <w:sz w:val="24"/>
                <w:szCs w:val="24"/>
              </w:rPr>
              <w:t xml:space="preserve">Set the lower bound of flux through </w:t>
            </w:r>
            <m:oMath>
              <m:r>
                <w:rPr>
                  <w:rFonts w:ascii="Cambria Math" w:hAnsi="Cambria Math"/>
                  <w:sz w:val="24"/>
                  <w:szCs w:val="24"/>
                </w:rPr>
                <m:t>Priority i</m:t>
              </m:r>
            </m:oMath>
            <w:r>
              <w:rPr>
                <w:sz w:val="24"/>
                <w:szCs w:val="24"/>
              </w:rPr>
              <w:t xml:space="preserve"> to the measured flux. Remove Priority i from L.</w:t>
            </w:r>
          </w:p>
        </w:tc>
      </w:tr>
      <w:tr w:rsidR="00CC3FFF" w14:paraId="77A4EE2C" w14:textId="77777777" w:rsidTr="00267A03">
        <w:tc>
          <w:tcPr>
            <w:tcW w:w="1165" w:type="dxa"/>
          </w:tcPr>
          <w:p w14:paraId="0F665DCD" w14:textId="77777777" w:rsidR="00CC3FFF" w:rsidRDefault="00CC3FFF" w:rsidP="005E1E99">
            <w:pPr>
              <w:spacing w:line="480" w:lineRule="auto"/>
              <w:rPr>
                <w:sz w:val="24"/>
                <w:szCs w:val="24"/>
              </w:rPr>
            </w:pPr>
            <w:r>
              <w:rPr>
                <w:sz w:val="24"/>
                <w:szCs w:val="24"/>
              </w:rPr>
              <w:t>Step 8:</w:t>
            </w:r>
          </w:p>
        </w:tc>
        <w:tc>
          <w:tcPr>
            <w:tcW w:w="8185" w:type="dxa"/>
          </w:tcPr>
          <w:p w14:paraId="65292CB4" w14:textId="72389A4A" w:rsidR="00CC3FFF" w:rsidRDefault="00CC3FFF" w:rsidP="005E1E99">
            <w:pPr>
              <w:spacing w:line="480" w:lineRule="auto"/>
              <w:rPr>
                <w:sz w:val="24"/>
                <w:szCs w:val="24"/>
              </w:rPr>
            </w:pPr>
            <w:r>
              <w:rPr>
                <w:sz w:val="24"/>
                <w:szCs w:val="24"/>
              </w:rPr>
              <w:t xml:space="preserve">If </w:t>
            </w:r>
            <m:oMath>
              <m:r>
                <w:rPr>
                  <w:rFonts w:ascii="Cambria Math" w:hAnsi="Cambria Math"/>
                  <w:sz w:val="24"/>
                  <w:szCs w:val="24"/>
                </w:rPr>
                <m:t>L</m:t>
              </m:r>
            </m:oMath>
            <w:r>
              <w:rPr>
                <w:sz w:val="24"/>
                <w:szCs w:val="24"/>
              </w:rPr>
              <w:t xml:space="preserve"> is empty, then STOP. Otherwise, repeat Steps 3 – 7.</w:t>
            </w:r>
          </w:p>
        </w:tc>
      </w:tr>
    </w:tbl>
    <w:p w14:paraId="7F26E370" w14:textId="77777777" w:rsidR="0027174D" w:rsidRDefault="0027174D"/>
    <w:p w14:paraId="6DC058B2" w14:textId="77777777" w:rsidR="0030193A" w:rsidRDefault="0030193A"/>
    <w:p w14:paraId="2F7EBD05" w14:textId="46CDF33C" w:rsidR="003D6DAD" w:rsidRDefault="003D6DAD">
      <w:r>
        <w:br w:type="page"/>
      </w:r>
    </w:p>
    <w:p w14:paraId="65F92A19" w14:textId="48B536A5" w:rsidR="0030193A" w:rsidRPr="00806F84" w:rsidRDefault="003D6DAD" w:rsidP="003D6DAD">
      <w:pPr>
        <w:pStyle w:val="ListParagraph"/>
        <w:numPr>
          <w:ilvl w:val="0"/>
          <w:numId w:val="2"/>
        </w:numPr>
        <w:ind w:left="360"/>
        <w:rPr>
          <w:b/>
          <w:bCs/>
        </w:rPr>
      </w:pPr>
      <w:r w:rsidRPr="00806F84">
        <w:rPr>
          <w:b/>
          <w:bCs/>
        </w:rPr>
        <w:lastRenderedPageBreak/>
        <w:t>Supplementary Results</w:t>
      </w:r>
    </w:p>
    <w:p w14:paraId="341C1F17" w14:textId="73C3C3E5" w:rsidR="003D6DAD" w:rsidRDefault="003D6DAD" w:rsidP="003D6DAD">
      <w:r>
        <w:t>We performed a Principal Component Analysis (PCA) on the state-specific fluxes computed as described in section 2.1. The data was normalized by computing the Z-score as described in equation (10)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3"/>
        <w:gridCol w:w="5142"/>
        <w:gridCol w:w="2160"/>
        <w:gridCol w:w="715"/>
      </w:tblGrid>
      <w:tr w:rsidR="003D6DAD" w14:paraId="3A1572DB" w14:textId="77777777" w:rsidTr="003D6DAD">
        <w:tc>
          <w:tcPr>
            <w:tcW w:w="1333" w:type="dxa"/>
          </w:tcPr>
          <w:p w14:paraId="451FF8A3" w14:textId="77777777" w:rsidR="003D6DAD" w:rsidRDefault="003D6DAD" w:rsidP="00460473">
            <w:pPr>
              <w:spacing w:line="480" w:lineRule="auto"/>
              <w:rPr>
                <w:rFonts w:eastAsiaTheme="minorEastAsia"/>
                <w:sz w:val="24"/>
                <w:szCs w:val="24"/>
              </w:rPr>
            </w:pPr>
          </w:p>
        </w:tc>
        <w:tc>
          <w:tcPr>
            <w:tcW w:w="5142" w:type="dxa"/>
          </w:tcPr>
          <w:p w14:paraId="769251CA" w14:textId="6BB11425" w:rsidR="003D6DAD" w:rsidRDefault="00000000" w:rsidP="00460473">
            <w:pPr>
              <w:spacing w:line="480" w:lineRule="auto"/>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ij</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i</m:t>
                        </m:r>
                      </m:sub>
                    </m:sSub>
                  </m:den>
                </m:f>
              </m:oMath>
            </m:oMathPara>
          </w:p>
        </w:tc>
        <w:tc>
          <w:tcPr>
            <w:tcW w:w="2160" w:type="dxa"/>
          </w:tcPr>
          <w:p w14:paraId="6658A4A5" w14:textId="66D6FF12" w:rsidR="003D6DAD" w:rsidRDefault="003D6DAD" w:rsidP="00460473">
            <w:pPr>
              <w:spacing w:line="480" w:lineRule="auto"/>
              <w:rPr>
                <w:rFonts w:eastAsiaTheme="minorEastAsia"/>
                <w:sz w:val="24"/>
                <w:szCs w:val="24"/>
              </w:rPr>
            </w:pPr>
          </w:p>
        </w:tc>
        <w:tc>
          <w:tcPr>
            <w:tcW w:w="715" w:type="dxa"/>
          </w:tcPr>
          <w:p w14:paraId="71B14E4A" w14:textId="72EB08E4" w:rsidR="003D6DAD" w:rsidRDefault="003D6DAD" w:rsidP="003D6DAD">
            <w:pPr>
              <w:spacing w:line="480" w:lineRule="auto"/>
              <w:jc w:val="right"/>
              <w:rPr>
                <w:rFonts w:eastAsiaTheme="minorEastAsia"/>
                <w:sz w:val="24"/>
                <w:szCs w:val="24"/>
              </w:rPr>
            </w:pPr>
            <w:r>
              <w:rPr>
                <w:rFonts w:eastAsiaTheme="minorEastAsia"/>
                <w:sz w:val="24"/>
                <w:szCs w:val="24"/>
              </w:rPr>
              <w:t>(10)</w:t>
            </w:r>
          </w:p>
        </w:tc>
      </w:tr>
    </w:tbl>
    <w:p w14:paraId="667F8495" w14:textId="02621EC4" w:rsidR="003D6DAD" w:rsidRDefault="003D6DAD" w:rsidP="003D6DAD">
      <w:r>
        <w:t>In the above equation,</w:t>
      </w:r>
    </w:p>
    <w:p w14:paraId="687EE611" w14:textId="550D1373" w:rsidR="003D6DAD" w:rsidRDefault="00000000" w:rsidP="003D6DAD">
      <w:pP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ij</m:t>
            </m:r>
          </m:sub>
        </m:sSub>
      </m:oMath>
      <w:r w:rsidR="003D6DAD">
        <w:rPr>
          <w:rFonts w:eastAsiaTheme="minorEastAsia"/>
        </w:rPr>
        <w:t xml:space="preserve"> is the normalized uptake/secretion flux of metabolite </w:t>
      </w:r>
      <m:oMath>
        <m:r>
          <w:rPr>
            <w:rFonts w:ascii="Cambria Math" w:eastAsiaTheme="minorEastAsia" w:hAnsi="Cambria Math"/>
          </w:rPr>
          <m:t>i</m:t>
        </m:r>
      </m:oMath>
      <w:r w:rsidR="003D6DAD">
        <w:rPr>
          <w:rFonts w:eastAsiaTheme="minorEastAsia"/>
        </w:rPr>
        <w:t xml:space="preserve"> in condition </w:t>
      </w:r>
      <m:oMath>
        <m:r>
          <w:rPr>
            <w:rFonts w:ascii="Cambria Math" w:eastAsiaTheme="minorEastAsia" w:hAnsi="Cambria Math"/>
          </w:rPr>
          <m:t>j</m:t>
        </m:r>
      </m:oMath>
      <w:r w:rsidR="00AD498E">
        <w:rPr>
          <w:rFonts w:eastAsiaTheme="minorEastAsia"/>
        </w:rPr>
        <w:t>.</w:t>
      </w:r>
    </w:p>
    <w:p w14:paraId="38BDF654" w14:textId="71AFF6D8" w:rsidR="003D6DAD" w:rsidRDefault="00000000" w:rsidP="003D6DAD">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3D6DAD">
        <w:rPr>
          <w:rFonts w:eastAsiaTheme="minorEastAsia"/>
        </w:rPr>
        <w:t xml:space="preserve"> is the computed uptake/secretion flux of metabolite </w:t>
      </w:r>
      <m:oMath>
        <m:r>
          <w:rPr>
            <w:rFonts w:ascii="Cambria Math" w:eastAsiaTheme="minorEastAsia" w:hAnsi="Cambria Math"/>
          </w:rPr>
          <m:t>i</m:t>
        </m:r>
      </m:oMath>
      <w:r w:rsidR="003D6DAD">
        <w:rPr>
          <w:rFonts w:eastAsiaTheme="minorEastAsia"/>
        </w:rPr>
        <w:t xml:space="preserve"> in condition </w:t>
      </w:r>
      <m:oMath>
        <m:r>
          <w:rPr>
            <w:rFonts w:ascii="Cambria Math" w:eastAsiaTheme="minorEastAsia" w:hAnsi="Cambria Math"/>
          </w:rPr>
          <m:t>j</m:t>
        </m:r>
      </m:oMath>
      <w:r w:rsidR="00AD498E">
        <w:rPr>
          <w:rFonts w:eastAsiaTheme="minorEastAsia"/>
        </w:rPr>
        <w:t>.</w:t>
      </w:r>
    </w:p>
    <w:p w14:paraId="0A442755" w14:textId="069DB508" w:rsidR="003D6DAD" w:rsidRDefault="00000000" w:rsidP="003D6DAD">
      <w:pPr>
        <w:rPr>
          <w:rFonts w:eastAsiaTheme="minorEastAsia"/>
        </w:rPr>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3D6DAD">
        <w:rPr>
          <w:rFonts w:eastAsiaTheme="minorEastAsia"/>
        </w:rPr>
        <w:t xml:space="preserve"> is the mean uptake/secretion flux of metabolite </w:t>
      </w:r>
      <m:oMath>
        <m:r>
          <w:rPr>
            <w:rFonts w:ascii="Cambria Math" w:eastAsiaTheme="minorEastAsia" w:hAnsi="Cambria Math"/>
          </w:rPr>
          <m:t>i</m:t>
        </m:r>
      </m:oMath>
      <w:r w:rsidR="003D6DAD">
        <w:rPr>
          <w:rFonts w:eastAsiaTheme="minorEastAsia"/>
        </w:rPr>
        <w:t xml:space="preserve"> across all conditions</w:t>
      </w:r>
      <w:r w:rsidR="00AD498E">
        <w:rPr>
          <w:rFonts w:eastAsiaTheme="minorEastAsia"/>
        </w:rPr>
        <w:t>.</w:t>
      </w:r>
    </w:p>
    <w:p w14:paraId="0A609EDA" w14:textId="4F4CEC2B" w:rsidR="003D6DAD" w:rsidRDefault="00000000" w:rsidP="003D6DAD">
      <w:pPr>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AD498E">
        <w:rPr>
          <w:rFonts w:eastAsiaTheme="minorEastAsia"/>
        </w:rPr>
        <w:t xml:space="preserve"> is the standard deviation of the flux </w:t>
      </w:r>
      <m:oMath>
        <m:r>
          <w:rPr>
            <w:rFonts w:ascii="Cambria Math" w:eastAsiaTheme="minorEastAsia" w:hAnsi="Cambria Math"/>
          </w:rPr>
          <m:t>i</m:t>
        </m:r>
      </m:oMath>
      <w:r w:rsidR="00AD498E">
        <w:rPr>
          <w:rFonts w:eastAsiaTheme="minorEastAsia"/>
        </w:rPr>
        <w:t xml:space="preserve"> across all conditions.</w:t>
      </w:r>
    </w:p>
    <w:p w14:paraId="3915BE9A" w14:textId="77777777" w:rsidR="00AD498E" w:rsidRDefault="00AD498E" w:rsidP="003D6DAD">
      <w:pPr>
        <w:rPr>
          <w:rFonts w:eastAsiaTheme="minorEastAsia"/>
        </w:rPr>
      </w:pPr>
    </w:p>
    <w:p w14:paraId="6BE9ACC5" w14:textId="6E4203DC" w:rsidR="00AD498E" w:rsidRDefault="00AD498E" w:rsidP="003D6DAD">
      <w:pPr>
        <w:rPr>
          <w:rFonts w:eastAsiaTheme="minorEastAsia"/>
        </w:rPr>
      </w:pPr>
      <w:bookmarkStart w:id="0" w:name="_Hlk156738697"/>
      <w:r>
        <w:rPr>
          <w:rFonts w:eastAsiaTheme="minorEastAsia"/>
          <w:noProof/>
        </w:rPr>
        <w:drawing>
          <wp:inline distT="0" distB="0" distL="0" distR="0" wp14:anchorId="40A616D8" wp14:editId="46EF4852">
            <wp:extent cx="5942330" cy="1845025"/>
            <wp:effectExtent l="0" t="0" r="1270" b="3175"/>
            <wp:docPr id="1301587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68423" cy="1853127"/>
                    </a:xfrm>
                    <a:prstGeom prst="rect">
                      <a:avLst/>
                    </a:prstGeom>
                    <a:noFill/>
                  </pic:spPr>
                </pic:pic>
              </a:graphicData>
            </a:graphic>
          </wp:inline>
        </w:drawing>
      </w:r>
    </w:p>
    <w:p w14:paraId="1BEFBB49" w14:textId="5FA13C75" w:rsidR="00AD498E" w:rsidRPr="008146FF" w:rsidRDefault="00AD498E" w:rsidP="008146FF">
      <w:pPr>
        <w:jc w:val="both"/>
        <w:rPr>
          <w:rFonts w:eastAsiaTheme="minorEastAsia"/>
          <w:sz w:val="20"/>
          <w:szCs w:val="20"/>
        </w:rPr>
      </w:pPr>
      <w:r w:rsidRPr="008146FF">
        <w:rPr>
          <w:rFonts w:eastAsiaTheme="minorEastAsia"/>
          <w:b/>
          <w:bCs/>
          <w:sz w:val="20"/>
          <w:szCs w:val="20"/>
          <w:u w:val="single"/>
        </w:rPr>
        <w:t>Figure S1:</w:t>
      </w:r>
      <w:r w:rsidRPr="008146FF">
        <w:rPr>
          <w:rFonts w:eastAsiaTheme="minorEastAsia"/>
          <w:sz w:val="20"/>
          <w:szCs w:val="20"/>
        </w:rPr>
        <w:t xml:space="preserve"> PCA on computed uptake/secretion fluxes. (A) Fluxes projected on to the first two principal components explaining 72% of the variance in the data. Fluxes corresponding to the growth and production states are indicated using blue and red circles, respectively. Separation of data suggests that the states are metabolically distinct. (B) % variance explained by individual principal components. &gt;99% of the data is explained by the first 7 principal components</w:t>
      </w:r>
      <w:r w:rsidR="00806F84" w:rsidRPr="008146FF">
        <w:rPr>
          <w:rFonts w:eastAsiaTheme="minorEastAsia"/>
          <w:sz w:val="20"/>
          <w:szCs w:val="20"/>
        </w:rPr>
        <w:t>, with the first four principal components explaining over 95% of the variance in the data.</w:t>
      </w:r>
    </w:p>
    <w:bookmarkEnd w:id="0"/>
    <w:p w14:paraId="3EC84ABB" w14:textId="02896F67" w:rsidR="003D6DAD" w:rsidRDefault="00806F84" w:rsidP="008146FF">
      <w:pPr>
        <w:jc w:val="both"/>
        <w:rPr>
          <w:rFonts w:eastAsiaTheme="minorEastAsia"/>
        </w:rPr>
      </w:pPr>
      <w:r>
        <w:rPr>
          <w:rFonts w:eastAsiaTheme="minorEastAsia"/>
        </w:rPr>
        <w:t>An initial analysis using PCA indicates that the metabolism in the growth and producing states is different (Figure S1A), primarily driven by changes in the growth rate and the specific production rate of the antibody. Additional shifts were seen in glucose uptake, lactate secretion, switch from glycine production to glycine consumption, asparagine, and glutamine.</w:t>
      </w:r>
    </w:p>
    <w:p w14:paraId="233030FE" w14:textId="5EFD2413" w:rsidR="008146FF" w:rsidRDefault="008146FF">
      <w:r>
        <w:br w:type="page"/>
      </w:r>
    </w:p>
    <w:p w14:paraId="305DCC70" w14:textId="126390A0" w:rsidR="00806F84" w:rsidRDefault="008146FF" w:rsidP="003D6DAD">
      <w:pPr>
        <w:rPr>
          <w:rFonts w:eastAsiaTheme="minorEastAsia"/>
        </w:rPr>
      </w:pPr>
      <w:r w:rsidRPr="008146FF">
        <w:rPr>
          <w:b/>
          <w:bCs/>
          <w:u w:val="single"/>
        </w:rPr>
        <w:lastRenderedPageBreak/>
        <w:t>Supplementary Figure S2</w:t>
      </w:r>
      <w:r>
        <w:t xml:space="preserve">: Metabolite concentration variances in the growth state </w:t>
      </w:r>
      <m:oMath>
        <m:d>
          <m:dPr>
            <m:ctrlPr>
              <w:rPr>
                <w:rFonts w:ascii="Cambria Math" w:hAnsi="Cambria Math"/>
                <w:i/>
              </w:rPr>
            </m:ctrlPr>
          </m:dPr>
          <m:e>
            <m:r>
              <w:rPr>
                <w:rFonts w:ascii="Cambria Math" w:hAnsi="Cambria Math"/>
              </w:rPr>
              <m:t>f&lt;0.2</m:t>
            </m:r>
          </m:e>
        </m:d>
      </m:oMath>
      <w:r>
        <w:rPr>
          <w:rFonts w:eastAsiaTheme="minorEastAsia"/>
        </w:rPr>
        <w:t xml:space="preserve"> and the production state </w:t>
      </w:r>
      <m:oMath>
        <m:d>
          <m:dPr>
            <m:ctrlPr>
              <w:rPr>
                <w:rFonts w:ascii="Cambria Math" w:eastAsiaTheme="minorEastAsia" w:hAnsi="Cambria Math"/>
                <w:i/>
              </w:rPr>
            </m:ctrlPr>
          </m:dPr>
          <m:e>
            <m:r>
              <w:rPr>
                <w:rFonts w:ascii="Cambria Math" w:eastAsiaTheme="minorEastAsia" w:hAnsi="Cambria Math"/>
              </w:rPr>
              <m:t>f&gt;0.8</m:t>
            </m:r>
          </m:e>
        </m:d>
      </m:oMath>
      <w:r>
        <w:rPr>
          <w:rFonts w:eastAsiaTheme="minorEastAsia"/>
        </w:rPr>
        <w:t>.</w:t>
      </w:r>
    </w:p>
    <w:p w14:paraId="4B028A38" w14:textId="0795724A" w:rsidR="008146FF" w:rsidRDefault="008146FF" w:rsidP="003D6DAD">
      <w:r w:rsidRPr="008146FF">
        <w:drawing>
          <wp:inline distT="0" distB="0" distL="0" distR="0" wp14:anchorId="6DADDF3B" wp14:editId="4407419D">
            <wp:extent cx="5943600" cy="2981325"/>
            <wp:effectExtent l="0" t="0" r="0" b="9525"/>
            <wp:docPr id="4" name="Picture 3">
              <a:extLst xmlns:a="http://schemas.openxmlformats.org/drawingml/2006/main">
                <a:ext uri="{FF2B5EF4-FFF2-40B4-BE49-F238E27FC236}">
                  <a16:creationId xmlns:a16="http://schemas.microsoft.com/office/drawing/2014/main" id="{D3B48192-F85C-6364-6005-CE3ABD382A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3B48192-F85C-6364-6005-CE3ABD382A92}"/>
                        </a:ext>
                      </a:extLst>
                    </pic:cNvPr>
                    <pic:cNvPicPr>
                      <a:picLocks noChangeAspect="1"/>
                    </pic:cNvPicPr>
                  </pic:nvPicPr>
                  <pic:blipFill>
                    <a:blip r:embed="rId6"/>
                    <a:stretch>
                      <a:fillRect/>
                    </a:stretch>
                  </pic:blipFill>
                  <pic:spPr>
                    <a:xfrm>
                      <a:off x="0" y="0"/>
                      <a:ext cx="5943600" cy="2981325"/>
                    </a:xfrm>
                    <a:prstGeom prst="rect">
                      <a:avLst/>
                    </a:prstGeom>
                  </pic:spPr>
                </pic:pic>
              </a:graphicData>
            </a:graphic>
          </wp:inline>
        </w:drawing>
      </w:r>
    </w:p>
    <w:p w14:paraId="0B4E3928" w14:textId="77777777" w:rsidR="008146FF" w:rsidRDefault="008146FF">
      <w:r>
        <w:br w:type="page"/>
      </w:r>
    </w:p>
    <w:p w14:paraId="7FDE2098" w14:textId="5B26E1C2" w:rsidR="008146FF" w:rsidRDefault="008146FF" w:rsidP="003D6DAD">
      <w:r w:rsidRPr="008146FF">
        <w:rPr>
          <w:b/>
          <w:bCs/>
        </w:rPr>
        <w:lastRenderedPageBreak/>
        <w:t>Supplementary Figure S3</w:t>
      </w:r>
      <w:r>
        <w:t>: Concentration profiles for 25 quantities predicted by COSMIC-dFBA (blue line), Traditional dFBA (red line), and the Assumed Objectives case (orange line) compared with the experimentally measured data (magenta dots) in Reactor 1 (A), Reactor 2 (B), Reactor 3 (C), Reactor 4 (D), Reactor 5 (E), Reactor 6 (F), Reactor 7 (G), Reactor 8 (H), Reactor 9 (I), and Reactor 10 (J). The feed media changes corresponding to each reactor is specified in Supplementary Table ST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8146FF" w:rsidRPr="008146FF" w14:paraId="3D321052" w14:textId="77777777" w:rsidTr="008146FF">
        <w:tc>
          <w:tcPr>
            <w:tcW w:w="9350" w:type="dxa"/>
          </w:tcPr>
          <w:p w14:paraId="7E6F8714" w14:textId="46082B2E" w:rsidR="008146FF" w:rsidRPr="008146FF" w:rsidRDefault="008146FF" w:rsidP="003D6DAD">
            <w:pPr>
              <w:rPr>
                <w:b/>
                <w:bCs/>
              </w:rPr>
            </w:pPr>
            <w:r w:rsidRPr="008146FF">
              <w:rPr>
                <w:b/>
                <w:bCs/>
              </w:rPr>
              <w:t xml:space="preserve">(A) </w:t>
            </w:r>
            <w:r w:rsidRPr="008146FF">
              <w:rPr>
                <w:b/>
                <w:bCs/>
              </w:rPr>
              <w:drawing>
                <wp:inline distT="0" distB="0" distL="0" distR="0" wp14:anchorId="5AA52CF4" wp14:editId="0DBA7ADD">
                  <wp:extent cx="5943600" cy="2981325"/>
                  <wp:effectExtent l="0" t="0" r="0" b="0"/>
                  <wp:docPr id="5" name="Picture 4">
                    <a:extLst xmlns:a="http://schemas.openxmlformats.org/drawingml/2006/main">
                      <a:ext uri="{FF2B5EF4-FFF2-40B4-BE49-F238E27FC236}">
                        <a16:creationId xmlns:a16="http://schemas.microsoft.com/office/drawing/2014/main" id="{B0FDB6AC-5B03-DD37-ACB9-C43ED3AFB0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0FDB6AC-5B03-DD37-ACB9-C43ED3AFB001}"/>
                              </a:ext>
                            </a:extLst>
                          </pic:cNvPr>
                          <pic:cNvPicPr>
                            <a:picLocks noChangeAspect="1"/>
                          </pic:cNvPicPr>
                        </pic:nvPicPr>
                        <pic:blipFill>
                          <a:blip r:embed="rId7"/>
                          <a:stretch>
                            <a:fillRect/>
                          </a:stretch>
                        </pic:blipFill>
                        <pic:spPr>
                          <a:xfrm>
                            <a:off x="0" y="0"/>
                            <a:ext cx="5943600" cy="2981325"/>
                          </a:xfrm>
                          <a:prstGeom prst="rect">
                            <a:avLst/>
                          </a:prstGeom>
                        </pic:spPr>
                      </pic:pic>
                    </a:graphicData>
                  </a:graphic>
                </wp:inline>
              </w:drawing>
            </w:r>
          </w:p>
          <w:p w14:paraId="05A244B2" w14:textId="248129D3" w:rsidR="008146FF" w:rsidRPr="008146FF" w:rsidRDefault="008146FF" w:rsidP="003D6DAD">
            <w:pPr>
              <w:rPr>
                <w:b/>
                <w:bCs/>
              </w:rPr>
            </w:pPr>
          </w:p>
        </w:tc>
      </w:tr>
      <w:tr w:rsidR="008146FF" w:rsidRPr="008146FF" w14:paraId="1DD9D8B8" w14:textId="77777777" w:rsidTr="008146FF">
        <w:tc>
          <w:tcPr>
            <w:tcW w:w="9350" w:type="dxa"/>
          </w:tcPr>
          <w:p w14:paraId="44A8E158" w14:textId="3C9FDEFD" w:rsidR="008146FF" w:rsidRPr="008146FF" w:rsidRDefault="008146FF" w:rsidP="008146FF">
            <w:pPr>
              <w:rPr>
                <w:b/>
                <w:bCs/>
              </w:rPr>
            </w:pPr>
            <w:r w:rsidRPr="008146FF">
              <w:rPr>
                <w:b/>
                <w:bCs/>
              </w:rPr>
              <w:t>(B)</w:t>
            </w:r>
            <w:r w:rsidRPr="008146FF">
              <w:rPr>
                <w:b/>
                <w:bCs/>
              </w:rPr>
              <w:drawing>
                <wp:inline distT="0" distB="0" distL="0" distR="0" wp14:anchorId="41841CD3" wp14:editId="0452B355">
                  <wp:extent cx="5943600" cy="2981325"/>
                  <wp:effectExtent l="0" t="0" r="0" b="0"/>
                  <wp:docPr id="986097434" name="Picture 3">
                    <a:extLst xmlns:a="http://schemas.openxmlformats.org/drawingml/2006/main">
                      <a:ext uri="{FF2B5EF4-FFF2-40B4-BE49-F238E27FC236}">
                        <a16:creationId xmlns:a16="http://schemas.microsoft.com/office/drawing/2014/main" id="{D36749EE-BD86-F929-6962-DD07EB790B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36749EE-BD86-F929-6962-DD07EB790B6F}"/>
                              </a:ext>
                            </a:extLst>
                          </pic:cNvPr>
                          <pic:cNvPicPr>
                            <a:picLocks noChangeAspect="1"/>
                          </pic:cNvPicPr>
                        </pic:nvPicPr>
                        <pic:blipFill>
                          <a:blip r:embed="rId8"/>
                          <a:stretch>
                            <a:fillRect/>
                          </a:stretch>
                        </pic:blipFill>
                        <pic:spPr>
                          <a:xfrm>
                            <a:off x="0" y="0"/>
                            <a:ext cx="5943600" cy="2981325"/>
                          </a:xfrm>
                          <a:prstGeom prst="rect">
                            <a:avLst/>
                          </a:prstGeom>
                        </pic:spPr>
                      </pic:pic>
                    </a:graphicData>
                  </a:graphic>
                </wp:inline>
              </w:drawing>
            </w:r>
          </w:p>
        </w:tc>
      </w:tr>
      <w:tr w:rsidR="008146FF" w:rsidRPr="008146FF" w14:paraId="60C65445" w14:textId="77777777" w:rsidTr="008146FF">
        <w:tc>
          <w:tcPr>
            <w:tcW w:w="9350" w:type="dxa"/>
          </w:tcPr>
          <w:p w14:paraId="495BC5F6" w14:textId="2CE0B6BE" w:rsidR="008146FF" w:rsidRPr="008146FF" w:rsidRDefault="008146FF" w:rsidP="003D6DAD">
            <w:pPr>
              <w:rPr>
                <w:b/>
                <w:bCs/>
              </w:rPr>
            </w:pPr>
            <w:r w:rsidRPr="008146FF">
              <w:rPr>
                <w:b/>
                <w:bCs/>
              </w:rPr>
              <w:lastRenderedPageBreak/>
              <w:t>(C)</w:t>
            </w:r>
            <w:r w:rsidRPr="008146FF">
              <w:rPr>
                <w:b/>
                <w:bCs/>
                <w:noProof/>
              </w:rPr>
              <w:t xml:space="preserve"> </w:t>
            </w:r>
            <w:r w:rsidRPr="008146FF">
              <w:rPr>
                <w:b/>
                <w:bCs/>
              </w:rPr>
              <w:drawing>
                <wp:inline distT="0" distB="0" distL="0" distR="0" wp14:anchorId="53E3E910" wp14:editId="6970F12A">
                  <wp:extent cx="5943600" cy="2981325"/>
                  <wp:effectExtent l="0" t="0" r="0" b="0"/>
                  <wp:docPr id="533087243" name="Picture 3">
                    <a:extLst xmlns:a="http://schemas.openxmlformats.org/drawingml/2006/main">
                      <a:ext uri="{FF2B5EF4-FFF2-40B4-BE49-F238E27FC236}">
                        <a16:creationId xmlns:a16="http://schemas.microsoft.com/office/drawing/2014/main" id="{8FF4D8FA-2E4C-D981-536B-3CB303EFCE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FF4D8FA-2E4C-D981-536B-3CB303EFCE57}"/>
                              </a:ext>
                            </a:extLst>
                          </pic:cNvPr>
                          <pic:cNvPicPr>
                            <a:picLocks noChangeAspect="1"/>
                          </pic:cNvPicPr>
                        </pic:nvPicPr>
                        <pic:blipFill>
                          <a:blip r:embed="rId9"/>
                          <a:stretch>
                            <a:fillRect/>
                          </a:stretch>
                        </pic:blipFill>
                        <pic:spPr>
                          <a:xfrm>
                            <a:off x="0" y="0"/>
                            <a:ext cx="5943600" cy="2981325"/>
                          </a:xfrm>
                          <a:prstGeom prst="rect">
                            <a:avLst/>
                          </a:prstGeom>
                        </pic:spPr>
                      </pic:pic>
                    </a:graphicData>
                  </a:graphic>
                </wp:inline>
              </w:drawing>
            </w:r>
          </w:p>
        </w:tc>
      </w:tr>
      <w:tr w:rsidR="008146FF" w:rsidRPr="008146FF" w14:paraId="77A5F7E1" w14:textId="77777777" w:rsidTr="008146FF">
        <w:tc>
          <w:tcPr>
            <w:tcW w:w="9350" w:type="dxa"/>
          </w:tcPr>
          <w:p w14:paraId="339BB61B" w14:textId="5C3A62DB" w:rsidR="008146FF" w:rsidRPr="008146FF" w:rsidRDefault="008146FF" w:rsidP="003D6DAD">
            <w:pPr>
              <w:rPr>
                <w:b/>
                <w:bCs/>
              </w:rPr>
            </w:pPr>
            <w:r w:rsidRPr="008146FF">
              <w:rPr>
                <w:b/>
                <w:bCs/>
              </w:rPr>
              <w:t>(D)</w:t>
            </w:r>
            <w:r w:rsidRPr="008146FF">
              <w:rPr>
                <w:b/>
                <w:bCs/>
              </w:rPr>
              <w:drawing>
                <wp:inline distT="0" distB="0" distL="0" distR="0" wp14:anchorId="4CE5E6BD" wp14:editId="2AD1CAC3">
                  <wp:extent cx="5943600" cy="2981325"/>
                  <wp:effectExtent l="0" t="0" r="0" b="0"/>
                  <wp:docPr id="1577257248" name="Picture 3">
                    <a:extLst xmlns:a="http://schemas.openxmlformats.org/drawingml/2006/main">
                      <a:ext uri="{FF2B5EF4-FFF2-40B4-BE49-F238E27FC236}">
                        <a16:creationId xmlns:a16="http://schemas.microsoft.com/office/drawing/2014/main" id="{69E65BD4-C99A-F107-82CF-099E45FF77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9E65BD4-C99A-F107-82CF-099E45FF77E6}"/>
                              </a:ext>
                            </a:extLst>
                          </pic:cNvPr>
                          <pic:cNvPicPr>
                            <a:picLocks noChangeAspect="1"/>
                          </pic:cNvPicPr>
                        </pic:nvPicPr>
                        <pic:blipFill>
                          <a:blip r:embed="rId10"/>
                          <a:stretch>
                            <a:fillRect/>
                          </a:stretch>
                        </pic:blipFill>
                        <pic:spPr>
                          <a:xfrm>
                            <a:off x="0" y="0"/>
                            <a:ext cx="5943600" cy="2981325"/>
                          </a:xfrm>
                          <a:prstGeom prst="rect">
                            <a:avLst/>
                          </a:prstGeom>
                        </pic:spPr>
                      </pic:pic>
                    </a:graphicData>
                  </a:graphic>
                </wp:inline>
              </w:drawing>
            </w:r>
          </w:p>
        </w:tc>
      </w:tr>
      <w:tr w:rsidR="008146FF" w:rsidRPr="008146FF" w14:paraId="2D8A0774" w14:textId="77777777" w:rsidTr="008146FF">
        <w:tc>
          <w:tcPr>
            <w:tcW w:w="9350" w:type="dxa"/>
          </w:tcPr>
          <w:p w14:paraId="35237D48" w14:textId="3BE6B725" w:rsidR="008146FF" w:rsidRPr="008146FF" w:rsidRDefault="008146FF" w:rsidP="003D6DAD">
            <w:pPr>
              <w:rPr>
                <w:b/>
                <w:bCs/>
              </w:rPr>
            </w:pPr>
            <w:r w:rsidRPr="008146FF">
              <w:rPr>
                <w:b/>
                <w:bCs/>
              </w:rPr>
              <w:lastRenderedPageBreak/>
              <w:t>(E)</w:t>
            </w:r>
            <w:r w:rsidRPr="008146FF">
              <w:rPr>
                <w:b/>
                <w:bCs/>
                <w:noProof/>
              </w:rPr>
              <w:t xml:space="preserve"> </w:t>
            </w:r>
            <w:r w:rsidRPr="008146FF">
              <w:rPr>
                <w:b/>
                <w:bCs/>
              </w:rPr>
              <w:drawing>
                <wp:inline distT="0" distB="0" distL="0" distR="0" wp14:anchorId="4F47A78C" wp14:editId="0AF3894B">
                  <wp:extent cx="5943600" cy="2981325"/>
                  <wp:effectExtent l="0" t="0" r="0" b="0"/>
                  <wp:docPr id="2127383318" name="Picture 3">
                    <a:extLst xmlns:a="http://schemas.openxmlformats.org/drawingml/2006/main">
                      <a:ext uri="{FF2B5EF4-FFF2-40B4-BE49-F238E27FC236}">
                        <a16:creationId xmlns:a16="http://schemas.microsoft.com/office/drawing/2014/main" id="{D5A67566-5CDE-C075-1F8E-56E18D6AD1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5A67566-5CDE-C075-1F8E-56E18D6AD15C}"/>
                              </a:ext>
                            </a:extLst>
                          </pic:cNvPr>
                          <pic:cNvPicPr>
                            <a:picLocks noChangeAspect="1"/>
                          </pic:cNvPicPr>
                        </pic:nvPicPr>
                        <pic:blipFill>
                          <a:blip r:embed="rId11"/>
                          <a:stretch>
                            <a:fillRect/>
                          </a:stretch>
                        </pic:blipFill>
                        <pic:spPr>
                          <a:xfrm>
                            <a:off x="0" y="0"/>
                            <a:ext cx="5943600" cy="2981325"/>
                          </a:xfrm>
                          <a:prstGeom prst="rect">
                            <a:avLst/>
                          </a:prstGeom>
                        </pic:spPr>
                      </pic:pic>
                    </a:graphicData>
                  </a:graphic>
                </wp:inline>
              </w:drawing>
            </w:r>
          </w:p>
        </w:tc>
      </w:tr>
      <w:tr w:rsidR="008146FF" w:rsidRPr="008146FF" w14:paraId="4FB7682E" w14:textId="77777777" w:rsidTr="008146FF">
        <w:tc>
          <w:tcPr>
            <w:tcW w:w="9350" w:type="dxa"/>
          </w:tcPr>
          <w:p w14:paraId="234CADE1" w14:textId="7B998E99" w:rsidR="008146FF" w:rsidRPr="008146FF" w:rsidRDefault="008146FF" w:rsidP="003D6DAD">
            <w:pPr>
              <w:rPr>
                <w:b/>
                <w:bCs/>
              </w:rPr>
            </w:pPr>
            <w:r w:rsidRPr="008146FF">
              <w:rPr>
                <w:b/>
                <w:bCs/>
              </w:rPr>
              <w:t>(F)</w:t>
            </w:r>
            <w:r w:rsidRPr="008146FF">
              <w:rPr>
                <w:b/>
                <w:bCs/>
                <w:noProof/>
              </w:rPr>
              <w:t xml:space="preserve"> </w:t>
            </w:r>
            <w:r w:rsidRPr="008146FF">
              <w:rPr>
                <w:b/>
                <w:bCs/>
              </w:rPr>
              <w:drawing>
                <wp:inline distT="0" distB="0" distL="0" distR="0" wp14:anchorId="3D185966" wp14:editId="6A2A80BC">
                  <wp:extent cx="5943600" cy="2981325"/>
                  <wp:effectExtent l="0" t="0" r="0" b="0"/>
                  <wp:docPr id="792528543" name="Picture 3">
                    <a:extLst xmlns:a="http://schemas.openxmlformats.org/drawingml/2006/main">
                      <a:ext uri="{FF2B5EF4-FFF2-40B4-BE49-F238E27FC236}">
                        <a16:creationId xmlns:a16="http://schemas.microsoft.com/office/drawing/2014/main" id="{70CA2DD2-95B6-1D26-86DD-43F7443508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0CA2DD2-95B6-1D26-86DD-43F744350814}"/>
                              </a:ext>
                            </a:extLst>
                          </pic:cNvPr>
                          <pic:cNvPicPr>
                            <a:picLocks noChangeAspect="1"/>
                          </pic:cNvPicPr>
                        </pic:nvPicPr>
                        <pic:blipFill>
                          <a:blip r:embed="rId12"/>
                          <a:stretch>
                            <a:fillRect/>
                          </a:stretch>
                        </pic:blipFill>
                        <pic:spPr>
                          <a:xfrm>
                            <a:off x="0" y="0"/>
                            <a:ext cx="5943600" cy="2981325"/>
                          </a:xfrm>
                          <a:prstGeom prst="rect">
                            <a:avLst/>
                          </a:prstGeom>
                        </pic:spPr>
                      </pic:pic>
                    </a:graphicData>
                  </a:graphic>
                </wp:inline>
              </w:drawing>
            </w:r>
          </w:p>
        </w:tc>
      </w:tr>
      <w:tr w:rsidR="008146FF" w:rsidRPr="008146FF" w14:paraId="76254293" w14:textId="77777777" w:rsidTr="008146FF">
        <w:tc>
          <w:tcPr>
            <w:tcW w:w="9350" w:type="dxa"/>
          </w:tcPr>
          <w:p w14:paraId="4A248593" w14:textId="104BF18D" w:rsidR="008146FF" w:rsidRPr="008146FF" w:rsidRDefault="008146FF" w:rsidP="003D6DAD">
            <w:pPr>
              <w:rPr>
                <w:b/>
                <w:bCs/>
              </w:rPr>
            </w:pPr>
            <w:r w:rsidRPr="008146FF">
              <w:rPr>
                <w:b/>
                <w:bCs/>
              </w:rPr>
              <w:lastRenderedPageBreak/>
              <w:t>(G)</w:t>
            </w:r>
            <w:r w:rsidRPr="008146FF">
              <w:rPr>
                <w:b/>
                <w:bCs/>
                <w:noProof/>
              </w:rPr>
              <w:t xml:space="preserve"> </w:t>
            </w:r>
            <w:r w:rsidRPr="008146FF">
              <w:rPr>
                <w:b/>
                <w:bCs/>
              </w:rPr>
              <w:drawing>
                <wp:inline distT="0" distB="0" distL="0" distR="0" wp14:anchorId="3C422E0A" wp14:editId="51ED1BAF">
                  <wp:extent cx="5943600" cy="2981325"/>
                  <wp:effectExtent l="0" t="0" r="0" b="0"/>
                  <wp:docPr id="297703496" name="Picture 3">
                    <a:extLst xmlns:a="http://schemas.openxmlformats.org/drawingml/2006/main">
                      <a:ext uri="{FF2B5EF4-FFF2-40B4-BE49-F238E27FC236}">
                        <a16:creationId xmlns:a16="http://schemas.microsoft.com/office/drawing/2014/main" id="{A1C0D92F-3BFE-6C38-7A93-C74E9ACB7D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1C0D92F-3BFE-6C38-7A93-C74E9ACB7DAC}"/>
                              </a:ext>
                            </a:extLst>
                          </pic:cNvPr>
                          <pic:cNvPicPr>
                            <a:picLocks noChangeAspect="1"/>
                          </pic:cNvPicPr>
                        </pic:nvPicPr>
                        <pic:blipFill>
                          <a:blip r:embed="rId13"/>
                          <a:stretch>
                            <a:fillRect/>
                          </a:stretch>
                        </pic:blipFill>
                        <pic:spPr>
                          <a:xfrm>
                            <a:off x="0" y="0"/>
                            <a:ext cx="5943600" cy="2981325"/>
                          </a:xfrm>
                          <a:prstGeom prst="rect">
                            <a:avLst/>
                          </a:prstGeom>
                        </pic:spPr>
                      </pic:pic>
                    </a:graphicData>
                  </a:graphic>
                </wp:inline>
              </w:drawing>
            </w:r>
          </w:p>
        </w:tc>
      </w:tr>
      <w:tr w:rsidR="008146FF" w:rsidRPr="008146FF" w14:paraId="2958F1B8" w14:textId="77777777" w:rsidTr="008146FF">
        <w:tc>
          <w:tcPr>
            <w:tcW w:w="9350" w:type="dxa"/>
          </w:tcPr>
          <w:p w14:paraId="0E77EA01" w14:textId="0BED1820" w:rsidR="008146FF" w:rsidRPr="008146FF" w:rsidRDefault="008146FF" w:rsidP="003D6DAD">
            <w:pPr>
              <w:rPr>
                <w:b/>
                <w:bCs/>
              </w:rPr>
            </w:pPr>
            <w:r w:rsidRPr="008146FF">
              <w:rPr>
                <w:b/>
                <w:bCs/>
              </w:rPr>
              <w:t>(H)</w:t>
            </w:r>
            <w:r w:rsidRPr="008146FF">
              <w:rPr>
                <w:b/>
                <w:bCs/>
                <w:noProof/>
              </w:rPr>
              <w:t xml:space="preserve"> </w:t>
            </w:r>
            <w:r w:rsidRPr="008146FF">
              <w:rPr>
                <w:b/>
                <w:bCs/>
              </w:rPr>
              <w:drawing>
                <wp:inline distT="0" distB="0" distL="0" distR="0" wp14:anchorId="699617ED" wp14:editId="3E20D08A">
                  <wp:extent cx="5943600" cy="2981325"/>
                  <wp:effectExtent l="0" t="0" r="0" b="0"/>
                  <wp:docPr id="1826809333" name="Picture 3">
                    <a:extLst xmlns:a="http://schemas.openxmlformats.org/drawingml/2006/main">
                      <a:ext uri="{FF2B5EF4-FFF2-40B4-BE49-F238E27FC236}">
                        <a16:creationId xmlns:a16="http://schemas.microsoft.com/office/drawing/2014/main" id="{76EE6E2E-04BF-5039-F8DA-61FF375594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6EE6E2E-04BF-5039-F8DA-61FF37559475}"/>
                              </a:ext>
                            </a:extLst>
                          </pic:cNvPr>
                          <pic:cNvPicPr>
                            <a:picLocks noChangeAspect="1"/>
                          </pic:cNvPicPr>
                        </pic:nvPicPr>
                        <pic:blipFill>
                          <a:blip r:embed="rId14"/>
                          <a:stretch>
                            <a:fillRect/>
                          </a:stretch>
                        </pic:blipFill>
                        <pic:spPr>
                          <a:xfrm>
                            <a:off x="0" y="0"/>
                            <a:ext cx="5943600" cy="2981325"/>
                          </a:xfrm>
                          <a:prstGeom prst="rect">
                            <a:avLst/>
                          </a:prstGeom>
                        </pic:spPr>
                      </pic:pic>
                    </a:graphicData>
                  </a:graphic>
                </wp:inline>
              </w:drawing>
            </w:r>
          </w:p>
        </w:tc>
      </w:tr>
      <w:tr w:rsidR="008146FF" w:rsidRPr="008146FF" w14:paraId="67A0ABC1" w14:textId="77777777" w:rsidTr="008146FF">
        <w:tc>
          <w:tcPr>
            <w:tcW w:w="9350" w:type="dxa"/>
          </w:tcPr>
          <w:p w14:paraId="543DF303" w14:textId="3304A1AA" w:rsidR="008146FF" w:rsidRPr="008146FF" w:rsidRDefault="008146FF" w:rsidP="003D6DAD">
            <w:pPr>
              <w:rPr>
                <w:b/>
                <w:bCs/>
              </w:rPr>
            </w:pPr>
            <w:r w:rsidRPr="008146FF">
              <w:rPr>
                <w:b/>
                <w:bCs/>
              </w:rPr>
              <w:lastRenderedPageBreak/>
              <w:t>(I)</w:t>
            </w:r>
            <w:r w:rsidRPr="008146FF">
              <w:rPr>
                <w:b/>
                <w:bCs/>
                <w:noProof/>
              </w:rPr>
              <w:t xml:space="preserve"> </w:t>
            </w:r>
            <w:r w:rsidRPr="008146FF">
              <w:rPr>
                <w:b/>
                <w:bCs/>
              </w:rPr>
              <w:drawing>
                <wp:inline distT="0" distB="0" distL="0" distR="0" wp14:anchorId="752237B6" wp14:editId="3CC0297E">
                  <wp:extent cx="5943600" cy="2981325"/>
                  <wp:effectExtent l="0" t="0" r="0" b="0"/>
                  <wp:docPr id="1535611893" name="Picture 3">
                    <a:extLst xmlns:a="http://schemas.openxmlformats.org/drawingml/2006/main">
                      <a:ext uri="{FF2B5EF4-FFF2-40B4-BE49-F238E27FC236}">
                        <a16:creationId xmlns:a16="http://schemas.microsoft.com/office/drawing/2014/main" id="{F11AECAB-34E6-036B-A982-F27D68A6D1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11AECAB-34E6-036B-A982-F27D68A6D11F}"/>
                              </a:ext>
                            </a:extLst>
                          </pic:cNvPr>
                          <pic:cNvPicPr>
                            <a:picLocks noChangeAspect="1"/>
                          </pic:cNvPicPr>
                        </pic:nvPicPr>
                        <pic:blipFill>
                          <a:blip r:embed="rId15"/>
                          <a:stretch>
                            <a:fillRect/>
                          </a:stretch>
                        </pic:blipFill>
                        <pic:spPr>
                          <a:xfrm>
                            <a:off x="0" y="0"/>
                            <a:ext cx="5943600" cy="2981325"/>
                          </a:xfrm>
                          <a:prstGeom prst="rect">
                            <a:avLst/>
                          </a:prstGeom>
                        </pic:spPr>
                      </pic:pic>
                    </a:graphicData>
                  </a:graphic>
                </wp:inline>
              </w:drawing>
            </w:r>
          </w:p>
        </w:tc>
      </w:tr>
      <w:tr w:rsidR="008146FF" w:rsidRPr="008146FF" w14:paraId="4028F1F9" w14:textId="77777777" w:rsidTr="008146FF">
        <w:tc>
          <w:tcPr>
            <w:tcW w:w="9350" w:type="dxa"/>
          </w:tcPr>
          <w:p w14:paraId="19E9FA03" w14:textId="514451C2" w:rsidR="008146FF" w:rsidRPr="008146FF" w:rsidRDefault="008146FF" w:rsidP="003D6DAD">
            <w:pPr>
              <w:rPr>
                <w:b/>
                <w:bCs/>
              </w:rPr>
            </w:pPr>
            <w:r w:rsidRPr="008146FF">
              <w:rPr>
                <w:b/>
                <w:bCs/>
              </w:rPr>
              <w:t>(J)</w:t>
            </w:r>
            <w:r w:rsidRPr="008146FF">
              <w:rPr>
                <w:b/>
                <w:bCs/>
                <w:noProof/>
              </w:rPr>
              <w:t xml:space="preserve"> </w:t>
            </w:r>
            <w:r w:rsidRPr="008146FF">
              <w:rPr>
                <w:b/>
                <w:bCs/>
              </w:rPr>
              <w:drawing>
                <wp:inline distT="0" distB="0" distL="0" distR="0" wp14:anchorId="219D57CA" wp14:editId="2C3D9330">
                  <wp:extent cx="5943600" cy="2981325"/>
                  <wp:effectExtent l="0" t="0" r="0" b="0"/>
                  <wp:docPr id="31255438" name="Picture 3">
                    <a:extLst xmlns:a="http://schemas.openxmlformats.org/drawingml/2006/main">
                      <a:ext uri="{FF2B5EF4-FFF2-40B4-BE49-F238E27FC236}">
                        <a16:creationId xmlns:a16="http://schemas.microsoft.com/office/drawing/2014/main" id="{EF7CE9E0-724C-4A49-4BA7-2F9C6CF804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F7CE9E0-724C-4A49-4BA7-2F9C6CF8048C}"/>
                              </a:ext>
                            </a:extLst>
                          </pic:cNvPr>
                          <pic:cNvPicPr>
                            <a:picLocks noChangeAspect="1"/>
                          </pic:cNvPicPr>
                        </pic:nvPicPr>
                        <pic:blipFill>
                          <a:blip r:embed="rId16"/>
                          <a:stretch>
                            <a:fillRect/>
                          </a:stretch>
                        </pic:blipFill>
                        <pic:spPr>
                          <a:xfrm>
                            <a:off x="0" y="0"/>
                            <a:ext cx="5943600" cy="2981325"/>
                          </a:xfrm>
                          <a:prstGeom prst="rect">
                            <a:avLst/>
                          </a:prstGeom>
                        </pic:spPr>
                      </pic:pic>
                    </a:graphicData>
                  </a:graphic>
                </wp:inline>
              </w:drawing>
            </w:r>
          </w:p>
        </w:tc>
      </w:tr>
    </w:tbl>
    <w:p w14:paraId="7C9833FF" w14:textId="7217ACC3" w:rsidR="008146FF" w:rsidRDefault="008146FF" w:rsidP="003D6DAD"/>
    <w:sectPr w:rsidR="00814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F2FE5"/>
    <w:multiLevelType w:val="hybridMultilevel"/>
    <w:tmpl w:val="49BC2E3A"/>
    <w:lvl w:ilvl="0" w:tplc="A222941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496CE3"/>
    <w:multiLevelType w:val="multilevel"/>
    <w:tmpl w:val="DFB26A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23420119">
    <w:abstractNumId w:val="0"/>
  </w:num>
  <w:num w:numId="2" w16cid:durableId="1080955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74D"/>
    <w:rsid w:val="00267A03"/>
    <w:rsid w:val="0027174D"/>
    <w:rsid w:val="002D3FCA"/>
    <w:rsid w:val="0030193A"/>
    <w:rsid w:val="00320DD2"/>
    <w:rsid w:val="003D422D"/>
    <w:rsid w:val="003D6DAD"/>
    <w:rsid w:val="00436E15"/>
    <w:rsid w:val="004453CF"/>
    <w:rsid w:val="00451544"/>
    <w:rsid w:val="004D6298"/>
    <w:rsid w:val="00501964"/>
    <w:rsid w:val="00521639"/>
    <w:rsid w:val="00531245"/>
    <w:rsid w:val="005365F1"/>
    <w:rsid w:val="005E23DE"/>
    <w:rsid w:val="006612D5"/>
    <w:rsid w:val="006B7DEE"/>
    <w:rsid w:val="007030FB"/>
    <w:rsid w:val="00740A7F"/>
    <w:rsid w:val="00761066"/>
    <w:rsid w:val="007A2F5D"/>
    <w:rsid w:val="007B0C6C"/>
    <w:rsid w:val="0080214F"/>
    <w:rsid w:val="00806F84"/>
    <w:rsid w:val="008146FF"/>
    <w:rsid w:val="0089119F"/>
    <w:rsid w:val="009A2FBA"/>
    <w:rsid w:val="00A126AE"/>
    <w:rsid w:val="00A21AB2"/>
    <w:rsid w:val="00AD498E"/>
    <w:rsid w:val="00B032F2"/>
    <w:rsid w:val="00B12056"/>
    <w:rsid w:val="00C25BC6"/>
    <w:rsid w:val="00CB04ED"/>
    <w:rsid w:val="00CC3FFF"/>
    <w:rsid w:val="00DD2DE2"/>
    <w:rsid w:val="00F72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9CFDD"/>
  <w15:chartTrackingRefBased/>
  <w15:docId w15:val="{F7DD1DEE-B9FA-4BB6-A2B3-13E0B0ED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FFF"/>
    <w:pPr>
      <w:ind w:left="720"/>
      <w:contextualSpacing/>
    </w:pPr>
  </w:style>
  <w:style w:type="table" w:styleId="TableGrid">
    <w:name w:val="Table Grid"/>
    <w:basedOn w:val="TableNormal"/>
    <w:uiPriority w:val="39"/>
    <w:rsid w:val="00CC3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6DA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11</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Gopalakrishnan, Saratram</dc:creator>
  <cp:keywords/>
  <dc:description/>
  <cp:lastModifiedBy>Gopalakrishnan, Saratram</cp:lastModifiedBy>
  <cp:revision>8</cp:revision>
  <dcterms:created xsi:type="dcterms:W3CDTF">2023-03-03T23:34:00Z</dcterms:created>
  <dcterms:modified xsi:type="dcterms:W3CDTF">2024-02-01T19:01:00Z</dcterms:modified>
</cp:coreProperties>
</file>