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F7FFE" w14:textId="77777777" w:rsidR="00CD0535" w:rsidRPr="00CD0535" w:rsidRDefault="00CD0535" w:rsidP="00CD0535">
      <w:r w:rsidRPr="00CD0535">
        <w:t>Los compromisos pueden ser muy complejos y burocráticos. La clave para un compromiso exitoso son los objetivos o metas del cliente claramente definidos. Los objetivos del cliente deben discutirse entre el cliente y el equipo rojo para crear un entendimiento mutuo entre ambas partes de lo que se espera y se proporciona. Establecer objetivos es la base para el descansar de la documentación y planificación del compromiso.</w:t>
      </w:r>
    </w:p>
    <w:p w14:paraId="5C9E2131" w14:textId="77777777" w:rsidR="00CD0535" w:rsidRPr="00CD0535" w:rsidRDefault="00CD0535" w:rsidP="00CD0535">
      <w:r w:rsidRPr="00CD0535">
        <w:t>Sin objetivos y expectativas claros y concretos, se está preparando para una campaña muy no estructurada y no planificada. Los objetivos establecen el tono para el descansar del compromiso.</w:t>
      </w:r>
    </w:p>
    <w:p w14:paraId="396C408C" w14:textId="77777777" w:rsidR="00CD0535" w:rsidRPr="00CD0535" w:rsidRDefault="00CD0535" w:rsidP="00CD0535">
      <w:r w:rsidRPr="00CD0535">
        <w:t>Al evaluar los objetivos de un cliente y planificar los detalles del compromiso, a menudo deberá decidir qué tan enfocada está la evaluación.</w:t>
      </w:r>
    </w:p>
    <w:p w14:paraId="08F51C58" w14:textId="77777777" w:rsidR="00CD0535" w:rsidRPr="00CD0535" w:rsidRDefault="00CD0535" w:rsidP="00CD0535">
      <w:r w:rsidRPr="00CD0535">
        <w:t>Los compromisos se pueden clasificar entre una prueba de penetración interna/de red general o una emulación de adversario enfocada. Una emulación de adversario enfocada definirá un específico APTO o grupo para emular dentro de un compromiso. Esto generalmente se determinará en función de los grupos que se dirigen a las industrias particulares de la empresa, es decir, las instituciones financieras y </w:t>
      </w:r>
      <w:hyperlink r:id="rId5" w:tgtFrame="_blank" w:history="1">
        <w:r w:rsidRPr="00CD0535">
          <w:rPr>
            <w:rStyle w:val="Hipervnculo"/>
          </w:rPr>
          <w:t>APT38</w:t>
        </w:r>
      </w:hyperlink>
      <w:r w:rsidRPr="00CD0535">
        <w:t>. Una prueba de penetración interna o de red seguirá una estructura similar, pero a menudo estará menos enfocada y usará TTP más estándar. </w:t>
      </w:r>
    </w:p>
    <w:p w14:paraId="3E4D1B82" w14:textId="54469527" w:rsidR="00CD0535" w:rsidRPr="00CD0535" w:rsidRDefault="00CD0535" w:rsidP="00CD0535">
      <w:r w:rsidRPr="00CD0535">
        <w:drawing>
          <wp:inline distT="0" distB="0" distL="0" distR="0" wp14:anchorId="100BE75B" wp14:editId="59029CCF">
            <wp:extent cx="4762500" cy="4762500"/>
            <wp:effectExtent l="0" t="0" r="0" b="0"/>
            <wp:docPr id="17605571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F252544" w14:textId="77777777" w:rsidR="00CD0535" w:rsidRPr="00CD0535" w:rsidRDefault="00CD0535" w:rsidP="00CD0535">
      <w:r w:rsidRPr="00CD0535">
        <w:lastRenderedPageBreak/>
        <w:t>Los detalles del enfoque dependerán de una base caso por caso del compromiso definido por los objetivos del cliente.</w:t>
      </w:r>
    </w:p>
    <w:p w14:paraId="3F136FC7" w14:textId="77777777" w:rsidR="00CD0535" w:rsidRPr="00CD0535" w:rsidRDefault="00CD0535" w:rsidP="00CD0535">
      <w:r w:rsidRPr="00CD0535">
        <w:t>Los objetivos del cliente también afectarán las reglas generales de compromiso y alcance del compromiso.</w:t>
      </w:r>
    </w:p>
    <w:p w14:paraId="67B40978" w14:textId="77777777" w:rsidR="00CD0535" w:rsidRPr="00CD0535" w:rsidRDefault="00CD0535" w:rsidP="00CD0535">
      <w:r w:rsidRPr="00CD0535">
        <w:t>Estos temas se ampliarán en la Tarea 6.</w:t>
      </w:r>
    </w:p>
    <w:p w14:paraId="00DC3B2E" w14:textId="77777777" w:rsidR="00CD0535" w:rsidRPr="00CD0535" w:rsidRDefault="00CD0535" w:rsidP="00CD0535">
      <w:r w:rsidRPr="00CD0535">
        <w:t>Los objetivos del cliente solo establecen una definición básica de los objetivos del compromiso del cliente. Los planes de compromiso específicos ampliarán los objetivos del cliente y determinarán los detalles del compromiso. Los planes de compromiso se cubrirán más adelante dentro de esta sala.</w:t>
      </w:r>
    </w:p>
    <w:p w14:paraId="1BD70D7C" w14:textId="77777777" w:rsidR="00CD0535" w:rsidRPr="00CD0535" w:rsidRDefault="00CD0535" w:rsidP="00CD0535">
      <w:r w:rsidRPr="00CD0535">
        <w:pict w14:anchorId="33B74F8C">
          <v:rect id="_x0000_i1043" style="width:0;height:1.5pt" o:hralign="center" o:hrstd="t" o:hr="t" fillcolor="#a0a0a0" stroked="f"/>
        </w:pict>
      </w:r>
    </w:p>
    <w:p w14:paraId="242D0340" w14:textId="77777777" w:rsidR="00CD0535" w:rsidRPr="00CD0535" w:rsidRDefault="00CD0535" w:rsidP="00CD0535">
      <w:r w:rsidRPr="00CD0535">
        <w:t>La siguiente piedra angular para un compromiso preciso y transparente es un alcance bien definido. El alcance de un compromiso variará según la organización y cómo se vean su infraestructura y postura. El alcance de un cliente generalmente definirá lo que usted </w:t>
      </w:r>
      <w:proofErr w:type="spellStart"/>
      <w:r w:rsidRPr="00CD0535">
        <w:rPr>
          <w:i/>
          <w:iCs/>
        </w:rPr>
        <w:t>canno</w:t>
      </w:r>
      <w:r w:rsidRPr="00CD0535">
        <w:t>t</w:t>
      </w:r>
      <w:proofErr w:type="spellEnd"/>
      <w:r w:rsidRPr="00CD0535">
        <w:t xml:space="preserve"> hacer o apuntar; también puede incluir lo que usted </w:t>
      </w:r>
      <w:r w:rsidRPr="00CD0535">
        <w:rPr>
          <w:i/>
          <w:iCs/>
        </w:rPr>
        <w:t>puede</w:t>
      </w:r>
      <w:r w:rsidRPr="00CD0535">
        <w:t xml:space="preserve"> hacer o apuntar. Si bien los objetivos del cliente se pueden discutir y determinar junto con el equipo proveedor, el cliente solo debe establecer un alcance. En algunos casos, el equipo rojo puede discutir una queja del alcance si afecta un compromiso. Deben tener una comprensión clara de su red y las implicaciones de una evaluación. Los detalles del alcance y la redacción siempre se verán diferentes, a </w:t>
      </w:r>
      <w:proofErr w:type="gramStart"/>
      <w:r w:rsidRPr="00CD0535">
        <w:t>continuación</w:t>
      </w:r>
      <w:proofErr w:type="gramEnd"/>
      <w:r w:rsidRPr="00CD0535">
        <w:t xml:space="preserve"> se muestra un ejemplo de cómo puede verse la verborrea dentro del alcance de un cliente.</w:t>
      </w:r>
    </w:p>
    <w:p w14:paraId="6DE26BE0" w14:textId="77777777" w:rsidR="00CD0535" w:rsidRPr="00CD0535" w:rsidRDefault="00CD0535" w:rsidP="00CD0535">
      <w:pPr>
        <w:numPr>
          <w:ilvl w:val="0"/>
          <w:numId w:val="1"/>
        </w:numPr>
      </w:pPr>
      <w:r w:rsidRPr="00CD0535">
        <w:t>Sin exfiltración de datos.</w:t>
      </w:r>
    </w:p>
    <w:p w14:paraId="22516CB8" w14:textId="77777777" w:rsidR="00CD0535" w:rsidRPr="00CD0535" w:rsidRDefault="00CD0535" w:rsidP="00CD0535">
      <w:pPr>
        <w:numPr>
          <w:ilvl w:val="0"/>
          <w:numId w:val="1"/>
        </w:numPr>
      </w:pPr>
      <w:r w:rsidRPr="00CD0535">
        <w:t>Los servidores de producción están fuera de los límites.</w:t>
      </w:r>
    </w:p>
    <w:p w14:paraId="28C4A623" w14:textId="77777777" w:rsidR="00CD0535" w:rsidRPr="00CD0535" w:rsidRDefault="00CD0535" w:rsidP="00CD0535">
      <w:pPr>
        <w:numPr>
          <w:ilvl w:val="0"/>
          <w:numId w:val="1"/>
        </w:numPr>
      </w:pPr>
      <w:r w:rsidRPr="00CD0535">
        <w:t>10.0.3.8/18 está fuera de alcance.</w:t>
      </w:r>
    </w:p>
    <w:p w14:paraId="1B2657A5" w14:textId="77777777" w:rsidR="00CD0535" w:rsidRPr="00CD0535" w:rsidRDefault="00CD0535" w:rsidP="00CD0535">
      <w:pPr>
        <w:numPr>
          <w:ilvl w:val="0"/>
          <w:numId w:val="1"/>
        </w:numPr>
      </w:pPr>
      <w:r w:rsidRPr="00CD0535">
        <w:t>10.0.0.8/20 está en alcance.</w:t>
      </w:r>
    </w:p>
    <w:p w14:paraId="28FD20FF" w14:textId="77777777" w:rsidR="00CD0535" w:rsidRPr="00CD0535" w:rsidRDefault="00CD0535" w:rsidP="00CD0535">
      <w:pPr>
        <w:numPr>
          <w:ilvl w:val="0"/>
          <w:numId w:val="1"/>
        </w:numPr>
      </w:pPr>
      <w:r w:rsidRPr="00CD0535">
        <w:t xml:space="preserve">El tiempo de inactividad del sistema no está permitido </w:t>
      </w:r>
      <w:proofErr w:type="gramStart"/>
      <w:r w:rsidRPr="00CD0535">
        <w:t>bajo ninguna circunstancia</w:t>
      </w:r>
      <w:proofErr w:type="gramEnd"/>
      <w:r w:rsidRPr="00CD0535">
        <w:t>.</w:t>
      </w:r>
    </w:p>
    <w:p w14:paraId="11E79821" w14:textId="77777777" w:rsidR="00CD0535" w:rsidRPr="00CD0535" w:rsidRDefault="00CD0535" w:rsidP="00CD0535">
      <w:pPr>
        <w:numPr>
          <w:ilvl w:val="0"/>
          <w:numId w:val="1"/>
        </w:numPr>
      </w:pPr>
      <w:r w:rsidRPr="00CD0535">
        <w:t>Exfiltración de PII está prohibido.</w:t>
      </w:r>
    </w:p>
    <w:p w14:paraId="7CC3D405" w14:textId="77777777" w:rsidR="00CD0535" w:rsidRPr="00CD0535" w:rsidRDefault="00CD0535" w:rsidP="00CD0535">
      <w:r w:rsidRPr="00CD0535">
        <w:pict w14:anchorId="1A737E43">
          <v:rect id="_x0000_i1044" style="width:0;height:1.5pt" o:hralign="center" o:hrstd="t" o:hr="t" fillcolor="#a0a0a0" stroked="f"/>
        </w:pict>
      </w:r>
    </w:p>
    <w:p w14:paraId="7FA9C032" w14:textId="77777777" w:rsidR="00CD0535" w:rsidRPr="00CD0535" w:rsidRDefault="00CD0535" w:rsidP="00CD0535">
      <w:r w:rsidRPr="00CD0535">
        <w:t>Al analizar los objetivos o alcances de un cliente desde la perspectiva de un equipo rojo, es esencial comprender el significado y las implicaciones más profundos. Al analizar, siempre debe tener una comprensión dinámica de cómo su equipo abordaría los problemas/objetivos. Si es necesario, debe escribir sus planes de compromiso o comenzarlos solo con una lectura simple de los objetivos y el alcance del cliente.</w:t>
      </w:r>
    </w:p>
    <w:p w14:paraId="2E3F2C16" w14:textId="77777777" w:rsidR="00CD0535" w:rsidRPr="00CD0535" w:rsidRDefault="00CD0535" w:rsidP="00CD0535">
      <w:r w:rsidRPr="00CD0535">
        <w:t>Responda las preguntas a continuación</w:t>
      </w:r>
    </w:p>
    <w:p w14:paraId="488B0D73" w14:textId="77777777" w:rsidR="00CD0535" w:rsidRPr="00CD0535" w:rsidRDefault="00CD0535" w:rsidP="00CD0535">
      <w:r w:rsidRPr="00CD0535">
        <w:t>Lea los objetivos del cliente de ejemplo y responda las preguntas a continuación.</w:t>
      </w:r>
    </w:p>
    <w:p w14:paraId="198FDD3B" w14:textId="77777777" w:rsidR="00CD0535" w:rsidRPr="00CD0535" w:rsidRDefault="00CD0535" w:rsidP="00CD0535">
      <w:pPr>
        <w:rPr>
          <w:vanish/>
        </w:rPr>
      </w:pPr>
      <w:r w:rsidRPr="00CD0535">
        <w:rPr>
          <w:vanish/>
        </w:rPr>
        <w:t>Principio del formulario</w:t>
      </w:r>
    </w:p>
    <w:p w14:paraId="3F26DBDA" w14:textId="77777777" w:rsidR="00CD0535" w:rsidRPr="00CD0535" w:rsidRDefault="00CD0535" w:rsidP="00CD0535">
      <w:r w:rsidRPr="00CD0535">
        <w:t>Completo</w:t>
      </w:r>
    </w:p>
    <w:p w14:paraId="50CD159B" w14:textId="77777777" w:rsidR="00CD0535" w:rsidRPr="00CD0535" w:rsidRDefault="00CD0535" w:rsidP="00CD0535">
      <w:pPr>
        <w:rPr>
          <w:vanish/>
        </w:rPr>
      </w:pPr>
      <w:r w:rsidRPr="00CD0535">
        <w:rPr>
          <w:vanish/>
        </w:rPr>
        <w:t>Final del formulario</w:t>
      </w:r>
    </w:p>
    <w:p w14:paraId="66C2CC39" w14:textId="77777777" w:rsidR="00CD0535" w:rsidRPr="00CD0535" w:rsidRDefault="00CD0535" w:rsidP="00CD0535">
      <w:r w:rsidRPr="00CD0535">
        <w:t xml:space="preserve">A </w:t>
      </w:r>
      <w:proofErr w:type="gramStart"/>
      <w:r w:rsidRPr="00CD0535">
        <w:t>continuación</w:t>
      </w:r>
      <w:proofErr w:type="gramEnd"/>
      <w:r w:rsidRPr="00CD0535">
        <w:t xml:space="preserve"> se muestra un ejemplo de los objetivos del cliente de una organización madura con una fuerte postura de seguridad.</w:t>
      </w:r>
    </w:p>
    <w:p w14:paraId="5A219CA5" w14:textId="77777777" w:rsidR="00CD0535" w:rsidRPr="00CD0535" w:rsidRDefault="00CD0535" w:rsidP="00CD0535">
      <w:r w:rsidRPr="00CD0535">
        <w:lastRenderedPageBreak/>
        <w:t>Ejemplo 1 - Empresas globales:</w:t>
      </w:r>
    </w:p>
    <w:p w14:paraId="56833C08" w14:textId="77777777" w:rsidR="00CD0535" w:rsidRPr="00CD0535" w:rsidRDefault="00CD0535" w:rsidP="00CD0535">
      <w:r w:rsidRPr="00CD0535">
        <w:rPr>
          <w:b/>
          <w:bCs/>
        </w:rPr>
        <w:t>Objetivos:</w:t>
      </w:r>
    </w:p>
    <w:p w14:paraId="03A2F3CC" w14:textId="77777777" w:rsidR="00CD0535" w:rsidRPr="00CD0535" w:rsidRDefault="00CD0535" w:rsidP="00CD0535">
      <w:pPr>
        <w:numPr>
          <w:ilvl w:val="0"/>
          <w:numId w:val="2"/>
        </w:numPr>
      </w:pPr>
      <w:r w:rsidRPr="00CD0535">
        <w:t>Identifique las configuraciones erróneas del sistema y las debilidades de la red.</w:t>
      </w:r>
    </w:p>
    <w:p w14:paraId="1D6F9A60" w14:textId="77777777" w:rsidR="00CD0535" w:rsidRPr="00CD0535" w:rsidRDefault="00CD0535" w:rsidP="00CD0535">
      <w:pPr>
        <w:numPr>
          <w:ilvl w:val="1"/>
          <w:numId w:val="2"/>
        </w:numPr>
      </w:pPr>
      <w:r w:rsidRPr="00CD0535">
        <w:t>Centrarse en los sistemas exteriores.</w:t>
      </w:r>
    </w:p>
    <w:p w14:paraId="5D82105E" w14:textId="77777777" w:rsidR="00CD0535" w:rsidRPr="00CD0535" w:rsidRDefault="00CD0535" w:rsidP="00CD0535">
      <w:pPr>
        <w:numPr>
          <w:ilvl w:val="0"/>
          <w:numId w:val="2"/>
        </w:numPr>
      </w:pPr>
      <w:r w:rsidRPr="00CD0535">
        <w:t>Determinar la efectividad de los sistemas de detección y respuesta de punto final.</w:t>
      </w:r>
    </w:p>
    <w:p w14:paraId="61BAC887" w14:textId="77777777" w:rsidR="00CD0535" w:rsidRPr="00CD0535" w:rsidRDefault="00CD0535" w:rsidP="00CD0535">
      <w:pPr>
        <w:numPr>
          <w:ilvl w:val="0"/>
          <w:numId w:val="2"/>
        </w:numPr>
      </w:pPr>
      <w:r w:rsidRPr="00CD0535">
        <w:t>Evaluar la postura y respuesta de seguridad general.</w:t>
      </w:r>
    </w:p>
    <w:p w14:paraId="55ABCFD6" w14:textId="77777777" w:rsidR="00CD0535" w:rsidRPr="00CD0535" w:rsidRDefault="00CD0535" w:rsidP="00CD0535">
      <w:pPr>
        <w:numPr>
          <w:ilvl w:val="1"/>
          <w:numId w:val="2"/>
        </w:numPr>
      </w:pPr>
      <w:r w:rsidRPr="00CD0535">
        <w:t>SIEM y medidas de detección.</w:t>
      </w:r>
    </w:p>
    <w:p w14:paraId="3B513B0E" w14:textId="77777777" w:rsidR="00CD0535" w:rsidRPr="00CD0535" w:rsidRDefault="00CD0535" w:rsidP="00CD0535">
      <w:pPr>
        <w:numPr>
          <w:ilvl w:val="1"/>
          <w:numId w:val="2"/>
        </w:numPr>
      </w:pPr>
      <w:r w:rsidRPr="00CD0535">
        <w:t>Remediación.</w:t>
      </w:r>
    </w:p>
    <w:p w14:paraId="36535AA8" w14:textId="77777777" w:rsidR="00CD0535" w:rsidRPr="00CD0535" w:rsidRDefault="00CD0535" w:rsidP="00CD0535">
      <w:pPr>
        <w:numPr>
          <w:ilvl w:val="1"/>
          <w:numId w:val="2"/>
        </w:numPr>
      </w:pPr>
      <w:r w:rsidRPr="00CD0535">
        <w:t>Segmentación de DMZ y servidores internos.</w:t>
      </w:r>
    </w:p>
    <w:p w14:paraId="36C9BF51" w14:textId="77777777" w:rsidR="00CD0535" w:rsidRPr="00CD0535" w:rsidRDefault="00CD0535" w:rsidP="00CD0535">
      <w:pPr>
        <w:numPr>
          <w:ilvl w:val="0"/>
          <w:numId w:val="2"/>
        </w:numPr>
      </w:pPr>
      <w:r w:rsidRPr="00CD0535">
        <w:t>Se permite el uso de tarjetas blancas dependiendo del tiempo de inactividad y la duración.</w:t>
      </w:r>
    </w:p>
    <w:p w14:paraId="74BD498F" w14:textId="77777777" w:rsidR="00CD0535" w:rsidRPr="00CD0535" w:rsidRDefault="00CD0535" w:rsidP="00CD0535">
      <w:pPr>
        <w:numPr>
          <w:ilvl w:val="0"/>
          <w:numId w:val="2"/>
        </w:numPr>
      </w:pPr>
      <w:r w:rsidRPr="00CD0535">
        <w:t>Evaluar el impacto de la exposición y exfiltración de datos.</w:t>
      </w:r>
    </w:p>
    <w:p w14:paraId="1CBBE990" w14:textId="77777777" w:rsidR="00CD0535" w:rsidRPr="00CD0535" w:rsidRDefault="00CD0535" w:rsidP="00CD0535">
      <w:r w:rsidRPr="00CD0535">
        <w:rPr>
          <w:b/>
          <w:bCs/>
        </w:rPr>
        <w:t>Alcance:</w:t>
      </w:r>
    </w:p>
    <w:p w14:paraId="6FFC0177" w14:textId="77777777" w:rsidR="00CD0535" w:rsidRPr="00CD0535" w:rsidRDefault="00CD0535" w:rsidP="00CD0535">
      <w:pPr>
        <w:numPr>
          <w:ilvl w:val="0"/>
          <w:numId w:val="3"/>
        </w:numPr>
      </w:pPr>
      <w:r w:rsidRPr="00CD0535">
        <w:t xml:space="preserve">El tiempo de inactividad del sistema no está permitido </w:t>
      </w:r>
      <w:proofErr w:type="gramStart"/>
      <w:r w:rsidRPr="00CD0535">
        <w:t>bajo ninguna circunstancia</w:t>
      </w:r>
      <w:proofErr w:type="gramEnd"/>
      <w:r w:rsidRPr="00CD0535">
        <w:t>.</w:t>
      </w:r>
    </w:p>
    <w:p w14:paraId="31D12F5D" w14:textId="77777777" w:rsidR="00CD0535" w:rsidRPr="00CD0535" w:rsidRDefault="00CD0535" w:rsidP="00CD0535">
      <w:pPr>
        <w:numPr>
          <w:ilvl w:val="1"/>
          <w:numId w:val="3"/>
        </w:numPr>
      </w:pPr>
      <w:r w:rsidRPr="00CD0535">
        <w:t xml:space="preserve">Cualquier forma de </w:t>
      </w:r>
      <w:proofErr w:type="spellStart"/>
      <w:r w:rsidRPr="00CD0535">
        <w:t>DDoS</w:t>
      </w:r>
      <w:proofErr w:type="spellEnd"/>
      <w:r w:rsidRPr="00CD0535">
        <w:t xml:space="preserve"> o DoS está prohibida.</w:t>
      </w:r>
    </w:p>
    <w:p w14:paraId="4112C373" w14:textId="77777777" w:rsidR="00CD0535" w:rsidRPr="00CD0535" w:rsidRDefault="00CD0535" w:rsidP="00CD0535">
      <w:pPr>
        <w:numPr>
          <w:ilvl w:val="1"/>
          <w:numId w:val="3"/>
        </w:numPr>
      </w:pPr>
      <w:r w:rsidRPr="00CD0535">
        <w:t xml:space="preserve">El uso de cualquier </w:t>
      </w:r>
      <w:proofErr w:type="gramStart"/>
      <w:r w:rsidRPr="00CD0535">
        <w:t>malware</w:t>
      </w:r>
      <w:proofErr w:type="gramEnd"/>
      <w:r w:rsidRPr="00CD0535">
        <w:t xml:space="preserve"> dañino está prohibido; esto incluye </w:t>
      </w:r>
      <w:proofErr w:type="spellStart"/>
      <w:r w:rsidRPr="00CD0535">
        <w:t>ransomware</w:t>
      </w:r>
      <w:proofErr w:type="spellEnd"/>
      <w:r w:rsidRPr="00CD0535">
        <w:t xml:space="preserve"> y otras variaciones.</w:t>
      </w:r>
    </w:p>
    <w:p w14:paraId="07E0E341" w14:textId="77777777" w:rsidR="00CD0535" w:rsidRPr="00CD0535" w:rsidRDefault="00CD0535" w:rsidP="00CD0535">
      <w:pPr>
        <w:numPr>
          <w:ilvl w:val="0"/>
          <w:numId w:val="3"/>
        </w:numPr>
      </w:pPr>
      <w:r w:rsidRPr="00CD0535">
        <w:t>La exfiltración de PII está prohibida. Usar datos de exfiltración arbitrarios.</w:t>
      </w:r>
    </w:p>
    <w:p w14:paraId="597AEB3C" w14:textId="77777777" w:rsidR="00CD0535" w:rsidRPr="00CD0535" w:rsidRDefault="00CD0535" w:rsidP="00CD0535">
      <w:pPr>
        <w:numPr>
          <w:ilvl w:val="0"/>
          <w:numId w:val="3"/>
        </w:numPr>
      </w:pPr>
      <w:r w:rsidRPr="00CD0535">
        <w:t>Se permiten ataques contra sistemas dentro de 10.0.4.0/22.</w:t>
      </w:r>
    </w:p>
    <w:p w14:paraId="5B9F4698" w14:textId="77777777" w:rsidR="00CD0535" w:rsidRPr="00CD0535" w:rsidRDefault="00CD0535" w:rsidP="00CD0535">
      <w:pPr>
        <w:numPr>
          <w:ilvl w:val="0"/>
          <w:numId w:val="3"/>
        </w:numPr>
      </w:pPr>
      <w:r w:rsidRPr="00CD0535">
        <w:t>Los ataques contra sistemas dentro del 10.0.12.0/22 están prohibidos.</w:t>
      </w:r>
    </w:p>
    <w:p w14:paraId="08642158" w14:textId="77777777" w:rsidR="00CD0535" w:rsidRPr="00CD0535" w:rsidRDefault="00CD0535" w:rsidP="00CD0535">
      <w:pPr>
        <w:numPr>
          <w:ilvl w:val="0"/>
          <w:numId w:val="3"/>
        </w:numPr>
      </w:pPr>
      <w:proofErr w:type="spellStart"/>
      <w:r w:rsidRPr="00CD0535">
        <w:t>Bean</w:t>
      </w:r>
      <w:proofErr w:type="spellEnd"/>
      <w:r w:rsidRPr="00CD0535">
        <w:t xml:space="preserve"> </w:t>
      </w:r>
      <w:proofErr w:type="spellStart"/>
      <w:r w:rsidRPr="00CD0535">
        <w:t>Enterprises</w:t>
      </w:r>
      <w:proofErr w:type="spellEnd"/>
      <w:r w:rsidRPr="00CD0535">
        <w:t xml:space="preserve"> supervisará de cerca las interacciones con la DMZ y los sistemas críticos/de producción.</w:t>
      </w:r>
    </w:p>
    <w:p w14:paraId="045FE492" w14:textId="77777777" w:rsidR="00CD0535" w:rsidRPr="00CD0535" w:rsidRDefault="00CD0535" w:rsidP="00CD0535">
      <w:pPr>
        <w:numPr>
          <w:ilvl w:val="1"/>
          <w:numId w:val="3"/>
        </w:numPr>
      </w:pPr>
      <w:r w:rsidRPr="00CD0535">
        <w:t>Cualquier interacción con "*.</w:t>
      </w:r>
      <w:proofErr w:type="spellStart"/>
      <w:r w:rsidRPr="00CD0535">
        <w:t>bethechange.xyz</w:t>
      </w:r>
      <w:proofErr w:type="spellEnd"/>
      <w:r w:rsidRPr="00CD0535">
        <w:t>" está prohibida.</w:t>
      </w:r>
    </w:p>
    <w:p w14:paraId="6DD05FF8" w14:textId="77777777" w:rsidR="00CD0535" w:rsidRPr="00CD0535" w:rsidRDefault="00CD0535" w:rsidP="00CD0535">
      <w:pPr>
        <w:numPr>
          <w:ilvl w:val="1"/>
          <w:numId w:val="3"/>
        </w:numPr>
      </w:pPr>
      <w:r w:rsidRPr="00CD0535">
        <w:t>Se permite toda interacción con "*.</w:t>
      </w:r>
      <w:proofErr w:type="spellStart"/>
      <w:r w:rsidRPr="00CD0535">
        <w:t>globalenterprises.thm</w:t>
      </w:r>
      <w:proofErr w:type="spellEnd"/>
      <w:r w:rsidRPr="00CD0535">
        <w:t>".</w:t>
      </w:r>
    </w:p>
    <w:p w14:paraId="51958819" w14:textId="77777777" w:rsidR="00AE52F8" w:rsidRDefault="00AE52F8"/>
    <w:p w14:paraId="2C3DD387" w14:textId="77777777" w:rsidR="00CD0535" w:rsidRDefault="00CD0535"/>
    <w:p w14:paraId="2B887547" w14:textId="77777777" w:rsidR="00CD0535" w:rsidRDefault="00CD0535"/>
    <w:p w14:paraId="24E8F3BC" w14:textId="77777777" w:rsidR="00CD0535" w:rsidRDefault="00CD0535"/>
    <w:p w14:paraId="50E66383" w14:textId="77777777" w:rsidR="00CD0535" w:rsidRDefault="00CD0535"/>
    <w:p w14:paraId="3F5ACC53" w14:textId="77777777" w:rsidR="00CD0535" w:rsidRDefault="00CD0535"/>
    <w:p w14:paraId="3021474F" w14:textId="77777777" w:rsidR="00CD0535" w:rsidRDefault="00CD0535"/>
    <w:p w14:paraId="618173E8" w14:textId="77777777" w:rsidR="00CD0535" w:rsidRPr="00CD0535" w:rsidRDefault="00CD0535" w:rsidP="00CD0535">
      <w:r w:rsidRPr="00CD0535">
        <w:lastRenderedPageBreak/>
        <w:t>Reglas de Compromiso (</w:t>
      </w:r>
      <w:proofErr w:type="spellStart"/>
      <w:r w:rsidRPr="00CD0535">
        <w:t>RoE</w:t>
      </w:r>
      <w:proofErr w:type="spellEnd"/>
      <w:r w:rsidRPr="00CD0535">
        <w:t>) son un esquema legalmente vinculante de los objetivos y el alcance del cliente con más detalles de las expectativas de compromiso entre ambas partes. Este es el primer documento "oficial" en el proceso de planificación del compromiso y requiere la autorización adecuada entre el cliente y el equipo rojo. Este documento a menudo actúa como el contrato general entre las dos partes; un contrato externo u otras NDA (</w:t>
      </w:r>
      <w:proofErr w:type="spellStart"/>
      <w:r w:rsidRPr="00CD0535">
        <w:rPr>
          <w:b/>
          <w:bCs/>
        </w:rPr>
        <w:t>N</w:t>
      </w:r>
      <w:r w:rsidRPr="00CD0535">
        <w:t>en</w:t>
      </w:r>
      <w:r w:rsidRPr="00CD0535">
        <w:rPr>
          <w:b/>
          <w:bCs/>
        </w:rPr>
        <w:t>D</w:t>
      </w:r>
      <w:r w:rsidRPr="00CD0535">
        <w:t>isclosure</w:t>
      </w:r>
      <w:proofErr w:type="spellEnd"/>
      <w:r w:rsidRPr="00CD0535">
        <w:t> </w:t>
      </w:r>
      <w:proofErr w:type="spellStart"/>
      <w:r w:rsidRPr="00CD0535">
        <w:rPr>
          <w:b/>
          <w:bCs/>
        </w:rPr>
        <w:t>A</w:t>
      </w:r>
      <w:r w:rsidRPr="00CD0535">
        <w:t>el</w:t>
      </w:r>
      <w:proofErr w:type="spellEnd"/>
      <w:r w:rsidRPr="00CD0535">
        <w:t xml:space="preserve"> acuerdo) también se puede utilizar.</w:t>
      </w:r>
    </w:p>
    <w:p w14:paraId="3E488231" w14:textId="77777777" w:rsidR="00CD0535" w:rsidRPr="00CD0535" w:rsidRDefault="00CD0535" w:rsidP="00CD0535">
      <w:r w:rsidRPr="00CD0535">
        <w:t>El formato y la redacción de la </w:t>
      </w:r>
      <w:proofErr w:type="spellStart"/>
      <w:r w:rsidRPr="00CD0535">
        <w:t>RoE</w:t>
      </w:r>
      <w:proofErr w:type="spellEnd"/>
      <w:r w:rsidRPr="00CD0535">
        <w:t> son críticos ya que es un contrato legalmente vinculante y establece expectativas claras.</w:t>
      </w:r>
    </w:p>
    <w:p w14:paraId="7EB775C0" w14:textId="77777777" w:rsidR="00CD0535" w:rsidRPr="00CD0535" w:rsidRDefault="00CD0535" w:rsidP="00CD0535">
      <w:r w:rsidRPr="00CD0535">
        <w:t>Cada </w:t>
      </w:r>
      <w:proofErr w:type="spellStart"/>
      <w:r w:rsidRPr="00CD0535">
        <w:t>RoE</w:t>
      </w:r>
      <w:proofErr w:type="spellEnd"/>
      <w:r w:rsidRPr="00CD0535">
        <w:t xml:space="preserve"> la estructura será determinada por el cliente y el equipo rojo y puede variar en la longitud del contenido y las secciones generales. A </w:t>
      </w:r>
      <w:proofErr w:type="gramStart"/>
      <w:r w:rsidRPr="00CD0535">
        <w:t>continuación</w:t>
      </w:r>
      <w:proofErr w:type="gramEnd"/>
      <w:r w:rsidRPr="00CD0535">
        <w:t xml:space="preserve"> se muestra una breve tabla de secciones estándar que puede ver contenidas en el </w:t>
      </w:r>
      <w:proofErr w:type="spellStart"/>
      <w:r w:rsidRPr="00CD0535">
        <w:t>RoE</w:t>
      </w:r>
      <w:proofErr w:type="spellEnd"/>
      <w:r w:rsidRPr="00CD0535">
        <w:t>.</w:t>
      </w:r>
    </w:p>
    <w:tbl>
      <w:tblPr>
        <w:tblW w:w="18480" w:type="dxa"/>
        <w:tblCellSpacing w:w="15" w:type="dxa"/>
        <w:tblCellMar>
          <w:left w:w="0" w:type="dxa"/>
          <w:right w:w="0" w:type="dxa"/>
        </w:tblCellMar>
        <w:tblLook w:val="04A0" w:firstRow="1" w:lastRow="0" w:firstColumn="1" w:lastColumn="0" w:noHBand="0" w:noVBand="1"/>
      </w:tblPr>
      <w:tblGrid>
        <w:gridCol w:w="5505"/>
        <w:gridCol w:w="12975"/>
      </w:tblGrid>
      <w:tr w:rsidR="00CD0535" w:rsidRPr="00CD0535" w14:paraId="4147A10C" w14:textId="77777777" w:rsidTr="00CD0535">
        <w:trPr>
          <w:tblCellSpacing w:w="15" w:type="dxa"/>
        </w:trPr>
        <w:tc>
          <w:tcPr>
            <w:tcW w:w="0" w:type="auto"/>
            <w:shd w:val="clear" w:color="auto" w:fill="auto"/>
            <w:hideMark/>
          </w:tcPr>
          <w:p w14:paraId="5F2D52CA" w14:textId="77777777" w:rsidR="00CD0535" w:rsidRPr="00CD0535" w:rsidRDefault="00CD0535" w:rsidP="00CD0535">
            <w:r w:rsidRPr="00CD0535">
              <w:rPr>
                <w:b/>
                <w:bCs/>
              </w:rPr>
              <w:t>Nombre de la Sección</w:t>
            </w:r>
          </w:p>
        </w:tc>
        <w:tc>
          <w:tcPr>
            <w:tcW w:w="0" w:type="auto"/>
            <w:shd w:val="clear" w:color="auto" w:fill="auto"/>
            <w:hideMark/>
          </w:tcPr>
          <w:p w14:paraId="68CDFBF4" w14:textId="77777777" w:rsidR="00CD0535" w:rsidRPr="00CD0535" w:rsidRDefault="00CD0535" w:rsidP="00CD0535">
            <w:r w:rsidRPr="00CD0535">
              <w:rPr>
                <w:b/>
                <w:bCs/>
              </w:rPr>
              <w:t>Detalles de la Sección</w:t>
            </w:r>
          </w:p>
        </w:tc>
      </w:tr>
      <w:tr w:rsidR="00CD0535" w:rsidRPr="00CD0535" w14:paraId="1DF7F7A2" w14:textId="77777777" w:rsidTr="00CD0535">
        <w:trPr>
          <w:tblCellSpacing w:w="15" w:type="dxa"/>
        </w:trPr>
        <w:tc>
          <w:tcPr>
            <w:tcW w:w="0" w:type="auto"/>
            <w:shd w:val="clear" w:color="auto" w:fill="auto"/>
            <w:hideMark/>
          </w:tcPr>
          <w:p w14:paraId="73FA284A" w14:textId="77777777" w:rsidR="00CD0535" w:rsidRPr="00CD0535" w:rsidRDefault="00CD0535" w:rsidP="00CD0535">
            <w:r w:rsidRPr="00CD0535">
              <w:t>Resumen Ejecutivo</w:t>
            </w:r>
          </w:p>
        </w:tc>
        <w:tc>
          <w:tcPr>
            <w:tcW w:w="0" w:type="auto"/>
            <w:shd w:val="clear" w:color="auto" w:fill="auto"/>
            <w:hideMark/>
          </w:tcPr>
          <w:p w14:paraId="5EE8A467" w14:textId="77777777" w:rsidR="00CD0535" w:rsidRPr="00CD0535" w:rsidRDefault="00CD0535" w:rsidP="00CD0535">
            <w:r w:rsidRPr="00CD0535">
              <w:t>Resumen general de todos los contenidos y autorización dentro </w:t>
            </w:r>
            <w:proofErr w:type="spellStart"/>
            <w:r w:rsidRPr="00CD0535">
              <w:t>RoE</w:t>
            </w:r>
            <w:proofErr w:type="spellEnd"/>
            <w:r w:rsidRPr="00CD0535">
              <w:t> documento</w:t>
            </w:r>
          </w:p>
        </w:tc>
      </w:tr>
      <w:tr w:rsidR="00CD0535" w:rsidRPr="00CD0535" w14:paraId="0F346544" w14:textId="77777777" w:rsidTr="00CD0535">
        <w:trPr>
          <w:tblCellSpacing w:w="15" w:type="dxa"/>
        </w:trPr>
        <w:tc>
          <w:tcPr>
            <w:tcW w:w="0" w:type="auto"/>
            <w:shd w:val="clear" w:color="auto" w:fill="auto"/>
            <w:hideMark/>
          </w:tcPr>
          <w:p w14:paraId="4CE3D120" w14:textId="77777777" w:rsidR="00CD0535" w:rsidRPr="00CD0535" w:rsidRDefault="00CD0535" w:rsidP="00CD0535">
            <w:r w:rsidRPr="00CD0535">
              <w:t>Propósito</w:t>
            </w:r>
          </w:p>
        </w:tc>
        <w:tc>
          <w:tcPr>
            <w:tcW w:w="0" w:type="auto"/>
            <w:shd w:val="clear" w:color="auto" w:fill="auto"/>
            <w:hideMark/>
          </w:tcPr>
          <w:p w14:paraId="5ADA9935" w14:textId="77777777" w:rsidR="00CD0535" w:rsidRPr="00CD0535" w:rsidRDefault="00CD0535" w:rsidP="00CD0535">
            <w:r w:rsidRPr="00CD0535">
              <w:t>Define por qué el </w:t>
            </w:r>
            <w:proofErr w:type="spellStart"/>
            <w:r w:rsidRPr="00CD0535">
              <w:t>RoE</w:t>
            </w:r>
            <w:proofErr w:type="spellEnd"/>
            <w:r w:rsidRPr="00CD0535">
              <w:t> se utiliza el documento</w:t>
            </w:r>
          </w:p>
        </w:tc>
      </w:tr>
      <w:tr w:rsidR="00CD0535" w:rsidRPr="00CD0535" w14:paraId="449F7A0F" w14:textId="77777777" w:rsidTr="00CD0535">
        <w:trPr>
          <w:tblCellSpacing w:w="15" w:type="dxa"/>
        </w:trPr>
        <w:tc>
          <w:tcPr>
            <w:tcW w:w="0" w:type="auto"/>
            <w:shd w:val="clear" w:color="auto" w:fill="auto"/>
            <w:hideMark/>
          </w:tcPr>
          <w:p w14:paraId="681DA177" w14:textId="77777777" w:rsidR="00CD0535" w:rsidRPr="00CD0535" w:rsidRDefault="00CD0535" w:rsidP="00CD0535">
            <w:r w:rsidRPr="00CD0535">
              <w:t>Referencias</w:t>
            </w:r>
          </w:p>
        </w:tc>
        <w:tc>
          <w:tcPr>
            <w:tcW w:w="0" w:type="auto"/>
            <w:shd w:val="clear" w:color="auto" w:fill="auto"/>
            <w:hideMark/>
          </w:tcPr>
          <w:p w14:paraId="53C8422C" w14:textId="77777777" w:rsidR="00CD0535" w:rsidRPr="00CD0535" w:rsidRDefault="00CD0535" w:rsidP="00CD0535">
            <w:r w:rsidRPr="00CD0535">
              <w:t>Cualquier referencia utilizada en todo el </w:t>
            </w:r>
            <w:proofErr w:type="spellStart"/>
            <w:r w:rsidRPr="00CD0535">
              <w:t>RoE</w:t>
            </w:r>
            <w:proofErr w:type="spellEnd"/>
            <w:r w:rsidRPr="00CD0535">
              <w:t> documento (HIPAA, ISO, etc.)</w:t>
            </w:r>
          </w:p>
        </w:tc>
      </w:tr>
      <w:tr w:rsidR="00CD0535" w:rsidRPr="00CD0535" w14:paraId="6F13B53F" w14:textId="77777777" w:rsidTr="00CD0535">
        <w:trPr>
          <w:tblCellSpacing w:w="15" w:type="dxa"/>
        </w:trPr>
        <w:tc>
          <w:tcPr>
            <w:tcW w:w="0" w:type="auto"/>
            <w:shd w:val="clear" w:color="auto" w:fill="auto"/>
            <w:hideMark/>
          </w:tcPr>
          <w:p w14:paraId="351A76C1" w14:textId="77777777" w:rsidR="00CD0535" w:rsidRPr="00CD0535" w:rsidRDefault="00CD0535" w:rsidP="00CD0535">
            <w:r w:rsidRPr="00CD0535">
              <w:t>Alcance</w:t>
            </w:r>
          </w:p>
        </w:tc>
        <w:tc>
          <w:tcPr>
            <w:tcW w:w="0" w:type="auto"/>
            <w:shd w:val="clear" w:color="auto" w:fill="auto"/>
            <w:hideMark/>
          </w:tcPr>
          <w:p w14:paraId="534A93C4" w14:textId="77777777" w:rsidR="00CD0535" w:rsidRPr="00CD0535" w:rsidRDefault="00CD0535" w:rsidP="00CD0535">
            <w:r w:rsidRPr="00CD0535">
              <w:t>Declaración del acuerdo sobre restricciones y directrices</w:t>
            </w:r>
          </w:p>
        </w:tc>
      </w:tr>
      <w:tr w:rsidR="00CD0535" w:rsidRPr="00CD0535" w14:paraId="69087D11" w14:textId="77777777" w:rsidTr="00CD0535">
        <w:trPr>
          <w:tblCellSpacing w:w="15" w:type="dxa"/>
        </w:trPr>
        <w:tc>
          <w:tcPr>
            <w:tcW w:w="0" w:type="auto"/>
            <w:shd w:val="clear" w:color="auto" w:fill="auto"/>
            <w:hideMark/>
          </w:tcPr>
          <w:p w14:paraId="621D1311" w14:textId="77777777" w:rsidR="00CD0535" w:rsidRPr="00CD0535" w:rsidRDefault="00CD0535" w:rsidP="00CD0535">
            <w:r w:rsidRPr="00CD0535">
              <w:t>Definiciones</w:t>
            </w:r>
          </w:p>
        </w:tc>
        <w:tc>
          <w:tcPr>
            <w:tcW w:w="0" w:type="auto"/>
            <w:shd w:val="clear" w:color="auto" w:fill="auto"/>
            <w:hideMark/>
          </w:tcPr>
          <w:p w14:paraId="107163A5" w14:textId="77777777" w:rsidR="00CD0535" w:rsidRPr="00CD0535" w:rsidRDefault="00CD0535" w:rsidP="00CD0535">
            <w:r w:rsidRPr="00CD0535">
              <w:t>Definiciones de términos técnicos utilizados a lo largo de la </w:t>
            </w:r>
            <w:proofErr w:type="spellStart"/>
            <w:r w:rsidRPr="00CD0535">
              <w:t>RoE</w:t>
            </w:r>
            <w:proofErr w:type="spellEnd"/>
            <w:r w:rsidRPr="00CD0535">
              <w:t> documento</w:t>
            </w:r>
          </w:p>
        </w:tc>
      </w:tr>
      <w:tr w:rsidR="00CD0535" w:rsidRPr="00CD0535" w14:paraId="770EDC66" w14:textId="77777777" w:rsidTr="00CD0535">
        <w:trPr>
          <w:tblCellSpacing w:w="15" w:type="dxa"/>
        </w:trPr>
        <w:tc>
          <w:tcPr>
            <w:tcW w:w="0" w:type="auto"/>
            <w:shd w:val="clear" w:color="auto" w:fill="auto"/>
            <w:hideMark/>
          </w:tcPr>
          <w:p w14:paraId="05B2E400" w14:textId="77777777" w:rsidR="00CD0535" w:rsidRPr="00CD0535" w:rsidRDefault="00CD0535" w:rsidP="00CD0535">
            <w:r w:rsidRPr="00CD0535">
              <w:t>Reglas de Acuerdo de Participación y Apoyo</w:t>
            </w:r>
          </w:p>
        </w:tc>
        <w:tc>
          <w:tcPr>
            <w:tcW w:w="0" w:type="auto"/>
            <w:shd w:val="clear" w:color="auto" w:fill="auto"/>
            <w:hideMark/>
          </w:tcPr>
          <w:p w14:paraId="3AE179EA" w14:textId="77777777" w:rsidR="00CD0535" w:rsidRPr="00CD0535" w:rsidRDefault="00CD0535" w:rsidP="00CD0535">
            <w:r w:rsidRPr="00CD0535">
              <w:t>Define las obligaciones de ambas partes y las expectativas técnicas generales de la conducta de compromiso</w:t>
            </w:r>
          </w:p>
        </w:tc>
      </w:tr>
      <w:tr w:rsidR="00CD0535" w:rsidRPr="00CD0535" w14:paraId="5C7DB982" w14:textId="77777777" w:rsidTr="00CD0535">
        <w:trPr>
          <w:tblCellSpacing w:w="15" w:type="dxa"/>
        </w:trPr>
        <w:tc>
          <w:tcPr>
            <w:tcW w:w="0" w:type="auto"/>
            <w:shd w:val="clear" w:color="auto" w:fill="auto"/>
            <w:hideMark/>
          </w:tcPr>
          <w:p w14:paraId="102A1F75" w14:textId="77777777" w:rsidR="00CD0535" w:rsidRPr="00CD0535" w:rsidRDefault="00CD0535" w:rsidP="00CD0535">
            <w:r w:rsidRPr="00CD0535">
              <w:t>Disposiciones</w:t>
            </w:r>
          </w:p>
        </w:tc>
        <w:tc>
          <w:tcPr>
            <w:tcW w:w="0" w:type="auto"/>
            <w:shd w:val="clear" w:color="auto" w:fill="auto"/>
            <w:hideMark/>
          </w:tcPr>
          <w:p w14:paraId="3B057C48" w14:textId="77777777" w:rsidR="00CD0535" w:rsidRPr="00CD0535" w:rsidRDefault="00CD0535" w:rsidP="00CD0535">
            <w:r w:rsidRPr="00CD0535">
              <w:t>Definir excepciones e información adicional de las Reglas de Compromiso</w:t>
            </w:r>
          </w:p>
        </w:tc>
      </w:tr>
      <w:tr w:rsidR="00CD0535" w:rsidRPr="00CD0535" w14:paraId="7C29AD54" w14:textId="77777777" w:rsidTr="00CD0535">
        <w:trPr>
          <w:tblCellSpacing w:w="15" w:type="dxa"/>
        </w:trPr>
        <w:tc>
          <w:tcPr>
            <w:tcW w:w="0" w:type="auto"/>
            <w:shd w:val="clear" w:color="auto" w:fill="auto"/>
            <w:hideMark/>
          </w:tcPr>
          <w:p w14:paraId="5E42AAE2" w14:textId="77777777" w:rsidR="00CD0535" w:rsidRPr="00CD0535" w:rsidRDefault="00CD0535" w:rsidP="00CD0535">
            <w:r w:rsidRPr="00CD0535">
              <w:t>Requisitos, Restricciones y Autoridad </w:t>
            </w:r>
          </w:p>
        </w:tc>
        <w:tc>
          <w:tcPr>
            <w:tcW w:w="0" w:type="auto"/>
            <w:shd w:val="clear" w:color="auto" w:fill="auto"/>
            <w:hideMark/>
          </w:tcPr>
          <w:p w14:paraId="3EA28734" w14:textId="77777777" w:rsidR="00CD0535" w:rsidRPr="00CD0535" w:rsidRDefault="00CD0535" w:rsidP="00CD0535">
            <w:r w:rsidRPr="00CD0535">
              <w:t>Defina las expectativas específicas del equipo rojo</w:t>
            </w:r>
          </w:p>
        </w:tc>
      </w:tr>
      <w:tr w:rsidR="00CD0535" w:rsidRPr="00CD0535" w14:paraId="05E47B82" w14:textId="77777777" w:rsidTr="00CD0535">
        <w:trPr>
          <w:tblCellSpacing w:w="15" w:type="dxa"/>
        </w:trPr>
        <w:tc>
          <w:tcPr>
            <w:tcW w:w="0" w:type="auto"/>
            <w:shd w:val="clear" w:color="auto" w:fill="auto"/>
            <w:hideMark/>
          </w:tcPr>
          <w:p w14:paraId="65EB6EBE" w14:textId="77777777" w:rsidR="00CD0535" w:rsidRPr="00CD0535" w:rsidRDefault="00CD0535" w:rsidP="00CD0535">
            <w:r w:rsidRPr="00CD0535">
              <w:t>Reglas de Tierra</w:t>
            </w:r>
          </w:p>
        </w:tc>
        <w:tc>
          <w:tcPr>
            <w:tcW w:w="0" w:type="auto"/>
            <w:shd w:val="clear" w:color="auto" w:fill="auto"/>
            <w:hideMark/>
          </w:tcPr>
          <w:p w14:paraId="1404595A" w14:textId="77777777" w:rsidR="00CD0535" w:rsidRPr="00CD0535" w:rsidRDefault="00CD0535" w:rsidP="00CD0535">
            <w:r w:rsidRPr="00CD0535">
              <w:t>Defina las limitaciones de las interacciones del equipo rojo</w:t>
            </w:r>
          </w:p>
        </w:tc>
      </w:tr>
      <w:tr w:rsidR="00CD0535" w:rsidRPr="00CD0535" w14:paraId="257DCB4E" w14:textId="77777777" w:rsidTr="00CD0535">
        <w:trPr>
          <w:tblCellSpacing w:w="15" w:type="dxa"/>
        </w:trPr>
        <w:tc>
          <w:tcPr>
            <w:tcW w:w="0" w:type="auto"/>
            <w:shd w:val="clear" w:color="auto" w:fill="auto"/>
            <w:hideMark/>
          </w:tcPr>
          <w:p w14:paraId="2962EB57" w14:textId="77777777" w:rsidR="00CD0535" w:rsidRPr="00CD0535" w:rsidRDefault="00CD0535" w:rsidP="00CD0535">
            <w:r w:rsidRPr="00CD0535">
              <w:t>Resolución de Problemas/Puntos de Contacto</w:t>
            </w:r>
          </w:p>
        </w:tc>
        <w:tc>
          <w:tcPr>
            <w:tcW w:w="0" w:type="auto"/>
            <w:shd w:val="clear" w:color="auto" w:fill="auto"/>
            <w:hideMark/>
          </w:tcPr>
          <w:p w14:paraId="52EB3C86" w14:textId="77777777" w:rsidR="00CD0535" w:rsidRPr="00CD0535" w:rsidRDefault="00CD0535" w:rsidP="00CD0535">
            <w:r w:rsidRPr="00CD0535">
              <w:t>Contiene todo el personal esencial involucrado en un compromiso</w:t>
            </w:r>
          </w:p>
        </w:tc>
      </w:tr>
      <w:tr w:rsidR="00CD0535" w:rsidRPr="00CD0535" w14:paraId="25BEF59F" w14:textId="77777777" w:rsidTr="00CD0535">
        <w:trPr>
          <w:tblCellSpacing w:w="15" w:type="dxa"/>
        </w:trPr>
        <w:tc>
          <w:tcPr>
            <w:tcW w:w="0" w:type="auto"/>
            <w:shd w:val="clear" w:color="auto" w:fill="auto"/>
            <w:hideMark/>
          </w:tcPr>
          <w:p w14:paraId="65ED3504" w14:textId="77777777" w:rsidR="00CD0535" w:rsidRPr="00CD0535" w:rsidRDefault="00CD0535" w:rsidP="00CD0535">
            <w:r w:rsidRPr="00CD0535">
              <w:t>Autorización</w:t>
            </w:r>
          </w:p>
        </w:tc>
        <w:tc>
          <w:tcPr>
            <w:tcW w:w="0" w:type="auto"/>
            <w:shd w:val="clear" w:color="auto" w:fill="auto"/>
            <w:hideMark/>
          </w:tcPr>
          <w:p w14:paraId="5817D7CF" w14:textId="77777777" w:rsidR="00CD0535" w:rsidRPr="00CD0535" w:rsidRDefault="00CD0535" w:rsidP="00CD0535">
            <w:r w:rsidRPr="00CD0535">
              <w:t>Declaración de autorización para el compromiso</w:t>
            </w:r>
          </w:p>
        </w:tc>
      </w:tr>
      <w:tr w:rsidR="00CD0535" w:rsidRPr="00CD0535" w14:paraId="11E771D6" w14:textId="77777777" w:rsidTr="00CD0535">
        <w:trPr>
          <w:tblCellSpacing w:w="15" w:type="dxa"/>
        </w:trPr>
        <w:tc>
          <w:tcPr>
            <w:tcW w:w="0" w:type="auto"/>
            <w:shd w:val="clear" w:color="auto" w:fill="auto"/>
            <w:hideMark/>
          </w:tcPr>
          <w:p w14:paraId="29E18AF0" w14:textId="77777777" w:rsidR="00CD0535" w:rsidRPr="00CD0535" w:rsidRDefault="00CD0535" w:rsidP="00CD0535">
            <w:r w:rsidRPr="00CD0535">
              <w:t>Aprobación </w:t>
            </w:r>
          </w:p>
        </w:tc>
        <w:tc>
          <w:tcPr>
            <w:tcW w:w="0" w:type="auto"/>
            <w:shd w:val="clear" w:color="auto" w:fill="auto"/>
            <w:hideMark/>
          </w:tcPr>
          <w:p w14:paraId="4C9BD92D" w14:textId="77777777" w:rsidR="00CD0535" w:rsidRPr="00CD0535" w:rsidRDefault="00CD0535" w:rsidP="00CD0535">
            <w:r w:rsidRPr="00CD0535">
              <w:t>Firmas de ambas partes que aprueban todas las subsecciones del documento anterior</w:t>
            </w:r>
          </w:p>
        </w:tc>
      </w:tr>
      <w:tr w:rsidR="00CD0535" w:rsidRPr="00CD0535" w14:paraId="080B4A30" w14:textId="77777777" w:rsidTr="00CD0535">
        <w:trPr>
          <w:tblCellSpacing w:w="15" w:type="dxa"/>
        </w:trPr>
        <w:tc>
          <w:tcPr>
            <w:tcW w:w="0" w:type="auto"/>
            <w:shd w:val="clear" w:color="auto" w:fill="auto"/>
            <w:hideMark/>
          </w:tcPr>
          <w:p w14:paraId="7706D417" w14:textId="77777777" w:rsidR="00CD0535" w:rsidRPr="00CD0535" w:rsidRDefault="00CD0535" w:rsidP="00CD0535">
            <w:r w:rsidRPr="00CD0535">
              <w:t>Apéndice</w:t>
            </w:r>
          </w:p>
        </w:tc>
        <w:tc>
          <w:tcPr>
            <w:tcW w:w="0" w:type="auto"/>
            <w:shd w:val="clear" w:color="auto" w:fill="auto"/>
            <w:hideMark/>
          </w:tcPr>
          <w:p w14:paraId="5C035CC8" w14:textId="77777777" w:rsidR="00CD0535" w:rsidRPr="00CD0535" w:rsidRDefault="00CD0535" w:rsidP="00CD0535">
            <w:r w:rsidRPr="00CD0535">
              <w:t>Cualquier información adicional de las subsecciones anteriores</w:t>
            </w:r>
          </w:p>
        </w:tc>
      </w:tr>
    </w:tbl>
    <w:p w14:paraId="3429CBA3" w14:textId="77777777" w:rsidR="00CD0535" w:rsidRPr="00CD0535" w:rsidRDefault="00CD0535" w:rsidP="00CD0535">
      <w:r w:rsidRPr="00CD0535">
        <w:t>Al analizar el documento, es importante recordar que es solo un resumen, y su propósito es ser un documento legal. Se requiere una planificación futura y más profunda para ampliar el </w:t>
      </w:r>
      <w:proofErr w:type="spellStart"/>
      <w:r w:rsidRPr="00CD0535">
        <w:t>RoE</w:t>
      </w:r>
      <w:proofErr w:type="spellEnd"/>
      <w:r w:rsidRPr="00CD0535">
        <w:t> y objetivos del cliente.</w:t>
      </w:r>
    </w:p>
    <w:p w14:paraId="4275E888" w14:textId="77777777" w:rsidR="00CD0535" w:rsidRPr="00CD0535" w:rsidRDefault="00CD0535" w:rsidP="00CD0535">
      <w:r w:rsidRPr="00CD0535">
        <w:t>Para esta tarea utilizaremos un documento abreviado adaptado de </w:t>
      </w:r>
      <w:proofErr w:type="spellStart"/>
      <w:r w:rsidRPr="00CD0535">
        <w:fldChar w:fldCharType="begin"/>
      </w:r>
      <w:r w:rsidRPr="00CD0535">
        <w:instrText>HYPERLINK "https://redteam.guide/docs/templates/roe_template/" \t "_blank"</w:instrText>
      </w:r>
      <w:r w:rsidRPr="00CD0535">
        <w:fldChar w:fldCharType="separate"/>
      </w:r>
      <w:proofErr w:type="gramStart"/>
      <w:r w:rsidRPr="00CD0535">
        <w:rPr>
          <w:rStyle w:val="Hipervnculo"/>
        </w:rPr>
        <w:t>redteam.guía</w:t>
      </w:r>
      <w:proofErr w:type="spellEnd"/>
      <w:proofErr w:type="gramEnd"/>
      <w:r w:rsidRPr="00CD0535">
        <w:fldChar w:fldCharType="end"/>
      </w:r>
    </w:p>
    <w:p w14:paraId="40668BB6" w14:textId="77777777" w:rsidR="00CD0535" w:rsidRPr="00CD0535" w:rsidRDefault="00CD0535" w:rsidP="00CD0535">
      <w:r w:rsidRPr="00CD0535">
        <w:t>Responda las preguntas a continuación</w:t>
      </w:r>
    </w:p>
    <w:p w14:paraId="390AAAF2" w14:textId="77777777" w:rsidR="00CD0535" w:rsidRPr="00CD0535" w:rsidRDefault="00CD0535" w:rsidP="00CD0535">
      <w:r w:rsidRPr="00CD0535">
        <w:t>Descargue las reglas de compromiso de muestra de los archivos de tareas.</w:t>
      </w:r>
    </w:p>
    <w:p w14:paraId="694CD9FB" w14:textId="77777777" w:rsidR="00CD0535" w:rsidRPr="00CD0535" w:rsidRDefault="00CD0535" w:rsidP="00CD0535">
      <w:r w:rsidRPr="00CD0535">
        <w:t>Una vez descargado, lea el documento de muestra y responda las preguntas a continuación.</w:t>
      </w:r>
    </w:p>
    <w:p w14:paraId="44161984" w14:textId="77777777" w:rsidR="000469AA" w:rsidRDefault="000469AA"/>
    <w:p w14:paraId="798A0ACA" w14:textId="77777777" w:rsidR="000469AA" w:rsidRPr="000469AA" w:rsidRDefault="000469AA" w:rsidP="000469AA">
      <w:r>
        <w:lastRenderedPageBreak/>
        <w:t>PLANIFICACION DE CAMPAÑA</w:t>
      </w:r>
      <w:r>
        <w:br/>
      </w:r>
      <w:r w:rsidRPr="000469AA">
        <w:t>Antes de esta tarea, nos hemos centrado principalmente en la planificación del compromiso y la documentación desde la perspectiva comercial. La planificación de campañas utiliza la información adquirida y planificada a partir de los objetivos del cliente y </w:t>
      </w:r>
      <w:proofErr w:type="spellStart"/>
      <w:r w:rsidRPr="000469AA">
        <w:t>RoE</w:t>
      </w:r>
      <w:proofErr w:type="spellEnd"/>
      <w:r w:rsidRPr="000469AA">
        <w:t> y lo aplica a varios planes y documentos para identificar cómo y qué hará el equipo rojo.</w:t>
      </w:r>
    </w:p>
    <w:p w14:paraId="3FCCCEA2" w14:textId="77777777" w:rsidR="000469AA" w:rsidRPr="000469AA" w:rsidRDefault="000469AA" w:rsidP="000469AA">
      <w:r w:rsidRPr="000469AA">
        <w:t>Cada equipo rojo interno tendrá su metodología y documentación para la planificación de campañas. Mostraremos un conjunto profundo de planes que permite una comunicación precisa y una documentación detallada. El resumen de la campaña que utilizaremos consta de cuatro planes diferentes que varían en profundidad y la cobertura adaptada de los documentos de operaciones militares. Cada plan se puede encontrar en la tabla a continuación con una breve explicación.</w:t>
      </w:r>
    </w:p>
    <w:tbl>
      <w:tblPr>
        <w:tblW w:w="18480" w:type="dxa"/>
        <w:tblCellSpacing w:w="15" w:type="dxa"/>
        <w:shd w:val="clear" w:color="auto" w:fill="FFFFFF"/>
        <w:tblCellMar>
          <w:left w:w="0" w:type="dxa"/>
          <w:right w:w="0" w:type="dxa"/>
        </w:tblCellMar>
        <w:tblLook w:val="04A0" w:firstRow="1" w:lastRow="0" w:firstColumn="1" w:lastColumn="0" w:noHBand="0" w:noVBand="1"/>
      </w:tblPr>
      <w:tblGrid>
        <w:gridCol w:w="2204"/>
        <w:gridCol w:w="8882"/>
        <w:gridCol w:w="7394"/>
      </w:tblGrid>
      <w:tr w:rsidR="000469AA" w:rsidRPr="000469AA" w14:paraId="5CEB34C3" w14:textId="77777777" w:rsidTr="000469AA">
        <w:trPr>
          <w:tblCellSpacing w:w="15" w:type="dxa"/>
        </w:trPr>
        <w:tc>
          <w:tcPr>
            <w:tcW w:w="0" w:type="auto"/>
            <w:shd w:val="clear" w:color="auto" w:fill="FFFFFF"/>
            <w:hideMark/>
          </w:tcPr>
          <w:p w14:paraId="2F200261" w14:textId="77777777" w:rsidR="000469AA" w:rsidRPr="000469AA" w:rsidRDefault="000469AA" w:rsidP="000469AA">
            <w:r w:rsidRPr="000469AA">
              <w:rPr>
                <w:b/>
                <w:bCs/>
              </w:rPr>
              <w:t>Tipo de Plan</w:t>
            </w:r>
          </w:p>
        </w:tc>
        <w:tc>
          <w:tcPr>
            <w:tcW w:w="0" w:type="auto"/>
            <w:shd w:val="clear" w:color="auto" w:fill="FFFFFF"/>
            <w:hideMark/>
          </w:tcPr>
          <w:p w14:paraId="7A0821CB" w14:textId="77777777" w:rsidR="000469AA" w:rsidRPr="000469AA" w:rsidRDefault="000469AA" w:rsidP="000469AA">
            <w:r w:rsidRPr="000469AA">
              <w:rPr>
                <w:b/>
                <w:bCs/>
              </w:rPr>
              <w:t>Explicación del Plan</w:t>
            </w:r>
          </w:p>
        </w:tc>
        <w:tc>
          <w:tcPr>
            <w:tcW w:w="0" w:type="auto"/>
            <w:shd w:val="clear" w:color="auto" w:fill="FFFFFF"/>
            <w:hideMark/>
          </w:tcPr>
          <w:p w14:paraId="250571CB" w14:textId="77777777" w:rsidR="000469AA" w:rsidRPr="000469AA" w:rsidRDefault="000469AA" w:rsidP="000469AA">
            <w:r w:rsidRPr="000469AA">
              <w:rPr>
                <w:b/>
                <w:bCs/>
              </w:rPr>
              <w:t>Contenido del Plan</w:t>
            </w:r>
          </w:p>
        </w:tc>
      </w:tr>
      <w:tr w:rsidR="000469AA" w:rsidRPr="000469AA" w14:paraId="0A5E404D" w14:textId="77777777" w:rsidTr="000469AA">
        <w:trPr>
          <w:tblCellSpacing w:w="15" w:type="dxa"/>
        </w:trPr>
        <w:tc>
          <w:tcPr>
            <w:tcW w:w="0" w:type="auto"/>
            <w:shd w:val="clear" w:color="auto" w:fill="FFFFFF"/>
            <w:hideMark/>
          </w:tcPr>
          <w:p w14:paraId="465409A3" w14:textId="77777777" w:rsidR="000469AA" w:rsidRPr="000469AA" w:rsidRDefault="000469AA" w:rsidP="000469AA">
            <w:r w:rsidRPr="000469AA">
              <w:t>Plan de Compromiso</w:t>
            </w:r>
          </w:p>
        </w:tc>
        <w:tc>
          <w:tcPr>
            <w:tcW w:w="0" w:type="auto"/>
            <w:shd w:val="clear" w:color="auto" w:fill="FFFFFF"/>
            <w:hideMark/>
          </w:tcPr>
          <w:p w14:paraId="2102822A" w14:textId="77777777" w:rsidR="000469AA" w:rsidRPr="000469AA" w:rsidRDefault="000469AA" w:rsidP="000469AA">
            <w:r w:rsidRPr="000469AA">
              <w:t>Una descripción general de los requisitos técnicos del equipo rojo.</w:t>
            </w:r>
          </w:p>
        </w:tc>
        <w:tc>
          <w:tcPr>
            <w:tcW w:w="0" w:type="auto"/>
            <w:shd w:val="clear" w:color="auto" w:fill="FFFFFF"/>
            <w:hideMark/>
          </w:tcPr>
          <w:p w14:paraId="784857D3" w14:textId="77777777" w:rsidR="000469AA" w:rsidRPr="000469AA" w:rsidRDefault="000469AA" w:rsidP="000469AA">
            <w:r w:rsidRPr="000469AA">
              <w:t>CONOPS, Requisitos de Recursos y Personal, Líneas de Tiempo</w:t>
            </w:r>
          </w:p>
        </w:tc>
      </w:tr>
      <w:tr w:rsidR="000469AA" w:rsidRPr="000469AA" w14:paraId="6EBD516D" w14:textId="77777777" w:rsidTr="000469AA">
        <w:trPr>
          <w:tblCellSpacing w:w="15" w:type="dxa"/>
        </w:trPr>
        <w:tc>
          <w:tcPr>
            <w:tcW w:w="0" w:type="auto"/>
            <w:shd w:val="clear" w:color="auto" w:fill="FFFFFF"/>
            <w:hideMark/>
          </w:tcPr>
          <w:p w14:paraId="5CD58D2F" w14:textId="77777777" w:rsidR="000469AA" w:rsidRPr="000469AA" w:rsidRDefault="000469AA" w:rsidP="000469AA">
            <w:r w:rsidRPr="000469AA">
              <w:t>Plan de Operaciones</w:t>
            </w:r>
          </w:p>
        </w:tc>
        <w:tc>
          <w:tcPr>
            <w:tcW w:w="0" w:type="auto"/>
            <w:shd w:val="clear" w:color="auto" w:fill="FFFFFF"/>
            <w:hideMark/>
          </w:tcPr>
          <w:p w14:paraId="07961B4B" w14:textId="77777777" w:rsidR="000469AA" w:rsidRPr="000469AA" w:rsidRDefault="000469AA" w:rsidP="000469AA">
            <w:r w:rsidRPr="000469AA">
              <w:t>Una expansión de la </w:t>
            </w:r>
            <w:r w:rsidRPr="000469AA">
              <w:rPr>
                <w:b/>
                <w:bCs/>
              </w:rPr>
              <w:t>Plan de Compromiso</w:t>
            </w:r>
            <w:r w:rsidRPr="000469AA">
              <w:t>. Va más allá en los detalles de cada detalle.</w:t>
            </w:r>
          </w:p>
        </w:tc>
        <w:tc>
          <w:tcPr>
            <w:tcW w:w="0" w:type="auto"/>
            <w:shd w:val="clear" w:color="auto" w:fill="FFFFFF"/>
            <w:hideMark/>
          </w:tcPr>
          <w:p w14:paraId="24A1D035" w14:textId="77777777" w:rsidR="000469AA" w:rsidRPr="000469AA" w:rsidRDefault="000469AA" w:rsidP="000469AA">
            <w:r w:rsidRPr="000469AA">
              <w:t>Operadores, Información Conocida, Responsabilidades, etc.</w:t>
            </w:r>
          </w:p>
        </w:tc>
      </w:tr>
      <w:tr w:rsidR="000469AA" w:rsidRPr="000469AA" w14:paraId="7ECF1886" w14:textId="77777777" w:rsidTr="000469AA">
        <w:trPr>
          <w:tblCellSpacing w:w="15" w:type="dxa"/>
        </w:trPr>
        <w:tc>
          <w:tcPr>
            <w:tcW w:w="0" w:type="auto"/>
            <w:shd w:val="clear" w:color="auto" w:fill="FFFFFF"/>
            <w:hideMark/>
          </w:tcPr>
          <w:p w14:paraId="6FE9AA12" w14:textId="77777777" w:rsidR="000469AA" w:rsidRPr="000469AA" w:rsidRDefault="000469AA" w:rsidP="000469AA">
            <w:r w:rsidRPr="000469AA">
              <w:t>Plan de Misión</w:t>
            </w:r>
          </w:p>
        </w:tc>
        <w:tc>
          <w:tcPr>
            <w:tcW w:w="0" w:type="auto"/>
            <w:shd w:val="clear" w:color="auto" w:fill="FFFFFF"/>
            <w:hideMark/>
          </w:tcPr>
          <w:p w14:paraId="722E6EE5" w14:textId="77777777" w:rsidR="000469AA" w:rsidRPr="000469AA" w:rsidRDefault="000469AA" w:rsidP="000469AA">
            <w:r w:rsidRPr="000469AA">
              <w:t>Los comandos exactos para ejecutar y el tiempo de ejecución del compromiso.</w:t>
            </w:r>
          </w:p>
        </w:tc>
        <w:tc>
          <w:tcPr>
            <w:tcW w:w="0" w:type="auto"/>
            <w:shd w:val="clear" w:color="auto" w:fill="FFFFFF"/>
            <w:hideMark/>
          </w:tcPr>
          <w:p w14:paraId="7A6138DB" w14:textId="77777777" w:rsidR="000469AA" w:rsidRPr="000469AA" w:rsidRDefault="000469AA" w:rsidP="000469AA">
            <w:proofErr w:type="gramStart"/>
            <w:r w:rsidRPr="000469AA">
              <w:t>Comandos a ejecutar</w:t>
            </w:r>
            <w:proofErr w:type="gramEnd"/>
            <w:r w:rsidRPr="000469AA">
              <w:t>, Objetivos de Tiempo, Operador Responsable, etc.</w:t>
            </w:r>
          </w:p>
        </w:tc>
      </w:tr>
      <w:tr w:rsidR="000469AA" w:rsidRPr="000469AA" w14:paraId="6034171F" w14:textId="77777777" w:rsidTr="000469AA">
        <w:trPr>
          <w:tblCellSpacing w:w="15" w:type="dxa"/>
        </w:trPr>
        <w:tc>
          <w:tcPr>
            <w:tcW w:w="0" w:type="auto"/>
            <w:shd w:val="clear" w:color="auto" w:fill="FFFFFF"/>
            <w:hideMark/>
          </w:tcPr>
          <w:p w14:paraId="69ECCD54" w14:textId="77777777" w:rsidR="000469AA" w:rsidRPr="000469AA" w:rsidRDefault="000469AA" w:rsidP="000469AA">
            <w:r w:rsidRPr="000469AA">
              <w:t>Plan de Remediación</w:t>
            </w:r>
          </w:p>
        </w:tc>
        <w:tc>
          <w:tcPr>
            <w:tcW w:w="0" w:type="auto"/>
            <w:shd w:val="clear" w:color="auto" w:fill="FFFFFF"/>
            <w:hideMark/>
          </w:tcPr>
          <w:p w14:paraId="3C8E0B13" w14:textId="77777777" w:rsidR="000469AA" w:rsidRPr="000469AA" w:rsidRDefault="000469AA" w:rsidP="000469AA">
            <w:r w:rsidRPr="000469AA">
              <w:t>Define cómo procederá el compromiso después de que finalice la campaña.</w:t>
            </w:r>
          </w:p>
        </w:tc>
        <w:tc>
          <w:tcPr>
            <w:tcW w:w="0" w:type="auto"/>
            <w:shd w:val="clear" w:color="auto" w:fill="FFFFFF"/>
            <w:hideMark/>
          </w:tcPr>
          <w:p w14:paraId="304B9F89" w14:textId="77777777" w:rsidR="000469AA" w:rsidRPr="000469AA" w:rsidRDefault="000469AA" w:rsidP="000469AA">
            <w:r w:rsidRPr="000469AA">
              <w:t>Informe, consulta de remediación, etc.</w:t>
            </w:r>
          </w:p>
        </w:tc>
      </w:tr>
    </w:tbl>
    <w:p w14:paraId="4967DD9F" w14:textId="77777777" w:rsidR="000469AA" w:rsidRPr="000469AA" w:rsidRDefault="000469AA" w:rsidP="000469AA">
      <w:r w:rsidRPr="000469AA">
        <w:t>Otro ejemplo de un plan de campaña es el </w:t>
      </w:r>
      <w:proofErr w:type="spellStart"/>
      <w:r w:rsidRPr="000469AA">
        <w:fldChar w:fldCharType="begin"/>
      </w:r>
      <w:r w:rsidRPr="000469AA">
        <w:instrText>HYPERLINK "http://redteam.guide/"</w:instrText>
      </w:r>
      <w:r w:rsidRPr="000469AA">
        <w:fldChar w:fldCharType="separate"/>
      </w:r>
      <w:proofErr w:type="gramStart"/>
      <w:r w:rsidRPr="000469AA">
        <w:rPr>
          <w:rStyle w:val="Hipervnculo"/>
        </w:rPr>
        <w:t>redteam.guía</w:t>
      </w:r>
      <w:proofErr w:type="spellEnd"/>
      <w:proofErr w:type="gramEnd"/>
      <w:r w:rsidRPr="000469AA">
        <w:fldChar w:fldCharType="end"/>
      </w:r>
      <w:r w:rsidRPr="000469AA">
        <w:t> lista de verificación de compromiso. La lista de verificación, encontrada </w:t>
      </w:r>
      <w:hyperlink r:id="rId7" w:history="1">
        <w:r w:rsidRPr="000469AA">
          <w:rPr>
            <w:rStyle w:val="Hipervnculo"/>
          </w:rPr>
          <w:t>aquí</w:t>
        </w:r>
      </w:hyperlink>
      <w:r w:rsidRPr="000469AA">
        <w:t>, actúa como un enfoque más generalizado para la planificación de una campaña y la información necesaria.</w:t>
      </w:r>
    </w:p>
    <w:p w14:paraId="30AE030A" w14:textId="77777777" w:rsidR="000469AA" w:rsidRPr="000469AA" w:rsidRDefault="000469AA" w:rsidP="000469AA">
      <w:r w:rsidRPr="000469AA">
        <w:t>En las próximas tareas, profundizaremos más en estos planes, documentación y detalles de cada uno a medida que profundizamos en la planificación de la campaña.</w:t>
      </w:r>
    </w:p>
    <w:p w14:paraId="3B38D5BA" w14:textId="1EB76E27" w:rsidR="000469AA" w:rsidRDefault="000469AA"/>
    <w:p w14:paraId="3661C01B" w14:textId="77777777" w:rsidR="00D86991" w:rsidRDefault="00D86991"/>
    <w:p w14:paraId="0BCD10C3" w14:textId="77777777" w:rsidR="00D86991" w:rsidRDefault="00D86991"/>
    <w:p w14:paraId="4B444010" w14:textId="77777777" w:rsidR="00D86991" w:rsidRDefault="00D86991"/>
    <w:p w14:paraId="6F9DB2CD" w14:textId="77777777" w:rsidR="00D86991" w:rsidRDefault="00D86991"/>
    <w:p w14:paraId="53FDDF52" w14:textId="77777777" w:rsidR="00D86991" w:rsidRDefault="00D86991"/>
    <w:p w14:paraId="6E087053" w14:textId="77777777" w:rsidR="00D86991" w:rsidRDefault="00D86991"/>
    <w:p w14:paraId="65EC9B66" w14:textId="77777777" w:rsidR="00D86991" w:rsidRDefault="00D86991"/>
    <w:p w14:paraId="7C4648BF" w14:textId="77777777" w:rsidR="00D86991" w:rsidRDefault="00D86991"/>
    <w:p w14:paraId="55A89839" w14:textId="77777777" w:rsidR="00D86991" w:rsidRDefault="00D86991"/>
    <w:p w14:paraId="43B1F1DD" w14:textId="77777777" w:rsidR="00D86991" w:rsidRDefault="00D86991"/>
    <w:p w14:paraId="217756F7" w14:textId="77777777" w:rsidR="00D86991" w:rsidRDefault="00D86991"/>
    <w:p w14:paraId="698FD7A3" w14:textId="77777777" w:rsidR="00D86991" w:rsidRDefault="00D86991"/>
    <w:p w14:paraId="015210C6" w14:textId="2105B81A" w:rsidR="00D86991" w:rsidRDefault="00D86991">
      <w:r>
        <w:lastRenderedPageBreak/>
        <w:t>DOCUMENTACION DE COMPROMISO</w:t>
      </w:r>
    </w:p>
    <w:p w14:paraId="34C48B4A" w14:textId="77777777" w:rsidR="00D86991" w:rsidRPr="00D86991" w:rsidRDefault="00D86991" w:rsidP="00D86991">
      <w:r w:rsidRPr="00D86991">
        <w:t>La documentación de participación es una extensión de la planificación de campañas donde las ideas y pensamientos de la planificación de campañas están documentados oficialmente. En este contexto, el término "documento" puede ser engañoso ya que algunos planes no requieren la documentación adecuada y puede ser tan simple como un correo electrónico; esto se cubrirá más adelante en esta tarea.</w:t>
      </w:r>
    </w:p>
    <w:p w14:paraId="7320538C" w14:textId="77777777" w:rsidR="00D86991" w:rsidRPr="00D86991" w:rsidRDefault="00D86991" w:rsidP="00D86991">
      <w:r w:rsidRPr="00D86991">
        <w:t>En esta tarea, cubriremos una descripción técnica de los contenidos de cada plan de campaña antes de mirar los planes y documentos en las próximas tareas.</w:t>
      </w:r>
    </w:p>
    <w:p w14:paraId="3A320E82" w14:textId="77777777" w:rsidR="00D86991" w:rsidRPr="00D86991" w:rsidRDefault="00D86991" w:rsidP="00D86991">
      <w:r w:rsidRPr="00D86991">
        <w:rPr>
          <w:b/>
          <w:bCs/>
        </w:rPr>
        <w:t>Plan de Compromiso:</w:t>
      </w:r>
    </w:p>
    <w:tbl>
      <w:tblPr>
        <w:tblW w:w="18480" w:type="dxa"/>
        <w:tblCellSpacing w:w="15" w:type="dxa"/>
        <w:shd w:val="clear" w:color="auto" w:fill="FFFFFF"/>
        <w:tblCellMar>
          <w:left w:w="0" w:type="dxa"/>
          <w:right w:w="0" w:type="dxa"/>
        </w:tblCellMar>
        <w:tblLook w:val="04A0" w:firstRow="1" w:lastRow="0" w:firstColumn="1" w:lastColumn="0" w:noHBand="0" w:noVBand="1"/>
      </w:tblPr>
      <w:tblGrid>
        <w:gridCol w:w="3389"/>
        <w:gridCol w:w="15091"/>
      </w:tblGrid>
      <w:tr w:rsidR="00D86991" w:rsidRPr="00D86991" w14:paraId="76B374C5" w14:textId="77777777" w:rsidTr="00D86991">
        <w:trPr>
          <w:tblCellSpacing w:w="15" w:type="dxa"/>
        </w:trPr>
        <w:tc>
          <w:tcPr>
            <w:tcW w:w="0" w:type="auto"/>
            <w:shd w:val="clear" w:color="auto" w:fill="FFFFFF"/>
            <w:hideMark/>
          </w:tcPr>
          <w:p w14:paraId="2D635364" w14:textId="77777777" w:rsidR="00D86991" w:rsidRPr="00D86991" w:rsidRDefault="00D86991" w:rsidP="00D86991">
            <w:r w:rsidRPr="00D86991">
              <w:rPr>
                <w:b/>
                <w:bCs/>
              </w:rPr>
              <w:t>Componente</w:t>
            </w:r>
          </w:p>
        </w:tc>
        <w:tc>
          <w:tcPr>
            <w:tcW w:w="0" w:type="auto"/>
            <w:shd w:val="clear" w:color="auto" w:fill="FFFFFF"/>
            <w:hideMark/>
          </w:tcPr>
          <w:p w14:paraId="5682E5B7" w14:textId="77777777" w:rsidR="00D86991" w:rsidRPr="00D86991" w:rsidRDefault="00D86991" w:rsidP="00D86991">
            <w:r w:rsidRPr="00D86991">
              <w:rPr>
                <w:b/>
                <w:bCs/>
              </w:rPr>
              <w:t>Propósito</w:t>
            </w:r>
          </w:p>
        </w:tc>
      </w:tr>
      <w:tr w:rsidR="00D86991" w:rsidRPr="00D86991" w14:paraId="1D59F94F" w14:textId="77777777" w:rsidTr="00D86991">
        <w:trPr>
          <w:tblCellSpacing w:w="15" w:type="dxa"/>
        </w:trPr>
        <w:tc>
          <w:tcPr>
            <w:tcW w:w="0" w:type="auto"/>
            <w:shd w:val="clear" w:color="auto" w:fill="FFFFFF"/>
            <w:hideMark/>
          </w:tcPr>
          <w:p w14:paraId="5D939ADB" w14:textId="77777777" w:rsidR="00D86991" w:rsidRPr="00D86991" w:rsidRDefault="00D86991" w:rsidP="00D86991">
            <w:r w:rsidRPr="00D86991">
              <w:t>CONOPS (</w:t>
            </w:r>
            <w:r w:rsidRPr="00D86991">
              <w:rPr>
                <w:b/>
                <w:bCs/>
              </w:rPr>
              <w:t>Con</w:t>
            </w:r>
            <w:r w:rsidRPr="00D86991">
              <w:t>cept de </w:t>
            </w:r>
            <w:proofErr w:type="spellStart"/>
            <w:r w:rsidRPr="00D86991">
              <w:rPr>
                <w:b/>
                <w:bCs/>
              </w:rPr>
              <w:t>Op</w:t>
            </w:r>
            <w:r w:rsidRPr="00D86991">
              <w:t>eration</w:t>
            </w:r>
            <w:r w:rsidRPr="00D86991">
              <w:rPr>
                <w:b/>
                <w:bCs/>
              </w:rPr>
              <w:t>s</w:t>
            </w:r>
            <w:proofErr w:type="spellEnd"/>
            <w:r w:rsidRPr="00D86991">
              <w:t>)</w:t>
            </w:r>
          </w:p>
        </w:tc>
        <w:tc>
          <w:tcPr>
            <w:tcW w:w="0" w:type="auto"/>
            <w:shd w:val="clear" w:color="auto" w:fill="FFFFFF"/>
            <w:hideMark/>
          </w:tcPr>
          <w:p w14:paraId="02A8B5FA" w14:textId="77777777" w:rsidR="00D86991" w:rsidRPr="00D86991" w:rsidRDefault="00D86991" w:rsidP="00D86991">
            <w:r w:rsidRPr="00D86991">
              <w:t>Descripción general no técnicamente escrita de cómo el equipo rojo cumple con los objetivos del cliente y se dirige al cliente.</w:t>
            </w:r>
          </w:p>
        </w:tc>
      </w:tr>
      <w:tr w:rsidR="00D86991" w:rsidRPr="00D86991" w14:paraId="1497424D" w14:textId="77777777" w:rsidTr="00D86991">
        <w:trPr>
          <w:tblCellSpacing w:w="15" w:type="dxa"/>
        </w:trPr>
        <w:tc>
          <w:tcPr>
            <w:tcW w:w="0" w:type="auto"/>
            <w:shd w:val="clear" w:color="auto" w:fill="FFFFFF"/>
            <w:hideMark/>
          </w:tcPr>
          <w:p w14:paraId="1FBE1C1A" w14:textId="77777777" w:rsidR="00D86991" w:rsidRPr="00D86991" w:rsidRDefault="00D86991" w:rsidP="00D86991">
            <w:r w:rsidRPr="00D86991">
              <w:t>Plan de recursos</w:t>
            </w:r>
          </w:p>
        </w:tc>
        <w:tc>
          <w:tcPr>
            <w:tcW w:w="0" w:type="auto"/>
            <w:shd w:val="clear" w:color="auto" w:fill="FFFFFF"/>
            <w:hideMark/>
          </w:tcPr>
          <w:p w14:paraId="5B48D81A" w14:textId="77777777" w:rsidR="00D86991" w:rsidRPr="00D86991" w:rsidRDefault="00D86991" w:rsidP="00D86991">
            <w:r w:rsidRPr="00D86991">
              <w:t>Incluye líneas de tiempo e información requerida para que el equipo rojo tenga éxito: cualquier requisito de recursos: personal, hardware, requisitos de nube.</w:t>
            </w:r>
          </w:p>
        </w:tc>
      </w:tr>
    </w:tbl>
    <w:p w14:paraId="09D74A2F" w14:textId="77777777" w:rsidR="00D86991" w:rsidRPr="00D86991" w:rsidRDefault="00D86991" w:rsidP="00D86991">
      <w:r w:rsidRPr="00D86991">
        <w:rPr>
          <w:b/>
          <w:bCs/>
        </w:rPr>
        <w:t>Plan de Operaciones:</w:t>
      </w:r>
    </w:p>
    <w:tbl>
      <w:tblPr>
        <w:tblW w:w="18480" w:type="dxa"/>
        <w:tblCellSpacing w:w="15" w:type="dxa"/>
        <w:shd w:val="clear" w:color="auto" w:fill="FFFFFF"/>
        <w:tblCellMar>
          <w:left w:w="0" w:type="dxa"/>
          <w:right w:w="0" w:type="dxa"/>
        </w:tblCellMar>
        <w:tblLook w:val="04A0" w:firstRow="1" w:lastRow="0" w:firstColumn="1" w:lastColumn="0" w:noHBand="0" w:noVBand="1"/>
      </w:tblPr>
      <w:tblGrid>
        <w:gridCol w:w="4919"/>
        <w:gridCol w:w="13561"/>
      </w:tblGrid>
      <w:tr w:rsidR="00D86991" w:rsidRPr="00D86991" w14:paraId="7B027B89" w14:textId="77777777" w:rsidTr="00D86991">
        <w:trPr>
          <w:tblCellSpacing w:w="15" w:type="dxa"/>
        </w:trPr>
        <w:tc>
          <w:tcPr>
            <w:tcW w:w="0" w:type="auto"/>
            <w:shd w:val="clear" w:color="auto" w:fill="FFFFFF"/>
            <w:hideMark/>
          </w:tcPr>
          <w:p w14:paraId="2345A81F" w14:textId="77777777" w:rsidR="00D86991" w:rsidRPr="00D86991" w:rsidRDefault="00D86991" w:rsidP="00D86991">
            <w:r w:rsidRPr="00D86991">
              <w:rPr>
                <w:b/>
                <w:bCs/>
              </w:rPr>
              <w:t>Componente</w:t>
            </w:r>
          </w:p>
        </w:tc>
        <w:tc>
          <w:tcPr>
            <w:tcW w:w="0" w:type="auto"/>
            <w:shd w:val="clear" w:color="auto" w:fill="FFFFFF"/>
            <w:hideMark/>
          </w:tcPr>
          <w:p w14:paraId="424F65D5" w14:textId="77777777" w:rsidR="00D86991" w:rsidRPr="00D86991" w:rsidRDefault="00D86991" w:rsidP="00D86991">
            <w:r w:rsidRPr="00D86991">
              <w:rPr>
                <w:b/>
                <w:bCs/>
              </w:rPr>
              <w:t>Propósito</w:t>
            </w:r>
          </w:p>
        </w:tc>
      </w:tr>
      <w:tr w:rsidR="00D86991" w:rsidRPr="00D86991" w14:paraId="23EA68F7" w14:textId="77777777" w:rsidTr="00D86991">
        <w:trPr>
          <w:tblCellSpacing w:w="15" w:type="dxa"/>
        </w:trPr>
        <w:tc>
          <w:tcPr>
            <w:tcW w:w="0" w:type="auto"/>
            <w:shd w:val="clear" w:color="auto" w:fill="FFFFFF"/>
            <w:hideMark/>
          </w:tcPr>
          <w:p w14:paraId="294A2AD6" w14:textId="77777777" w:rsidR="00D86991" w:rsidRPr="00D86991" w:rsidRDefault="00D86991" w:rsidP="00D86991">
            <w:r w:rsidRPr="00D86991">
              <w:t>Personal </w:t>
            </w:r>
          </w:p>
        </w:tc>
        <w:tc>
          <w:tcPr>
            <w:tcW w:w="0" w:type="auto"/>
            <w:shd w:val="clear" w:color="auto" w:fill="FFFFFF"/>
            <w:hideMark/>
          </w:tcPr>
          <w:p w14:paraId="1D5A1528" w14:textId="77777777" w:rsidR="00D86991" w:rsidRPr="00D86991" w:rsidRDefault="00D86991" w:rsidP="00D86991">
            <w:r w:rsidRPr="00D86991">
              <w:t>Información sobre los requisitos de los empleados.</w:t>
            </w:r>
          </w:p>
        </w:tc>
      </w:tr>
      <w:tr w:rsidR="00D86991" w:rsidRPr="00D86991" w14:paraId="63983633" w14:textId="77777777" w:rsidTr="00D86991">
        <w:trPr>
          <w:tblCellSpacing w:w="15" w:type="dxa"/>
        </w:trPr>
        <w:tc>
          <w:tcPr>
            <w:tcW w:w="0" w:type="auto"/>
            <w:shd w:val="clear" w:color="auto" w:fill="FFFFFF"/>
            <w:hideMark/>
          </w:tcPr>
          <w:p w14:paraId="72C97F81" w14:textId="77777777" w:rsidR="00D86991" w:rsidRPr="00D86991" w:rsidRDefault="00D86991" w:rsidP="00D86991">
            <w:r w:rsidRPr="00D86991">
              <w:t>Condiciones de detención</w:t>
            </w:r>
          </w:p>
        </w:tc>
        <w:tc>
          <w:tcPr>
            <w:tcW w:w="0" w:type="auto"/>
            <w:shd w:val="clear" w:color="auto" w:fill="FFFFFF"/>
            <w:hideMark/>
          </w:tcPr>
          <w:p w14:paraId="372D6569" w14:textId="77777777" w:rsidR="00D86991" w:rsidRPr="00D86991" w:rsidRDefault="00D86991" w:rsidP="00D86991">
            <w:r w:rsidRPr="00D86991">
              <w:t>Cómo y por qué debería detenerse el equipo rojo durante el compromiso.</w:t>
            </w:r>
          </w:p>
        </w:tc>
      </w:tr>
      <w:tr w:rsidR="00D86991" w:rsidRPr="00D86991" w14:paraId="2E89511B" w14:textId="77777777" w:rsidTr="00D86991">
        <w:trPr>
          <w:tblCellSpacing w:w="15" w:type="dxa"/>
        </w:trPr>
        <w:tc>
          <w:tcPr>
            <w:tcW w:w="0" w:type="auto"/>
            <w:shd w:val="clear" w:color="auto" w:fill="FFFFFF"/>
            <w:hideMark/>
          </w:tcPr>
          <w:p w14:paraId="61642030" w14:textId="77777777" w:rsidR="00D86991" w:rsidRPr="00D86991" w:rsidRDefault="00D86991" w:rsidP="00D86991">
            <w:proofErr w:type="spellStart"/>
            <w:r w:rsidRPr="00D86991">
              <w:t>RoE</w:t>
            </w:r>
            <w:proofErr w:type="spellEnd"/>
            <w:r w:rsidRPr="00D86991">
              <w:t> (opcional)</w:t>
            </w:r>
          </w:p>
        </w:tc>
        <w:tc>
          <w:tcPr>
            <w:tcW w:w="0" w:type="auto"/>
            <w:shd w:val="clear" w:color="auto" w:fill="FFFFFF"/>
            <w:hideMark/>
          </w:tcPr>
          <w:p w14:paraId="5933AD39" w14:textId="77777777" w:rsidR="00D86991" w:rsidRPr="00D86991" w:rsidRDefault="00D86991" w:rsidP="00D86991">
            <w:r w:rsidRPr="00D86991">
              <w:t>-</w:t>
            </w:r>
          </w:p>
        </w:tc>
      </w:tr>
      <w:tr w:rsidR="00D86991" w:rsidRPr="00D86991" w14:paraId="1E229442" w14:textId="77777777" w:rsidTr="00D86991">
        <w:trPr>
          <w:tblCellSpacing w:w="15" w:type="dxa"/>
        </w:trPr>
        <w:tc>
          <w:tcPr>
            <w:tcW w:w="0" w:type="auto"/>
            <w:shd w:val="clear" w:color="auto" w:fill="FFFFFF"/>
            <w:hideMark/>
          </w:tcPr>
          <w:p w14:paraId="64F933C6" w14:textId="77777777" w:rsidR="00D86991" w:rsidRPr="00D86991" w:rsidRDefault="00D86991" w:rsidP="00D86991">
            <w:r w:rsidRPr="00D86991">
              <w:t>Requisitos técnicos</w:t>
            </w:r>
          </w:p>
        </w:tc>
        <w:tc>
          <w:tcPr>
            <w:tcW w:w="0" w:type="auto"/>
            <w:shd w:val="clear" w:color="auto" w:fill="FFFFFF"/>
            <w:hideMark/>
          </w:tcPr>
          <w:p w14:paraId="47443142" w14:textId="77777777" w:rsidR="00D86991" w:rsidRPr="00D86991" w:rsidRDefault="00D86991" w:rsidP="00D86991">
            <w:r w:rsidRPr="00D86991">
              <w:t>Qué conocimiento necesitará el equipo rojo para tener éxito.</w:t>
            </w:r>
          </w:p>
        </w:tc>
      </w:tr>
    </w:tbl>
    <w:p w14:paraId="2F9E754E" w14:textId="77777777" w:rsidR="00D86991" w:rsidRPr="00D86991" w:rsidRDefault="00D86991" w:rsidP="00D86991">
      <w:r w:rsidRPr="00D86991">
        <w:rPr>
          <w:b/>
          <w:bCs/>
        </w:rPr>
        <w:t>Plan de Misión:</w:t>
      </w:r>
    </w:p>
    <w:tbl>
      <w:tblPr>
        <w:tblW w:w="18480" w:type="dxa"/>
        <w:tblCellSpacing w:w="15" w:type="dxa"/>
        <w:shd w:val="clear" w:color="auto" w:fill="FFFFFF"/>
        <w:tblCellMar>
          <w:left w:w="0" w:type="dxa"/>
          <w:right w:w="0" w:type="dxa"/>
        </w:tblCellMar>
        <w:tblLook w:val="04A0" w:firstRow="1" w:lastRow="0" w:firstColumn="1" w:lastColumn="0" w:noHBand="0" w:noVBand="1"/>
      </w:tblPr>
      <w:tblGrid>
        <w:gridCol w:w="3557"/>
        <w:gridCol w:w="14923"/>
      </w:tblGrid>
      <w:tr w:rsidR="00D86991" w:rsidRPr="00D86991" w14:paraId="3E2BBAF8" w14:textId="77777777" w:rsidTr="00D86991">
        <w:trPr>
          <w:tblCellSpacing w:w="15" w:type="dxa"/>
        </w:trPr>
        <w:tc>
          <w:tcPr>
            <w:tcW w:w="0" w:type="auto"/>
            <w:shd w:val="clear" w:color="auto" w:fill="FFFFFF"/>
            <w:hideMark/>
          </w:tcPr>
          <w:p w14:paraId="6D06F631" w14:textId="77777777" w:rsidR="00D86991" w:rsidRPr="00D86991" w:rsidRDefault="00D86991" w:rsidP="00D86991">
            <w:r w:rsidRPr="00D86991">
              <w:rPr>
                <w:b/>
                <w:bCs/>
              </w:rPr>
              <w:t>Componente</w:t>
            </w:r>
          </w:p>
        </w:tc>
        <w:tc>
          <w:tcPr>
            <w:tcW w:w="0" w:type="auto"/>
            <w:shd w:val="clear" w:color="auto" w:fill="FFFFFF"/>
            <w:hideMark/>
          </w:tcPr>
          <w:p w14:paraId="3F1FB33B" w14:textId="77777777" w:rsidR="00D86991" w:rsidRPr="00D86991" w:rsidRDefault="00D86991" w:rsidP="00D86991">
            <w:r w:rsidRPr="00D86991">
              <w:rPr>
                <w:b/>
                <w:bCs/>
              </w:rPr>
              <w:t>Propósito</w:t>
            </w:r>
          </w:p>
        </w:tc>
      </w:tr>
      <w:tr w:rsidR="00D86991" w:rsidRPr="00D86991" w14:paraId="556BCC44" w14:textId="77777777" w:rsidTr="00D86991">
        <w:trPr>
          <w:tblCellSpacing w:w="15" w:type="dxa"/>
        </w:trPr>
        <w:tc>
          <w:tcPr>
            <w:tcW w:w="0" w:type="auto"/>
            <w:shd w:val="clear" w:color="auto" w:fill="FFFFFF"/>
            <w:hideMark/>
          </w:tcPr>
          <w:p w14:paraId="2EB0A272" w14:textId="77777777" w:rsidR="00D86991" w:rsidRPr="00D86991" w:rsidRDefault="00D86991" w:rsidP="00D86991">
            <w:r w:rsidRPr="00D86991">
              <w:t>Libros de juego de comandos (opcional)</w:t>
            </w:r>
          </w:p>
        </w:tc>
        <w:tc>
          <w:tcPr>
            <w:tcW w:w="0" w:type="auto"/>
            <w:shd w:val="clear" w:color="auto" w:fill="FFFFFF"/>
            <w:hideMark/>
          </w:tcPr>
          <w:p w14:paraId="4954CDE6" w14:textId="77777777" w:rsidR="00D86991" w:rsidRPr="00D86991" w:rsidRDefault="00D86991" w:rsidP="00D86991">
            <w:r w:rsidRPr="00D86991">
              <w:t>Comandos exactos y herramientas para ejecutar, incluyendo cuándo, por qué y cómo. Comúnmente visto en equipos más grandes con muchos operadores en diferentes niveles de habilidad.</w:t>
            </w:r>
          </w:p>
        </w:tc>
      </w:tr>
      <w:tr w:rsidR="00D86991" w:rsidRPr="00D86991" w14:paraId="1719ECA5" w14:textId="77777777" w:rsidTr="00D86991">
        <w:trPr>
          <w:tblCellSpacing w:w="15" w:type="dxa"/>
        </w:trPr>
        <w:tc>
          <w:tcPr>
            <w:tcW w:w="0" w:type="auto"/>
            <w:shd w:val="clear" w:color="auto" w:fill="FFFFFF"/>
            <w:hideMark/>
          </w:tcPr>
          <w:p w14:paraId="23883322" w14:textId="77777777" w:rsidR="00D86991" w:rsidRPr="00D86991" w:rsidRDefault="00D86991" w:rsidP="00D86991">
            <w:r w:rsidRPr="00D86991">
              <w:t>Tiempos de ejecución</w:t>
            </w:r>
          </w:p>
        </w:tc>
        <w:tc>
          <w:tcPr>
            <w:tcW w:w="0" w:type="auto"/>
            <w:shd w:val="clear" w:color="auto" w:fill="FFFFFF"/>
            <w:hideMark/>
          </w:tcPr>
          <w:p w14:paraId="3B1E5E71" w14:textId="77777777" w:rsidR="00D86991" w:rsidRPr="00D86991" w:rsidRDefault="00D86991" w:rsidP="00D86991">
            <w:r w:rsidRPr="00D86991">
              <w:t>Tiempos para comenzar etapas de compromiso. Opcionalmente puede incluir tiempos exactos para ejecutar herramientas y comandos.</w:t>
            </w:r>
          </w:p>
        </w:tc>
      </w:tr>
      <w:tr w:rsidR="00D86991" w:rsidRPr="00D86991" w14:paraId="3F4B9FF8" w14:textId="77777777" w:rsidTr="00D86991">
        <w:trPr>
          <w:tblCellSpacing w:w="15" w:type="dxa"/>
        </w:trPr>
        <w:tc>
          <w:tcPr>
            <w:tcW w:w="0" w:type="auto"/>
            <w:shd w:val="clear" w:color="auto" w:fill="FFFFFF"/>
            <w:hideMark/>
          </w:tcPr>
          <w:p w14:paraId="58983661" w14:textId="77777777" w:rsidR="00D86991" w:rsidRPr="00D86991" w:rsidRDefault="00D86991" w:rsidP="00D86991">
            <w:r w:rsidRPr="00D86991">
              <w:t>Responsabilidades/roles</w:t>
            </w:r>
          </w:p>
        </w:tc>
        <w:tc>
          <w:tcPr>
            <w:tcW w:w="0" w:type="auto"/>
            <w:shd w:val="clear" w:color="auto" w:fill="FFFFFF"/>
            <w:hideMark/>
          </w:tcPr>
          <w:p w14:paraId="626B092B" w14:textId="77777777" w:rsidR="00D86991" w:rsidRPr="00D86991" w:rsidRDefault="00D86991" w:rsidP="00D86991">
            <w:r w:rsidRPr="00D86991">
              <w:t>Quién hace qué, cuándo.</w:t>
            </w:r>
          </w:p>
        </w:tc>
      </w:tr>
    </w:tbl>
    <w:p w14:paraId="5344D5C5" w14:textId="77777777" w:rsidR="00D86991" w:rsidRPr="00D86991" w:rsidRDefault="00D86991" w:rsidP="00D86991">
      <w:r w:rsidRPr="00D86991">
        <w:rPr>
          <w:b/>
          <w:bCs/>
        </w:rPr>
        <w:t>Plan de Remediación (opcional):</w:t>
      </w:r>
    </w:p>
    <w:tbl>
      <w:tblPr>
        <w:tblW w:w="16140" w:type="dxa"/>
        <w:tblCellSpacing w:w="15" w:type="dxa"/>
        <w:shd w:val="clear" w:color="auto" w:fill="FFFFFF"/>
        <w:tblCellMar>
          <w:left w:w="0" w:type="dxa"/>
          <w:right w:w="0" w:type="dxa"/>
        </w:tblCellMar>
        <w:tblLook w:val="04A0" w:firstRow="1" w:lastRow="0" w:firstColumn="1" w:lastColumn="0" w:noHBand="0" w:noVBand="1"/>
      </w:tblPr>
      <w:tblGrid>
        <w:gridCol w:w="2491"/>
        <w:gridCol w:w="13649"/>
      </w:tblGrid>
      <w:tr w:rsidR="00D86991" w:rsidRPr="00D86991" w14:paraId="69F2DE6A" w14:textId="77777777" w:rsidTr="00D86991">
        <w:trPr>
          <w:tblCellSpacing w:w="15" w:type="dxa"/>
        </w:trPr>
        <w:tc>
          <w:tcPr>
            <w:tcW w:w="0" w:type="auto"/>
            <w:shd w:val="clear" w:color="auto" w:fill="FFFFFF"/>
            <w:hideMark/>
          </w:tcPr>
          <w:p w14:paraId="12C9B6E5" w14:textId="77777777" w:rsidR="00D86991" w:rsidRPr="00D86991" w:rsidRDefault="00D86991" w:rsidP="00D86991">
            <w:r w:rsidRPr="00D86991">
              <w:rPr>
                <w:b/>
                <w:bCs/>
              </w:rPr>
              <w:t>Componente</w:t>
            </w:r>
          </w:p>
        </w:tc>
        <w:tc>
          <w:tcPr>
            <w:tcW w:w="0" w:type="auto"/>
            <w:shd w:val="clear" w:color="auto" w:fill="FFFFFF"/>
            <w:hideMark/>
          </w:tcPr>
          <w:p w14:paraId="5F7A17E0" w14:textId="77777777" w:rsidR="00D86991" w:rsidRPr="00D86991" w:rsidRDefault="00D86991" w:rsidP="00D86991">
            <w:r w:rsidRPr="00D86991">
              <w:rPr>
                <w:b/>
                <w:bCs/>
              </w:rPr>
              <w:t>Propósito</w:t>
            </w:r>
          </w:p>
        </w:tc>
      </w:tr>
      <w:tr w:rsidR="00D86991" w:rsidRPr="00D86991" w14:paraId="2F64442B" w14:textId="77777777" w:rsidTr="00D86991">
        <w:trPr>
          <w:tblCellSpacing w:w="15" w:type="dxa"/>
        </w:trPr>
        <w:tc>
          <w:tcPr>
            <w:tcW w:w="0" w:type="auto"/>
            <w:shd w:val="clear" w:color="auto" w:fill="FFFFFF"/>
            <w:hideMark/>
          </w:tcPr>
          <w:p w14:paraId="254B73E2" w14:textId="77777777" w:rsidR="00D86991" w:rsidRPr="00D86991" w:rsidRDefault="00D86991" w:rsidP="00D86991">
            <w:r w:rsidRPr="00D86991">
              <w:t>Informe</w:t>
            </w:r>
          </w:p>
        </w:tc>
        <w:tc>
          <w:tcPr>
            <w:tcW w:w="0" w:type="auto"/>
            <w:shd w:val="clear" w:color="auto" w:fill="FFFFFF"/>
            <w:hideMark/>
          </w:tcPr>
          <w:p w14:paraId="5AA963BE" w14:textId="77777777" w:rsidR="00D86991" w:rsidRPr="00D86991" w:rsidRDefault="00D86991" w:rsidP="00D86991">
            <w:r w:rsidRPr="00D86991">
              <w:t>Resumen de los detalles de compromiso e informe de los hallazgos.</w:t>
            </w:r>
          </w:p>
        </w:tc>
      </w:tr>
      <w:tr w:rsidR="00D86991" w:rsidRPr="00D86991" w14:paraId="5F568581" w14:textId="77777777" w:rsidTr="00D86991">
        <w:trPr>
          <w:tblCellSpacing w:w="15" w:type="dxa"/>
        </w:trPr>
        <w:tc>
          <w:tcPr>
            <w:tcW w:w="0" w:type="auto"/>
            <w:shd w:val="clear" w:color="auto" w:fill="FFFFFF"/>
            <w:hideMark/>
          </w:tcPr>
          <w:p w14:paraId="3497FEC9" w14:textId="77777777" w:rsidR="00D86991" w:rsidRPr="00D86991" w:rsidRDefault="00D86991" w:rsidP="00D86991">
            <w:r w:rsidRPr="00D86991">
              <w:t>Remediación/consulta </w:t>
            </w:r>
          </w:p>
        </w:tc>
        <w:tc>
          <w:tcPr>
            <w:tcW w:w="0" w:type="auto"/>
            <w:shd w:val="clear" w:color="auto" w:fill="FFFFFF"/>
            <w:hideMark/>
          </w:tcPr>
          <w:p w14:paraId="461644B4" w14:textId="77777777" w:rsidR="00D86991" w:rsidRPr="00D86991" w:rsidRDefault="00D86991" w:rsidP="00D86991">
            <w:r w:rsidRPr="00D86991">
              <w:t>¿Cómo remediará el cliente los hallazgos? Se puede incluir en el informe o discutir en una reunión entre el cliente y el equipo rojo.</w:t>
            </w:r>
          </w:p>
        </w:tc>
      </w:tr>
    </w:tbl>
    <w:p w14:paraId="55E0569C" w14:textId="77777777" w:rsidR="00D86991" w:rsidRDefault="00D86991"/>
    <w:sectPr w:rsidR="00D869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F1553"/>
    <w:multiLevelType w:val="multilevel"/>
    <w:tmpl w:val="690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8E795E"/>
    <w:multiLevelType w:val="multilevel"/>
    <w:tmpl w:val="DDB04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36C4A"/>
    <w:multiLevelType w:val="multilevel"/>
    <w:tmpl w:val="37D65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935808">
    <w:abstractNumId w:val="0"/>
  </w:num>
  <w:num w:numId="2" w16cid:durableId="175853668">
    <w:abstractNumId w:val="1"/>
  </w:num>
  <w:num w:numId="3" w16cid:durableId="788818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04"/>
    <w:rsid w:val="000469AA"/>
    <w:rsid w:val="001D56F0"/>
    <w:rsid w:val="007C2943"/>
    <w:rsid w:val="00925104"/>
    <w:rsid w:val="00AE52F8"/>
    <w:rsid w:val="00BC322E"/>
    <w:rsid w:val="00CD0535"/>
    <w:rsid w:val="00D8699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D929"/>
  <w15:chartTrackingRefBased/>
  <w15:docId w15:val="{93C87C1C-8050-4294-9C10-09B207E1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5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51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51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51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51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51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51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51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51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51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51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51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51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51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51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51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5104"/>
    <w:rPr>
      <w:rFonts w:eastAsiaTheme="majorEastAsia" w:cstheme="majorBidi"/>
      <w:color w:val="272727" w:themeColor="text1" w:themeTint="D8"/>
    </w:rPr>
  </w:style>
  <w:style w:type="paragraph" w:styleId="Ttulo">
    <w:name w:val="Title"/>
    <w:basedOn w:val="Normal"/>
    <w:next w:val="Normal"/>
    <w:link w:val="TtuloCar"/>
    <w:uiPriority w:val="10"/>
    <w:qFormat/>
    <w:rsid w:val="00925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51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51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51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5104"/>
    <w:pPr>
      <w:spacing w:before="160"/>
      <w:jc w:val="center"/>
    </w:pPr>
    <w:rPr>
      <w:i/>
      <w:iCs/>
      <w:color w:val="404040" w:themeColor="text1" w:themeTint="BF"/>
    </w:rPr>
  </w:style>
  <w:style w:type="character" w:customStyle="1" w:styleId="CitaCar">
    <w:name w:val="Cita Car"/>
    <w:basedOn w:val="Fuentedeprrafopredeter"/>
    <w:link w:val="Cita"/>
    <w:uiPriority w:val="29"/>
    <w:rsid w:val="00925104"/>
    <w:rPr>
      <w:i/>
      <w:iCs/>
      <w:color w:val="404040" w:themeColor="text1" w:themeTint="BF"/>
    </w:rPr>
  </w:style>
  <w:style w:type="paragraph" w:styleId="Prrafodelista">
    <w:name w:val="List Paragraph"/>
    <w:basedOn w:val="Normal"/>
    <w:uiPriority w:val="34"/>
    <w:qFormat/>
    <w:rsid w:val="00925104"/>
    <w:pPr>
      <w:ind w:left="720"/>
      <w:contextualSpacing/>
    </w:pPr>
  </w:style>
  <w:style w:type="character" w:styleId="nfasisintenso">
    <w:name w:val="Intense Emphasis"/>
    <w:basedOn w:val="Fuentedeprrafopredeter"/>
    <w:uiPriority w:val="21"/>
    <w:qFormat/>
    <w:rsid w:val="00925104"/>
    <w:rPr>
      <w:i/>
      <w:iCs/>
      <w:color w:val="0F4761" w:themeColor="accent1" w:themeShade="BF"/>
    </w:rPr>
  </w:style>
  <w:style w:type="paragraph" w:styleId="Citadestacada">
    <w:name w:val="Intense Quote"/>
    <w:basedOn w:val="Normal"/>
    <w:next w:val="Normal"/>
    <w:link w:val="CitadestacadaCar"/>
    <w:uiPriority w:val="30"/>
    <w:qFormat/>
    <w:rsid w:val="00925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5104"/>
    <w:rPr>
      <w:i/>
      <w:iCs/>
      <w:color w:val="0F4761" w:themeColor="accent1" w:themeShade="BF"/>
    </w:rPr>
  </w:style>
  <w:style w:type="character" w:styleId="Referenciaintensa">
    <w:name w:val="Intense Reference"/>
    <w:basedOn w:val="Fuentedeprrafopredeter"/>
    <w:uiPriority w:val="32"/>
    <w:qFormat/>
    <w:rsid w:val="00925104"/>
    <w:rPr>
      <w:b/>
      <w:bCs/>
      <w:smallCaps/>
      <w:color w:val="0F4761" w:themeColor="accent1" w:themeShade="BF"/>
      <w:spacing w:val="5"/>
    </w:rPr>
  </w:style>
  <w:style w:type="character" w:styleId="Hipervnculo">
    <w:name w:val="Hyperlink"/>
    <w:basedOn w:val="Fuentedeprrafopredeter"/>
    <w:uiPriority w:val="99"/>
    <w:unhideWhenUsed/>
    <w:rsid w:val="00CD0535"/>
    <w:rPr>
      <w:color w:val="467886" w:themeColor="hyperlink"/>
      <w:u w:val="single"/>
    </w:rPr>
  </w:style>
  <w:style w:type="character" w:styleId="Mencinsinresolver">
    <w:name w:val="Unresolved Mention"/>
    <w:basedOn w:val="Fuentedeprrafopredeter"/>
    <w:uiPriority w:val="99"/>
    <w:semiHidden/>
    <w:unhideWhenUsed/>
    <w:rsid w:val="00CD0535"/>
    <w:rPr>
      <w:color w:val="605E5C"/>
      <w:shd w:val="clear" w:color="auto" w:fill="E1DFDD"/>
    </w:rPr>
  </w:style>
  <w:style w:type="paragraph" w:styleId="NormalWeb">
    <w:name w:val="Normal (Web)"/>
    <w:basedOn w:val="Normal"/>
    <w:uiPriority w:val="99"/>
    <w:semiHidden/>
    <w:unhideWhenUsed/>
    <w:rsid w:val="000469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412">
      <w:bodyDiv w:val="1"/>
      <w:marLeft w:val="0"/>
      <w:marRight w:val="0"/>
      <w:marTop w:val="0"/>
      <w:marBottom w:val="0"/>
      <w:divBdr>
        <w:top w:val="none" w:sz="0" w:space="0" w:color="auto"/>
        <w:left w:val="none" w:sz="0" w:space="0" w:color="auto"/>
        <w:bottom w:val="none" w:sz="0" w:space="0" w:color="auto"/>
        <w:right w:val="none" w:sz="0" w:space="0" w:color="auto"/>
      </w:divBdr>
      <w:divsChild>
        <w:div w:id="846601301">
          <w:marLeft w:val="0"/>
          <w:marRight w:val="0"/>
          <w:marTop w:val="0"/>
          <w:marBottom w:val="0"/>
          <w:divBdr>
            <w:top w:val="none" w:sz="0" w:space="0" w:color="auto"/>
            <w:left w:val="none" w:sz="0" w:space="0" w:color="auto"/>
            <w:bottom w:val="none" w:sz="0" w:space="0" w:color="auto"/>
            <w:right w:val="none" w:sz="0" w:space="0" w:color="auto"/>
          </w:divBdr>
          <w:divsChild>
            <w:div w:id="1828939848">
              <w:marLeft w:val="0"/>
              <w:marRight w:val="0"/>
              <w:marTop w:val="0"/>
              <w:marBottom w:val="0"/>
              <w:divBdr>
                <w:top w:val="none" w:sz="0" w:space="0" w:color="auto"/>
                <w:left w:val="none" w:sz="0" w:space="0" w:color="auto"/>
                <w:bottom w:val="none" w:sz="0" w:space="0" w:color="auto"/>
                <w:right w:val="none" w:sz="0" w:space="0" w:color="auto"/>
              </w:divBdr>
              <w:divsChild>
                <w:div w:id="20651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67">
          <w:marLeft w:val="0"/>
          <w:marRight w:val="0"/>
          <w:marTop w:val="0"/>
          <w:marBottom w:val="0"/>
          <w:divBdr>
            <w:top w:val="none" w:sz="0" w:space="0" w:color="auto"/>
            <w:left w:val="none" w:sz="0" w:space="0" w:color="auto"/>
            <w:bottom w:val="none" w:sz="0" w:space="0" w:color="auto"/>
            <w:right w:val="none" w:sz="0" w:space="0" w:color="auto"/>
          </w:divBdr>
          <w:divsChild>
            <w:div w:id="2104497394">
              <w:marLeft w:val="0"/>
              <w:marRight w:val="0"/>
              <w:marTop w:val="0"/>
              <w:marBottom w:val="0"/>
              <w:divBdr>
                <w:top w:val="none" w:sz="0" w:space="0" w:color="auto"/>
                <w:left w:val="none" w:sz="0" w:space="0" w:color="auto"/>
                <w:bottom w:val="none" w:sz="0" w:space="0" w:color="auto"/>
                <w:right w:val="none" w:sz="0" w:space="0" w:color="auto"/>
              </w:divBdr>
            </w:div>
          </w:divsChild>
        </w:div>
        <w:div w:id="512500808">
          <w:marLeft w:val="0"/>
          <w:marRight w:val="0"/>
          <w:marTop w:val="0"/>
          <w:marBottom w:val="0"/>
          <w:divBdr>
            <w:top w:val="none" w:sz="0" w:space="0" w:color="auto"/>
            <w:left w:val="none" w:sz="0" w:space="0" w:color="auto"/>
            <w:bottom w:val="none" w:sz="0" w:space="0" w:color="auto"/>
            <w:right w:val="none" w:sz="0" w:space="0" w:color="auto"/>
          </w:divBdr>
          <w:divsChild>
            <w:div w:id="315109697">
              <w:marLeft w:val="0"/>
              <w:marRight w:val="0"/>
              <w:marTop w:val="0"/>
              <w:marBottom w:val="0"/>
              <w:divBdr>
                <w:top w:val="none" w:sz="0" w:space="0" w:color="auto"/>
                <w:left w:val="none" w:sz="0" w:space="0" w:color="auto"/>
                <w:bottom w:val="none" w:sz="0" w:space="0" w:color="auto"/>
                <w:right w:val="none" w:sz="0" w:space="0" w:color="auto"/>
              </w:divBdr>
              <w:divsChild>
                <w:div w:id="4758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6144">
      <w:bodyDiv w:val="1"/>
      <w:marLeft w:val="0"/>
      <w:marRight w:val="0"/>
      <w:marTop w:val="0"/>
      <w:marBottom w:val="0"/>
      <w:divBdr>
        <w:top w:val="none" w:sz="0" w:space="0" w:color="auto"/>
        <w:left w:val="none" w:sz="0" w:space="0" w:color="auto"/>
        <w:bottom w:val="none" w:sz="0" w:space="0" w:color="auto"/>
        <w:right w:val="none" w:sz="0" w:space="0" w:color="auto"/>
      </w:divBdr>
      <w:divsChild>
        <w:div w:id="365564938">
          <w:marLeft w:val="0"/>
          <w:marRight w:val="0"/>
          <w:marTop w:val="0"/>
          <w:marBottom w:val="0"/>
          <w:divBdr>
            <w:top w:val="none" w:sz="0" w:space="0" w:color="auto"/>
            <w:left w:val="none" w:sz="0" w:space="0" w:color="auto"/>
            <w:bottom w:val="none" w:sz="0" w:space="0" w:color="auto"/>
            <w:right w:val="none" w:sz="0" w:space="0" w:color="auto"/>
          </w:divBdr>
          <w:divsChild>
            <w:div w:id="1406294733">
              <w:marLeft w:val="0"/>
              <w:marRight w:val="0"/>
              <w:marTop w:val="0"/>
              <w:marBottom w:val="0"/>
              <w:divBdr>
                <w:top w:val="none" w:sz="0" w:space="0" w:color="auto"/>
                <w:left w:val="none" w:sz="0" w:space="0" w:color="auto"/>
                <w:bottom w:val="none" w:sz="0" w:space="0" w:color="auto"/>
                <w:right w:val="none" w:sz="0" w:space="0" w:color="auto"/>
              </w:divBdr>
              <w:divsChild>
                <w:div w:id="3284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3310">
          <w:marLeft w:val="0"/>
          <w:marRight w:val="0"/>
          <w:marTop w:val="0"/>
          <w:marBottom w:val="0"/>
          <w:divBdr>
            <w:top w:val="none" w:sz="0" w:space="0" w:color="auto"/>
            <w:left w:val="none" w:sz="0" w:space="0" w:color="auto"/>
            <w:bottom w:val="none" w:sz="0" w:space="0" w:color="auto"/>
            <w:right w:val="none" w:sz="0" w:space="0" w:color="auto"/>
          </w:divBdr>
          <w:divsChild>
            <w:div w:id="1254703406">
              <w:marLeft w:val="0"/>
              <w:marRight w:val="0"/>
              <w:marTop w:val="0"/>
              <w:marBottom w:val="0"/>
              <w:divBdr>
                <w:top w:val="none" w:sz="0" w:space="0" w:color="auto"/>
                <w:left w:val="none" w:sz="0" w:space="0" w:color="auto"/>
                <w:bottom w:val="none" w:sz="0" w:space="0" w:color="auto"/>
                <w:right w:val="none" w:sz="0" w:space="0" w:color="auto"/>
              </w:divBdr>
            </w:div>
          </w:divsChild>
        </w:div>
        <w:div w:id="1217862332">
          <w:marLeft w:val="0"/>
          <w:marRight w:val="0"/>
          <w:marTop w:val="0"/>
          <w:marBottom w:val="0"/>
          <w:divBdr>
            <w:top w:val="none" w:sz="0" w:space="0" w:color="auto"/>
            <w:left w:val="none" w:sz="0" w:space="0" w:color="auto"/>
            <w:bottom w:val="none" w:sz="0" w:space="0" w:color="auto"/>
            <w:right w:val="none" w:sz="0" w:space="0" w:color="auto"/>
          </w:divBdr>
          <w:divsChild>
            <w:div w:id="332415451">
              <w:marLeft w:val="0"/>
              <w:marRight w:val="0"/>
              <w:marTop w:val="0"/>
              <w:marBottom w:val="0"/>
              <w:divBdr>
                <w:top w:val="none" w:sz="0" w:space="0" w:color="auto"/>
                <w:left w:val="none" w:sz="0" w:space="0" w:color="auto"/>
                <w:bottom w:val="none" w:sz="0" w:space="0" w:color="auto"/>
                <w:right w:val="none" w:sz="0" w:space="0" w:color="auto"/>
              </w:divBdr>
              <w:divsChild>
                <w:div w:id="1029339385">
                  <w:marLeft w:val="0"/>
                  <w:marRight w:val="0"/>
                  <w:marTop w:val="0"/>
                  <w:marBottom w:val="0"/>
                  <w:divBdr>
                    <w:top w:val="none" w:sz="0" w:space="0" w:color="auto"/>
                    <w:left w:val="none" w:sz="0" w:space="0" w:color="auto"/>
                    <w:bottom w:val="none" w:sz="0" w:space="0" w:color="auto"/>
                    <w:right w:val="none" w:sz="0" w:space="0" w:color="auto"/>
                  </w:divBdr>
                </w:div>
              </w:divsChild>
            </w:div>
            <w:div w:id="933513810">
              <w:marLeft w:val="0"/>
              <w:marRight w:val="0"/>
              <w:marTop w:val="0"/>
              <w:marBottom w:val="0"/>
              <w:divBdr>
                <w:top w:val="none" w:sz="0" w:space="0" w:color="auto"/>
                <w:left w:val="none" w:sz="0" w:space="0" w:color="auto"/>
                <w:bottom w:val="none" w:sz="0" w:space="0" w:color="auto"/>
                <w:right w:val="none" w:sz="0" w:space="0" w:color="auto"/>
              </w:divBdr>
              <w:divsChild>
                <w:div w:id="2564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476">
          <w:marLeft w:val="0"/>
          <w:marRight w:val="0"/>
          <w:marTop w:val="0"/>
          <w:marBottom w:val="0"/>
          <w:divBdr>
            <w:top w:val="none" w:sz="0" w:space="0" w:color="auto"/>
            <w:left w:val="none" w:sz="0" w:space="0" w:color="auto"/>
            <w:bottom w:val="none" w:sz="0" w:space="0" w:color="auto"/>
            <w:right w:val="none" w:sz="0" w:space="0" w:color="auto"/>
          </w:divBdr>
          <w:divsChild>
            <w:div w:id="1374110545">
              <w:marLeft w:val="0"/>
              <w:marRight w:val="0"/>
              <w:marTop w:val="0"/>
              <w:marBottom w:val="0"/>
              <w:divBdr>
                <w:top w:val="none" w:sz="0" w:space="0" w:color="auto"/>
                <w:left w:val="none" w:sz="0" w:space="0" w:color="auto"/>
                <w:bottom w:val="none" w:sz="0" w:space="0" w:color="auto"/>
                <w:right w:val="none" w:sz="0" w:space="0" w:color="auto"/>
              </w:divBdr>
              <w:divsChild>
                <w:div w:id="2658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8693">
      <w:bodyDiv w:val="1"/>
      <w:marLeft w:val="0"/>
      <w:marRight w:val="0"/>
      <w:marTop w:val="0"/>
      <w:marBottom w:val="0"/>
      <w:divBdr>
        <w:top w:val="none" w:sz="0" w:space="0" w:color="auto"/>
        <w:left w:val="none" w:sz="0" w:space="0" w:color="auto"/>
        <w:bottom w:val="none" w:sz="0" w:space="0" w:color="auto"/>
        <w:right w:val="none" w:sz="0" w:space="0" w:color="auto"/>
      </w:divBdr>
      <w:divsChild>
        <w:div w:id="1532954462">
          <w:marLeft w:val="0"/>
          <w:marRight w:val="0"/>
          <w:marTop w:val="0"/>
          <w:marBottom w:val="0"/>
          <w:divBdr>
            <w:top w:val="none" w:sz="0" w:space="0" w:color="auto"/>
            <w:left w:val="none" w:sz="0" w:space="0" w:color="auto"/>
            <w:bottom w:val="none" w:sz="0" w:space="0" w:color="auto"/>
            <w:right w:val="none" w:sz="0" w:space="0" w:color="auto"/>
          </w:divBdr>
          <w:divsChild>
            <w:div w:id="570114672">
              <w:marLeft w:val="0"/>
              <w:marRight w:val="0"/>
              <w:marTop w:val="0"/>
              <w:marBottom w:val="0"/>
              <w:divBdr>
                <w:top w:val="none" w:sz="0" w:space="0" w:color="auto"/>
                <w:left w:val="none" w:sz="0" w:space="0" w:color="auto"/>
                <w:bottom w:val="none" w:sz="0" w:space="0" w:color="auto"/>
                <w:right w:val="none" w:sz="0" w:space="0" w:color="auto"/>
              </w:divBdr>
              <w:divsChild>
                <w:div w:id="6423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3519">
          <w:marLeft w:val="0"/>
          <w:marRight w:val="0"/>
          <w:marTop w:val="0"/>
          <w:marBottom w:val="0"/>
          <w:divBdr>
            <w:top w:val="none" w:sz="0" w:space="0" w:color="auto"/>
            <w:left w:val="none" w:sz="0" w:space="0" w:color="auto"/>
            <w:bottom w:val="none" w:sz="0" w:space="0" w:color="auto"/>
            <w:right w:val="none" w:sz="0" w:space="0" w:color="auto"/>
          </w:divBdr>
          <w:divsChild>
            <w:div w:id="826631014">
              <w:marLeft w:val="0"/>
              <w:marRight w:val="0"/>
              <w:marTop w:val="0"/>
              <w:marBottom w:val="0"/>
              <w:divBdr>
                <w:top w:val="none" w:sz="0" w:space="0" w:color="auto"/>
                <w:left w:val="none" w:sz="0" w:space="0" w:color="auto"/>
                <w:bottom w:val="none" w:sz="0" w:space="0" w:color="auto"/>
                <w:right w:val="none" w:sz="0" w:space="0" w:color="auto"/>
              </w:divBdr>
            </w:div>
          </w:divsChild>
        </w:div>
        <w:div w:id="1906259980">
          <w:marLeft w:val="0"/>
          <w:marRight w:val="0"/>
          <w:marTop w:val="0"/>
          <w:marBottom w:val="0"/>
          <w:divBdr>
            <w:top w:val="none" w:sz="0" w:space="0" w:color="auto"/>
            <w:left w:val="none" w:sz="0" w:space="0" w:color="auto"/>
            <w:bottom w:val="none" w:sz="0" w:space="0" w:color="auto"/>
            <w:right w:val="none" w:sz="0" w:space="0" w:color="auto"/>
          </w:divBdr>
          <w:divsChild>
            <w:div w:id="1848446341">
              <w:marLeft w:val="0"/>
              <w:marRight w:val="0"/>
              <w:marTop w:val="0"/>
              <w:marBottom w:val="0"/>
              <w:divBdr>
                <w:top w:val="none" w:sz="0" w:space="0" w:color="auto"/>
                <w:left w:val="none" w:sz="0" w:space="0" w:color="auto"/>
                <w:bottom w:val="none" w:sz="0" w:space="0" w:color="auto"/>
                <w:right w:val="none" w:sz="0" w:space="0" w:color="auto"/>
              </w:divBdr>
              <w:divsChild>
                <w:div w:id="1924291616">
                  <w:marLeft w:val="0"/>
                  <w:marRight w:val="0"/>
                  <w:marTop w:val="0"/>
                  <w:marBottom w:val="0"/>
                  <w:divBdr>
                    <w:top w:val="none" w:sz="0" w:space="0" w:color="auto"/>
                    <w:left w:val="none" w:sz="0" w:space="0" w:color="auto"/>
                    <w:bottom w:val="none" w:sz="0" w:space="0" w:color="auto"/>
                    <w:right w:val="none" w:sz="0" w:space="0" w:color="auto"/>
                  </w:divBdr>
                </w:div>
              </w:divsChild>
            </w:div>
            <w:div w:id="1737820737">
              <w:marLeft w:val="0"/>
              <w:marRight w:val="0"/>
              <w:marTop w:val="0"/>
              <w:marBottom w:val="0"/>
              <w:divBdr>
                <w:top w:val="none" w:sz="0" w:space="0" w:color="auto"/>
                <w:left w:val="none" w:sz="0" w:space="0" w:color="auto"/>
                <w:bottom w:val="none" w:sz="0" w:space="0" w:color="auto"/>
                <w:right w:val="none" w:sz="0" w:space="0" w:color="auto"/>
              </w:divBdr>
              <w:divsChild>
                <w:div w:id="6700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48951">
          <w:marLeft w:val="0"/>
          <w:marRight w:val="0"/>
          <w:marTop w:val="0"/>
          <w:marBottom w:val="0"/>
          <w:divBdr>
            <w:top w:val="none" w:sz="0" w:space="0" w:color="auto"/>
            <w:left w:val="none" w:sz="0" w:space="0" w:color="auto"/>
            <w:bottom w:val="none" w:sz="0" w:space="0" w:color="auto"/>
            <w:right w:val="none" w:sz="0" w:space="0" w:color="auto"/>
          </w:divBdr>
          <w:divsChild>
            <w:div w:id="524170817">
              <w:marLeft w:val="0"/>
              <w:marRight w:val="0"/>
              <w:marTop w:val="0"/>
              <w:marBottom w:val="0"/>
              <w:divBdr>
                <w:top w:val="none" w:sz="0" w:space="0" w:color="auto"/>
                <w:left w:val="none" w:sz="0" w:space="0" w:color="auto"/>
                <w:bottom w:val="none" w:sz="0" w:space="0" w:color="auto"/>
                <w:right w:val="none" w:sz="0" w:space="0" w:color="auto"/>
              </w:divBdr>
              <w:divsChild>
                <w:div w:id="1122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26486">
      <w:bodyDiv w:val="1"/>
      <w:marLeft w:val="0"/>
      <w:marRight w:val="0"/>
      <w:marTop w:val="0"/>
      <w:marBottom w:val="0"/>
      <w:divBdr>
        <w:top w:val="none" w:sz="0" w:space="0" w:color="auto"/>
        <w:left w:val="none" w:sz="0" w:space="0" w:color="auto"/>
        <w:bottom w:val="none" w:sz="0" w:space="0" w:color="auto"/>
        <w:right w:val="none" w:sz="0" w:space="0" w:color="auto"/>
      </w:divBdr>
    </w:div>
    <w:div w:id="598685050">
      <w:bodyDiv w:val="1"/>
      <w:marLeft w:val="0"/>
      <w:marRight w:val="0"/>
      <w:marTop w:val="0"/>
      <w:marBottom w:val="0"/>
      <w:divBdr>
        <w:top w:val="none" w:sz="0" w:space="0" w:color="auto"/>
        <w:left w:val="none" w:sz="0" w:space="0" w:color="auto"/>
        <w:bottom w:val="none" w:sz="0" w:space="0" w:color="auto"/>
        <w:right w:val="none" w:sz="0" w:space="0" w:color="auto"/>
      </w:divBdr>
    </w:div>
    <w:div w:id="644167913">
      <w:bodyDiv w:val="1"/>
      <w:marLeft w:val="0"/>
      <w:marRight w:val="0"/>
      <w:marTop w:val="0"/>
      <w:marBottom w:val="0"/>
      <w:divBdr>
        <w:top w:val="none" w:sz="0" w:space="0" w:color="auto"/>
        <w:left w:val="none" w:sz="0" w:space="0" w:color="auto"/>
        <w:bottom w:val="none" w:sz="0" w:space="0" w:color="auto"/>
        <w:right w:val="none" w:sz="0" w:space="0" w:color="auto"/>
      </w:divBdr>
    </w:div>
    <w:div w:id="1005327128">
      <w:bodyDiv w:val="1"/>
      <w:marLeft w:val="0"/>
      <w:marRight w:val="0"/>
      <w:marTop w:val="0"/>
      <w:marBottom w:val="0"/>
      <w:divBdr>
        <w:top w:val="none" w:sz="0" w:space="0" w:color="auto"/>
        <w:left w:val="none" w:sz="0" w:space="0" w:color="auto"/>
        <w:bottom w:val="none" w:sz="0" w:space="0" w:color="auto"/>
        <w:right w:val="none" w:sz="0" w:space="0" w:color="auto"/>
      </w:divBdr>
      <w:divsChild>
        <w:div w:id="1094015523">
          <w:marLeft w:val="0"/>
          <w:marRight w:val="0"/>
          <w:marTop w:val="0"/>
          <w:marBottom w:val="0"/>
          <w:divBdr>
            <w:top w:val="none" w:sz="0" w:space="0" w:color="auto"/>
            <w:left w:val="none" w:sz="0" w:space="0" w:color="auto"/>
            <w:bottom w:val="none" w:sz="0" w:space="0" w:color="auto"/>
            <w:right w:val="none" w:sz="0" w:space="0" w:color="auto"/>
          </w:divBdr>
          <w:divsChild>
            <w:div w:id="2046982928">
              <w:marLeft w:val="0"/>
              <w:marRight w:val="0"/>
              <w:marTop w:val="0"/>
              <w:marBottom w:val="0"/>
              <w:divBdr>
                <w:top w:val="none" w:sz="0" w:space="0" w:color="auto"/>
                <w:left w:val="none" w:sz="0" w:space="0" w:color="auto"/>
                <w:bottom w:val="none" w:sz="0" w:space="0" w:color="auto"/>
                <w:right w:val="none" w:sz="0" w:space="0" w:color="auto"/>
              </w:divBdr>
              <w:divsChild>
                <w:div w:id="14697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648">
          <w:marLeft w:val="0"/>
          <w:marRight w:val="0"/>
          <w:marTop w:val="0"/>
          <w:marBottom w:val="0"/>
          <w:divBdr>
            <w:top w:val="none" w:sz="0" w:space="0" w:color="auto"/>
            <w:left w:val="none" w:sz="0" w:space="0" w:color="auto"/>
            <w:bottom w:val="none" w:sz="0" w:space="0" w:color="auto"/>
            <w:right w:val="none" w:sz="0" w:space="0" w:color="auto"/>
          </w:divBdr>
          <w:divsChild>
            <w:div w:id="517163375">
              <w:marLeft w:val="0"/>
              <w:marRight w:val="0"/>
              <w:marTop w:val="0"/>
              <w:marBottom w:val="0"/>
              <w:divBdr>
                <w:top w:val="none" w:sz="0" w:space="0" w:color="auto"/>
                <w:left w:val="none" w:sz="0" w:space="0" w:color="auto"/>
                <w:bottom w:val="none" w:sz="0" w:space="0" w:color="auto"/>
                <w:right w:val="none" w:sz="0" w:space="0" w:color="auto"/>
              </w:divBdr>
            </w:div>
          </w:divsChild>
        </w:div>
        <w:div w:id="472331719">
          <w:marLeft w:val="0"/>
          <w:marRight w:val="0"/>
          <w:marTop w:val="0"/>
          <w:marBottom w:val="0"/>
          <w:divBdr>
            <w:top w:val="none" w:sz="0" w:space="0" w:color="auto"/>
            <w:left w:val="none" w:sz="0" w:space="0" w:color="auto"/>
            <w:bottom w:val="none" w:sz="0" w:space="0" w:color="auto"/>
            <w:right w:val="none" w:sz="0" w:space="0" w:color="auto"/>
          </w:divBdr>
          <w:divsChild>
            <w:div w:id="1461728717">
              <w:marLeft w:val="0"/>
              <w:marRight w:val="0"/>
              <w:marTop w:val="0"/>
              <w:marBottom w:val="0"/>
              <w:divBdr>
                <w:top w:val="none" w:sz="0" w:space="0" w:color="auto"/>
                <w:left w:val="none" w:sz="0" w:space="0" w:color="auto"/>
                <w:bottom w:val="none" w:sz="0" w:space="0" w:color="auto"/>
                <w:right w:val="none" w:sz="0" w:space="0" w:color="auto"/>
              </w:divBdr>
              <w:divsChild>
                <w:div w:id="3320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dteam.guide/docs/checklists/red-team-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archive.org/web/20230325143301/https:/content.fireeye.com/apt/rpt-apt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1792</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4</cp:revision>
  <dcterms:created xsi:type="dcterms:W3CDTF">2025-01-30T16:34:00Z</dcterms:created>
  <dcterms:modified xsi:type="dcterms:W3CDTF">2025-01-30T17:41:00Z</dcterms:modified>
</cp:coreProperties>
</file>