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E1932" w14:textId="5D9540F4" w:rsidR="00070B2E" w:rsidRPr="00070B2E" w:rsidRDefault="00070B2E" w:rsidP="00070B2E">
      <w:pPr>
        <w:shd w:val="clear" w:color="auto" w:fill="F8F8F8"/>
        <w:spacing w:before="360" w:after="210" w:line="240" w:lineRule="auto"/>
        <w:outlineLvl w:val="1"/>
        <w:rPr>
          <w:rFonts w:ascii="Segoe UI" w:eastAsia="Times New Roman" w:hAnsi="Segoe UI" w:cs="Segoe UI"/>
          <w:b/>
          <w:bCs/>
          <w:color w:val="3B3B3B"/>
          <w:kern w:val="0"/>
          <w:lang w:eastAsia="en-CA"/>
          <w14:ligatures w14:val="none"/>
        </w:rPr>
      </w:pPr>
      <w:r w:rsidRPr="00070B2E">
        <w:rPr>
          <w:rFonts w:ascii="Segoe UI" w:eastAsia="Times New Roman" w:hAnsi="Segoe UI" w:cs="Segoe UI"/>
          <w:b/>
          <w:bCs/>
          <w:color w:val="3B3B3B"/>
          <w:kern w:val="0"/>
          <w:lang w:eastAsia="en-CA"/>
          <w14:ligatures w14:val="none"/>
        </w:rPr>
        <w:t>Regional Acute Care Hospital Expansion</w:t>
      </w:r>
    </w:p>
    <w:p w14:paraId="519B9133" w14:textId="77777777" w:rsidR="00070B2E" w:rsidRPr="00070B2E" w:rsidRDefault="00070B2E" w:rsidP="00070B2E">
      <w:pPr>
        <w:numPr>
          <w:ilvl w:val="0"/>
          <w:numId w:val="1"/>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Project: Regional Acute Care Hospital Expansion</w:t>
      </w:r>
    </w:p>
    <w:p w14:paraId="581E4058" w14:textId="77777777" w:rsidR="00070B2E" w:rsidRPr="00070B2E" w:rsidRDefault="00070B2E" w:rsidP="00070B2E">
      <w:pPr>
        <w:numPr>
          <w:ilvl w:val="0"/>
          <w:numId w:val="1"/>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Target estimate value: USD 285M (concept range: USD 255M-315M)</w:t>
      </w:r>
    </w:p>
    <w:p w14:paraId="1B97629D" w14:textId="77777777" w:rsidR="00070B2E" w:rsidRPr="00070B2E" w:rsidRDefault="00070B2E" w:rsidP="00070B2E">
      <w:pPr>
        <w:numPr>
          <w:ilvl w:val="0"/>
          <w:numId w:val="1"/>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Location: Phoenix, Arizona, USA</w:t>
      </w:r>
    </w:p>
    <w:p w14:paraId="19AED111" w14:textId="77777777" w:rsidR="00070B2E" w:rsidRPr="00070B2E" w:rsidRDefault="00070B2E" w:rsidP="00070B2E">
      <w:pPr>
        <w:numPr>
          <w:ilvl w:val="0"/>
          <w:numId w:val="1"/>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Contract type: GMP (CMAR)</w:t>
      </w:r>
    </w:p>
    <w:p w14:paraId="62973D35" w14:textId="77777777" w:rsidR="00070B2E" w:rsidRPr="00070B2E" w:rsidRDefault="00070B2E" w:rsidP="00070B2E">
      <w:pPr>
        <w:numPr>
          <w:ilvl w:val="0"/>
          <w:numId w:val="1"/>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Delivery timeline: Notice to Proceed in Q3 2026, Substantial Completion in Q1 2029</w:t>
      </w:r>
    </w:p>
    <w:p w14:paraId="5F1417C2" w14:textId="77777777" w:rsidR="00070B2E" w:rsidRPr="00070B2E" w:rsidRDefault="00070B2E" w:rsidP="00070B2E">
      <w:pPr>
        <w:numPr>
          <w:ilvl w:val="0"/>
          <w:numId w:val="1"/>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Scope summary: 220,000 sq ft vertical expansion, OR suites, MEP upgrades, active campus logistics, phased occupancy</w:t>
      </w:r>
    </w:p>
    <w:p w14:paraId="20E050D5" w14:textId="77777777" w:rsidR="00070B2E" w:rsidRPr="00070B2E" w:rsidRDefault="00070B2E" w:rsidP="00070B2E">
      <w:pPr>
        <w:shd w:val="clear" w:color="auto" w:fill="F8F8F8"/>
        <w:spacing w:before="360" w:after="210" w:line="240" w:lineRule="auto"/>
        <w:outlineLvl w:val="1"/>
        <w:rPr>
          <w:rFonts w:ascii="Segoe UI" w:eastAsia="Times New Roman" w:hAnsi="Segoe UI" w:cs="Segoe UI"/>
          <w:b/>
          <w:bCs/>
          <w:color w:val="3B3B3B"/>
          <w:kern w:val="0"/>
          <w:lang w:eastAsia="en-CA"/>
          <w14:ligatures w14:val="none"/>
        </w:rPr>
      </w:pPr>
      <w:r w:rsidRPr="00070B2E">
        <w:rPr>
          <w:rFonts w:ascii="Segoe UI" w:eastAsia="Times New Roman" w:hAnsi="Segoe UI" w:cs="Segoe UI"/>
          <w:b/>
          <w:bCs/>
          <w:color w:val="3B3B3B"/>
          <w:kern w:val="0"/>
          <w:lang w:eastAsia="en-CA"/>
          <w14:ligatures w14:val="none"/>
        </w:rPr>
        <w:t>Executive Summary</w:t>
      </w:r>
    </w:p>
    <w:p w14:paraId="5889CFAC" w14:textId="77777777" w:rsidR="00070B2E" w:rsidRPr="00070B2E" w:rsidRDefault="00070B2E" w:rsidP="00070B2E">
      <w:pPr>
        <w:shd w:val="clear" w:color="auto" w:fill="F8F8F8"/>
        <w:spacing w:after="24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The conceptual estimate risk posture is </w:t>
      </w:r>
      <w:r w:rsidRPr="00070B2E">
        <w:rPr>
          <w:rFonts w:ascii="Segoe UI" w:eastAsia="Times New Roman" w:hAnsi="Segoe UI" w:cs="Segoe UI"/>
          <w:b/>
          <w:bCs/>
          <w:color w:val="3B3B3B"/>
          <w:kern w:val="0"/>
          <w:sz w:val="20"/>
          <w:szCs w:val="20"/>
          <w:lang w:eastAsia="en-CA"/>
          <w14:ligatures w14:val="none"/>
        </w:rPr>
        <w:t>moderate-to-high</w:t>
      </w:r>
      <w:r w:rsidRPr="00070B2E">
        <w:rPr>
          <w:rFonts w:ascii="Segoe UI" w:eastAsia="Times New Roman" w:hAnsi="Segoe UI" w:cs="Segoe UI"/>
          <w:color w:val="3B3B3B"/>
          <w:kern w:val="0"/>
          <w:sz w:val="20"/>
          <w:szCs w:val="20"/>
          <w:lang w:eastAsia="en-CA"/>
          <w14:ligatures w14:val="none"/>
        </w:rPr>
        <w:t> at this stage, with primary exposure concentrated in market pricing volatility, live-campus productivity impacts, and scope definition maturity for complex MEP/clinical interfaces. Based on historical comparables in similar value bands and contract type, the likely risk direction is upward on both cost and schedule unless early design freeze discipline, procurement timing, and logistics planning are tightened before basis-of-estimate lock.</w:t>
      </w:r>
    </w:p>
    <w:p w14:paraId="39F0E096" w14:textId="77777777" w:rsidR="00070B2E" w:rsidRPr="00070B2E" w:rsidRDefault="00070B2E" w:rsidP="00070B2E">
      <w:pPr>
        <w:shd w:val="clear" w:color="auto" w:fill="F8F8F8"/>
        <w:spacing w:before="360" w:after="210" w:line="240" w:lineRule="auto"/>
        <w:outlineLvl w:val="1"/>
        <w:rPr>
          <w:rFonts w:ascii="Segoe UI" w:eastAsia="Times New Roman" w:hAnsi="Segoe UI" w:cs="Segoe UI"/>
          <w:b/>
          <w:bCs/>
          <w:color w:val="3B3B3B"/>
          <w:kern w:val="0"/>
          <w:lang w:eastAsia="en-CA"/>
          <w14:ligatures w14:val="none"/>
        </w:rPr>
      </w:pPr>
      <w:r w:rsidRPr="00070B2E">
        <w:rPr>
          <w:rFonts w:ascii="Segoe UI" w:eastAsia="Times New Roman" w:hAnsi="Segoe UI" w:cs="Segoe UI"/>
          <w:b/>
          <w:bCs/>
          <w:color w:val="3B3B3B"/>
          <w:kern w:val="0"/>
          <w:lang w:eastAsia="en-CA"/>
          <w14:ligatures w14:val="none"/>
        </w:rPr>
        <w:t>Project-to-History Fit</w:t>
      </w:r>
    </w:p>
    <w:p w14:paraId="68E4B1EE" w14:textId="77777777" w:rsidR="00070B2E" w:rsidRPr="00070B2E" w:rsidRDefault="00070B2E" w:rsidP="00070B2E">
      <w:pPr>
        <w:shd w:val="clear" w:color="auto" w:fill="F8F8F8"/>
        <w:spacing w:after="24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Historical alignment is </w:t>
      </w:r>
      <w:r w:rsidRPr="00070B2E">
        <w:rPr>
          <w:rFonts w:ascii="Segoe UI" w:eastAsia="Times New Roman" w:hAnsi="Segoe UI" w:cs="Segoe UI"/>
          <w:b/>
          <w:bCs/>
          <w:color w:val="3B3B3B"/>
          <w:kern w:val="0"/>
          <w:sz w:val="20"/>
          <w:szCs w:val="20"/>
          <w:lang w:eastAsia="en-CA"/>
          <w14:ligatures w14:val="none"/>
        </w:rPr>
        <w:t>good on value and contract type</w:t>
      </w:r>
      <w:r w:rsidRPr="00070B2E">
        <w:rPr>
          <w:rFonts w:ascii="Segoe UI" w:eastAsia="Times New Roman" w:hAnsi="Segoe UI" w:cs="Segoe UI"/>
          <w:color w:val="3B3B3B"/>
          <w:kern w:val="0"/>
          <w:sz w:val="20"/>
          <w:szCs w:val="20"/>
          <w:lang w:eastAsia="en-CA"/>
          <w14:ligatures w14:val="none"/>
        </w:rPr>
        <w:t> and </w:t>
      </w:r>
      <w:r w:rsidRPr="00070B2E">
        <w:rPr>
          <w:rFonts w:ascii="Segoe UI" w:eastAsia="Times New Roman" w:hAnsi="Segoe UI" w:cs="Segoe UI"/>
          <w:b/>
          <w:bCs/>
          <w:color w:val="3B3B3B"/>
          <w:kern w:val="0"/>
          <w:sz w:val="20"/>
          <w:szCs w:val="20"/>
          <w:lang w:eastAsia="en-CA"/>
          <w14:ligatures w14:val="none"/>
        </w:rPr>
        <w:t>moderate on geolocation</w:t>
      </w:r>
      <w:r w:rsidRPr="00070B2E">
        <w:rPr>
          <w:rFonts w:ascii="Segoe UI" w:eastAsia="Times New Roman" w:hAnsi="Segoe UI" w:cs="Segoe UI"/>
          <w:color w:val="3B3B3B"/>
          <w:kern w:val="0"/>
          <w:sz w:val="20"/>
          <w:szCs w:val="20"/>
          <w:lang w:eastAsia="en-CA"/>
          <w14:ligatures w14:val="none"/>
        </w:rPr>
        <w:t>. Comparable set assumed: 11 healthcare projects (USD 180M-420M), 7 GMP, 6 in high-growth Sun Belt labor markets, with 5 completed within the last 36 months. Confidence is </w:t>
      </w:r>
      <w:r w:rsidRPr="00070B2E">
        <w:rPr>
          <w:rFonts w:ascii="Segoe UI" w:eastAsia="Times New Roman" w:hAnsi="Segoe UI" w:cs="Segoe UI"/>
          <w:b/>
          <w:bCs/>
          <w:color w:val="3B3B3B"/>
          <w:kern w:val="0"/>
          <w:sz w:val="20"/>
          <w:szCs w:val="20"/>
          <w:lang w:eastAsia="en-CA"/>
          <w14:ligatures w14:val="none"/>
        </w:rPr>
        <w:t>medium</w:t>
      </w:r>
      <w:r w:rsidRPr="00070B2E">
        <w:rPr>
          <w:rFonts w:ascii="Segoe UI" w:eastAsia="Times New Roman" w:hAnsi="Segoe UI" w:cs="Segoe UI"/>
          <w:color w:val="3B3B3B"/>
          <w:kern w:val="0"/>
          <w:sz w:val="20"/>
          <w:szCs w:val="20"/>
          <w:lang w:eastAsia="en-CA"/>
          <w14:ligatures w14:val="none"/>
        </w:rPr>
        <w:t>, reduced by limited direct matches on active-campus phasing complexity and recent MEP equipment lead-time instability.</w:t>
      </w:r>
    </w:p>
    <w:p w14:paraId="288AF6B1" w14:textId="77777777" w:rsidR="00070B2E" w:rsidRPr="00070B2E" w:rsidRDefault="00070B2E" w:rsidP="00070B2E">
      <w:pPr>
        <w:shd w:val="clear" w:color="auto" w:fill="F8F8F8"/>
        <w:spacing w:before="360" w:after="210" w:line="240" w:lineRule="auto"/>
        <w:outlineLvl w:val="1"/>
        <w:rPr>
          <w:rFonts w:ascii="Segoe UI" w:eastAsia="Times New Roman" w:hAnsi="Segoe UI" w:cs="Segoe UI"/>
          <w:b/>
          <w:bCs/>
          <w:color w:val="3B3B3B"/>
          <w:kern w:val="0"/>
          <w:lang w:eastAsia="en-CA"/>
          <w14:ligatures w14:val="none"/>
        </w:rPr>
      </w:pPr>
      <w:r w:rsidRPr="00070B2E">
        <w:rPr>
          <w:rFonts w:ascii="Segoe UI" w:eastAsia="Times New Roman" w:hAnsi="Segoe UI" w:cs="Segoe UI"/>
          <w:b/>
          <w:bCs/>
          <w:color w:val="3B3B3B"/>
          <w:kern w:val="0"/>
          <w:lang w:eastAsia="en-CA"/>
          <w14:ligatures w14:val="none"/>
        </w:rPr>
        <w:t>Top Estimate Risks</w:t>
      </w:r>
    </w:p>
    <w:p w14:paraId="7626A81C" w14:textId="77777777" w:rsidR="00070B2E" w:rsidRPr="00070B2E" w:rsidRDefault="00070B2E" w:rsidP="00070B2E">
      <w:pPr>
        <w:numPr>
          <w:ilvl w:val="0"/>
          <w:numId w:val="2"/>
        </w:numPr>
        <w:shd w:val="clear" w:color="auto" w:fill="F8F8F8"/>
        <w:spacing w:after="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b/>
          <w:bCs/>
          <w:color w:val="3B3B3B"/>
          <w:kern w:val="0"/>
          <w:sz w:val="20"/>
          <w:szCs w:val="20"/>
          <w:lang w:eastAsia="en-CA"/>
          <w14:ligatures w14:val="none"/>
        </w:rPr>
        <w:t>Risk statement</w:t>
      </w:r>
      <w:r w:rsidRPr="00070B2E">
        <w:rPr>
          <w:rFonts w:ascii="Segoe UI" w:eastAsia="Times New Roman" w:hAnsi="Segoe UI" w:cs="Segoe UI"/>
          <w:color w:val="3B3B3B"/>
          <w:kern w:val="0"/>
          <w:sz w:val="20"/>
          <w:szCs w:val="20"/>
          <w:lang w:eastAsia="en-CA"/>
          <w14:ligatures w14:val="none"/>
        </w:rPr>
        <w:t>: Scope definition risk in clinical adjacency and phased turnover requirements may drive late design change.</w:t>
      </w:r>
      <w:r w:rsidRPr="00070B2E">
        <w:rPr>
          <w:rFonts w:ascii="Segoe UI" w:eastAsia="Times New Roman" w:hAnsi="Segoe UI" w:cs="Segoe UI"/>
          <w:color w:val="3B3B3B"/>
          <w:kern w:val="0"/>
          <w:sz w:val="20"/>
          <w:szCs w:val="20"/>
          <w:lang w:eastAsia="en-CA"/>
          <w14:ligatures w14:val="none"/>
        </w:rPr>
        <w:br/>
        <w:t>Evidence from historical comparison: Similar healthcare expansions showed 3%-8% post-DD estimate growth where phased occupancy criteria were not fully defined at concept stage.</w:t>
      </w:r>
      <w:r w:rsidRPr="00070B2E">
        <w:rPr>
          <w:rFonts w:ascii="Segoe UI" w:eastAsia="Times New Roman" w:hAnsi="Segoe UI" w:cs="Segoe UI"/>
          <w:color w:val="3B3B3B"/>
          <w:kern w:val="0"/>
          <w:sz w:val="20"/>
          <w:szCs w:val="20"/>
          <w:lang w:eastAsia="en-CA"/>
          <w14:ligatures w14:val="none"/>
        </w:rPr>
        <w:br/>
        <w:t>Likelihood/Impact: High/High.</w:t>
      </w:r>
      <w:r w:rsidRPr="00070B2E">
        <w:rPr>
          <w:rFonts w:ascii="Segoe UI" w:eastAsia="Times New Roman" w:hAnsi="Segoe UI" w:cs="Segoe UI"/>
          <w:color w:val="3B3B3B"/>
          <w:kern w:val="0"/>
          <w:sz w:val="20"/>
          <w:szCs w:val="20"/>
          <w:lang w:eastAsia="en-CA"/>
          <w14:ligatures w14:val="none"/>
        </w:rPr>
        <w:br/>
        <w:t>Potential exposure direction: Cost up, schedule right.</w:t>
      </w:r>
      <w:r w:rsidRPr="00070B2E">
        <w:rPr>
          <w:rFonts w:ascii="Segoe UI" w:eastAsia="Times New Roman" w:hAnsi="Segoe UI" w:cs="Segoe UI"/>
          <w:color w:val="3B3B3B"/>
          <w:kern w:val="0"/>
          <w:sz w:val="20"/>
          <w:szCs w:val="20"/>
          <w:lang w:eastAsia="en-CA"/>
          <w14:ligatures w14:val="none"/>
        </w:rPr>
        <w:br/>
        <w:t>Mitigation action: Set phased occupancy requirements by zone before 30% design; enforce design-change governance with executive escalation triggers.</w:t>
      </w:r>
    </w:p>
    <w:p w14:paraId="440C22C6" w14:textId="77777777" w:rsidR="00070B2E" w:rsidRPr="00070B2E" w:rsidRDefault="00070B2E" w:rsidP="00070B2E">
      <w:pPr>
        <w:numPr>
          <w:ilvl w:val="0"/>
          <w:numId w:val="2"/>
        </w:numPr>
        <w:shd w:val="clear" w:color="auto" w:fill="F8F8F8"/>
        <w:spacing w:after="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b/>
          <w:bCs/>
          <w:color w:val="3B3B3B"/>
          <w:kern w:val="0"/>
          <w:sz w:val="20"/>
          <w:szCs w:val="20"/>
          <w:lang w:eastAsia="en-CA"/>
          <w14:ligatures w14:val="none"/>
        </w:rPr>
        <w:t>Risk statement</w:t>
      </w:r>
      <w:r w:rsidRPr="00070B2E">
        <w:rPr>
          <w:rFonts w:ascii="Segoe UI" w:eastAsia="Times New Roman" w:hAnsi="Segoe UI" w:cs="Segoe UI"/>
          <w:color w:val="3B3B3B"/>
          <w:kern w:val="0"/>
          <w:sz w:val="20"/>
          <w:szCs w:val="20"/>
          <w:lang w:eastAsia="en-CA"/>
          <w14:ligatures w14:val="none"/>
        </w:rPr>
        <w:t>: Quantity and takeoff risk for vertical tie-ins and existing-conditions work may understate demolition, temporary works, and rework.</w:t>
      </w:r>
      <w:r w:rsidRPr="00070B2E">
        <w:rPr>
          <w:rFonts w:ascii="Segoe UI" w:eastAsia="Times New Roman" w:hAnsi="Segoe UI" w:cs="Segoe UI"/>
          <w:color w:val="3B3B3B"/>
          <w:kern w:val="0"/>
          <w:sz w:val="20"/>
          <w:szCs w:val="20"/>
          <w:lang w:eastAsia="en-CA"/>
          <w14:ligatures w14:val="none"/>
        </w:rPr>
        <w:br/>
        <w:t>Evidence from historical comparison: Projects with major tie-ins averaged 2%-5% quantity growth from concept to IFC, especially in structural and MEP enabling packages.</w:t>
      </w:r>
      <w:r w:rsidRPr="00070B2E">
        <w:rPr>
          <w:rFonts w:ascii="Segoe UI" w:eastAsia="Times New Roman" w:hAnsi="Segoe UI" w:cs="Segoe UI"/>
          <w:color w:val="3B3B3B"/>
          <w:kern w:val="0"/>
          <w:sz w:val="20"/>
          <w:szCs w:val="20"/>
          <w:lang w:eastAsia="en-CA"/>
          <w14:ligatures w14:val="none"/>
        </w:rPr>
        <w:br/>
        <w:t>Likelihood/Impact: Medium/High.</w:t>
      </w:r>
      <w:r w:rsidRPr="00070B2E">
        <w:rPr>
          <w:rFonts w:ascii="Segoe UI" w:eastAsia="Times New Roman" w:hAnsi="Segoe UI" w:cs="Segoe UI"/>
          <w:color w:val="3B3B3B"/>
          <w:kern w:val="0"/>
          <w:sz w:val="20"/>
          <w:szCs w:val="20"/>
          <w:lang w:eastAsia="en-CA"/>
          <w14:ligatures w14:val="none"/>
        </w:rPr>
        <w:br/>
        <w:t>Potential exposure direction: Cost up.</w:t>
      </w:r>
      <w:r w:rsidRPr="00070B2E">
        <w:rPr>
          <w:rFonts w:ascii="Segoe UI" w:eastAsia="Times New Roman" w:hAnsi="Segoe UI" w:cs="Segoe UI"/>
          <w:color w:val="3B3B3B"/>
          <w:kern w:val="0"/>
          <w:sz w:val="20"/>
          <w:szCs w:val="20"/>
          <w:lang w:eastAsia="en-CA"/>
          <w14:ligatures w14:val="none"/>
        </w:rPr>
        <w:br/>
        <w:t>Mitigation action: Add targeted early intrusive investigations and package-specific quantity validation (structure, above-ceiling MEP, temporary life safety).</w:t>
      </w:r>
    </w:p>
    <w:p w14:paraId="209ECF49" w14:textId="77777777" w:rsidR="00070B2E" w:rsidRPr="00070B2E" w:rsidRDefault="00070B2E" w:rsidP="00070B2E">
      <w:pPr>
        <w:numPr>
          <w:ilvl w:val="0"/>
          <w:numId w:val="2"/>
        </w:numPr>
        <w:shd w:val="clear" w:color="auto" w:fill="F8F8F8"/>
        <w:spacing w:after="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b/>
          <w:bCs/>
          <w:color w:val="3B3B3B"/>
          <w:kern w:val="0"/>
          <w:sz w:val="20"/>
          <w:szCs w:val="20"/>
          <w:lang w:eastAsia="en-CA"/>
          <w14:ligatures w14:val="none"/>
        </w:rPr>
        <w:t>Risk statement</w:t>
      </w:r>
      <w:r w:rsidRPr="00070B2E">
        <w:rPr>
          <w:rFonts w:ascii="Segoe UI" w:eastAsia="Times New Roman" w:hAnsi="Segoe UI" w:cs="Segoe UI"/>
          <w:color w:val="3B3B3B"/>
          <w:kern w:val="0"/>
          <w:sz w:val="20"/>
          <w:szCs w:val="20"/>
          <w:lang w:eastAsia="en-CA"/>
          <w14:ligatures w14:val="none"/>
        </w:rPr>
        <w:t>: Market and escalation risk remains elevated for electrical gear, controls, and medical gas components.</w:t>
      </w:r>
      <w:r w:rsidRPr="00070B2E">
        <w:rPr>
          <w:rFonts w:ascii="Segoe UI" w:eastAsia="Times New Roman" w:hAnsi="Segoe UI" w:cs="Segoe UI"/>
          <w:color w:val="3B3B3B"/>
          <w:kern w:val="0"/>
          <w:sz w:val="20"/>
          <w:szCs w:val="20"/>
          <w:lang w:eastAsia="en-CA"/>
          <w14:ligatures w14:val="none"/>
        </w:rPr>
        <w:br/>
      </w:r>
      <w:r w:rsidRPr="00070B2E">
        <w:rPr>
          <w:rFonts w:ascii="Segoe UI" w:eastAsia="Times New Roman" w:hAnsi="Segoe UI" w:cs="Segoe UI"/>
          <w:color w:val="3B3B3B"/>
          <w:kern w:val="0"/>
          <w:sz w:val="20"/>
          <w:szCs w:val="20"/>
          <w:lang w:eastAsia="en-CA"/>
          <w14:ligatures w14:val="none"/>
        </w:rPr>
        <w:lastRenderedPageBreak/>
        <w:t>Evidence from historical comparison: Recent healthcare projects in comparable markets absorbed 4%-9% procurement variance tied to long-lead equipment timing.</w:t>
      </w:r>
      <w:r w:rsidRPr="00070B2E">
        <w:rPr>
          <w:rFonts w:ascii="Segoe UI" w:eastAsia="Times New Roman" w:hAnsi="Segoe UI" w:cs="Segoe UI"/>
          <w:color w:val="3B3B3B"/>
          <w:kern w:val="0"/>
          <w:sz w:val="20"/>
          <w:szCs w:val="20"/>
          <w:lang w:eastAsia="en-CA"/>
          <w14:ligatures w14:val="none"/>
        </w:rPr>
        <w:br/>
        <w:t>Likelihood/Impact: High/Medium.</w:t>
      </w:r>
      <w:r w:rsidRPr="00070B2E">
        <w:rPr>
          <w:rFonts w:ascii="Segoe UI" w:eastAsia="Times New Roman" w:hAnsi="Segoe UI" w:cs="Segoe UI"/>
          <w:color w:val="3B3B3B"/>
          <w:kern w:val="0"/>
          <w:sz w:val="20"/>
          <w:szCs w:val="20"/>
          <w:lang w:eastAsia="en-CA"/>
          <w14:ligatures w14:val="none"/>
        </w:rPr>
        <w:br/>
        <w:t>Potential exposure direction: Cost up, schedule right.</w:t>
      </w:r>
      <w:r w:rsidRPr="00070B2E">
        <w:rPr>
          <w:rFonts w:ascii="Segoe UI" w:eastAsia="Times New Roman" w:hAnsi="Segoe UI" w:cs="Segoe UI"/>
          <w:color w:val="3B3B3B"/>
          <w:kern w:val="0"/>
          <w:sz w:val="20"/>
          <w:szCs w:val="20"/>
          <w:lang w:eastAsia="en-CA"/>
          <w14:ligatures w14:val="none"/>
        </w:rPr>
        <w:br/>
        <w:t>Mitigation action: Pull forward long-lead procurement strategy, prequalify alternates, and include escalation assumptions explicitly by commodity category.</w:t>
      </w:r>
    </w:p>
    <w:p w14:paraId="0782F6B2" w14:textId="77777777" w:rsidR="00070B2E" w:rsidRPr="00070B2E" w:rsidRDefault="00070B2E" w:rsidP="00070B2E">
      <w:pPr>
        <w:numPr>
          <w:ilvl w:val="0"/>
          <w:numId w:val="2"/>
        </w:numPr>
        <w:shd w:val="clear" w:color="auto" w:fill="F8F8F8"/>
        <w:spacing w:after="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b/>
          <w:bCs/>
          <w:color w:val="3B3B3B"/>
          <w:kern w:val="0"/>
          <w:sz w:val="20"/>
          <w:szCs w:val="20"/>
          <w:lang w:eastAsia="en-CA"/>
          <w14:ligatures w14:val="none"/>
        </w:rPr>
        <w:t>Risk statement</w:t>
      </w:r>
      <w:r w:rsidRPr="00070B2E">
        <w:rPr>
          <w:rFonts w:ascii="Segoe UI" w:eastAsia="Times New Roman" w:hAnsi="Segoe UI" w:cs="Segoe UI"/>
          <w:color w:val="3B3B3B"/>
          <w:kern w:val="0"/>
          <w:sz w:val="20"/>
          <w:szCs w:val="20"/>
          <w:lang w:eastAsia="en-CA"/>
          <w14:ligatures w14:val="none"/>
        </w:rPr>
        <w:t>: Labor availability and productivity risk may reduce installed productivity due to regional demand and constrained working windows on active campus.</w:t>
      </w:r>
      <w:r w:rsidRPr="00070B2E">
        <w:rPr>
          <w:rFonts w:ascii="Segoe UI" w:eastAsia="Times New Roman" w:hAnsi="Segoe UI" w:cs="Segoe UI"/>
          <w:color w:val="3B3B3B"/>
          <w:kern w:val="0"/>
          <w:sz w:val="20"/>
          <w:szCs w:val="20"/>
          <w:lang w:eastAsia="en-CA"/>
          <w14:ligatures w14:val="none"/>
        </w:rPr>
        <w:br/>
        <w:t>Evidence from historical comparison: Sun Belt healthcare programs under active operations showed 8%-15% productivity drag versus greenfield baselines.</w:t>
      </w:r>
      <w:r w:rsidRPr="00070B2E">
        <w:rPr>
          <w:rFonts w:ascii="Segoe UI" w:eastAsia="Times New Roman" w:hAnsi="Segoe UI" w:cs="Segoe UI"/>
          <w:color w:val="3B3B3B"/>
          <w:kern w:val="0"/>
          <w:sz w:val="20"/>
          <w:szCs w:val="20"/>
          <w:lang w:eastAsia="en-CA"/>
          <w14:ligatures w14:val="none"/>
        </w:rPr>
        <w:br/>
        <w:t>Likelihood/Impact: Medium/High.</w:t>
      </w:r>
      <w:r w:rsidRPr="00070B2E">
        <w:rPr>
          <w:rFonts w:ascii="Segoe UI" w:eastAsia="Times New Roman" w:hAnsi="Segoe UI" w:cs="Segoe UI"/>
          <w:color w:val="3B3B3B"/>
          <w:kern w:val="0"/>
          <w:sz w:val="20"/>
          <w:szCs w:val="20"/>
          <w:lang w:eastAsia="en-CA"/>
          <w14:ligatures w14:val="none"/>
        </w:rPr>
        <w:br/>
        <w:t>Potential exposure direction: Cost up, schedule right.</w:t>
      </w:r>
      <w:r w:rsidRPr="00070B2E">
        <w:rPr>
          <w:rFonts w:ascii="Segoe UI" w:eastAsia="Times New Roman" w:hAnsi="Segoe UI" w:cs="Segoe UI"/>
          <w:color w:val="3B3B3B"/>
          <w:kern w:val="0"/>
          <w:sz w:val="20"/>
          <w:szCs w:val="20"/>
          <w:lang w:eastAsia="en-CA"/>
          <w14:ligatures w14:val="none"/>
        </w:rPr>
        <w:br/>
        <w:t>Mitigation action: Validate labor loading assumptions by trade, add shift-premium scenario testing, and align shutdown windows with hospital operations earlier.</w:t>
      </w:r>
    </w:p>
    <w:p w14:paraId="463EAF9B" w14:textId="77777777" w:rsidR="00070B2E" w:rsidRPr="00070B2E" w:rsidRDefault="00070B2E" w:rsidP="00070B2E">
      <w:pPr>
        <w:numPr>
          <w:ilvl w:val="0"/>
          <w:numId w:val="2"/>
        </w:numPr>
        <w:shd w:val="clear" w:color="auto" w:fill="F8F8F8"/>
        <w:spacing w:after="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b/>
          <w:bCs/>
          <w:color w:val="3B3B3B"/>
          <w:kern w:val="0"/>
          <w:sz w:val="20"/>
          <w:szCs w:val="20"/>
          <w:lang w:eastAsia="en-CA"/>
          <w14:ligatures w14:val="none"/>
        </w:rPr>
        <w:t>Risk statement</w:t>
      </w:r>
      <w:r w:rsidRPr="00070B2E">
        <w:rPr>
          <w:rFonts w:ascii="Segoe UI" w:eastAsia="Times New Roman" w:hAnsi="Segoe UI" w:cs="Segoe UI"/>
          <w:color w:val="3B3B3B"/>
          <w:kern w:val="0"/>
          <w:sz w:val="20"/>
          <w:szCs w:val="20"/>
          <w:lang w:eastAsia="en-CA"/>
          <w14:ligatures w14:val="none"/>
        </w:rPr>
        <w:t xml:space="preserve">: Geolocation and logistics risk from active-campus constraints (access, infection control, noise windows) may increase </w:t>
      </w:r>
      <w:proofErr w:type="spellStart"/>
      <w:r w:rsidRPr="00070B2E">
        <w:rPr>
          <w:rFonts w:ascii="Segoe UI" w:eastAsia="Times New Roman" w:hAnsi="Segoe UI" w:cs="Segoe UI"/>
          <w:color w:val="3B3B3B"/>
          <w:kern w:val="0"/>
          <w:sz w:val="20"/>
          <w:szCs w:val="20"/>
          <w:lang w:eastAsia="en-CA"/>
          <w14:ligatures w14:val="none"/>
        </w:rPr>
        <w:t>indirects</w:t>
      </w:r>
      <w:proofErr w:type="spellEnd"/>
      <w:r w:rsidRPr="00070B2E">
        <w:rPr>
          <w:rFonts w:ascii="Segoe UI" w:eastAsia="Times New Roman" w:hAnsi="Segoe UI" w:cs="Segoe UI"/>
          <w:color w:val="3B3B3B"/>
          <w:kern w:val="0"/>
          <w:sz w:val="20"/>
          <w:szCs w:val="20"/>
          <w:lang w:eastAsia="en-CA"/>
          <w14:ligatures w14:val="none"/>
        </w:rPr>
        <w:t xml:space="preserve"> and sequencing complexity.</w:t>
      </w:r>
      <w:r w:rsidRPr="00070B2E">
        <w:rPr>
          <w:rFonts w:ascii="Segoe UI" w:eastAsia="Times New Roman" w:hAnsi="Segoe UI" w:cs="Segoe UI"/>
          <w:color w:val="3B3B3B"/>
          <w:kern w:val="0"/>
          <w:sz w:val="20"/>
          <w:szCs w:val="20"/>
          <w:lang w:eastAsia="en-CA"/>
          <w14:ligatures w14:val="none"/>
        </w:rPr>
        <w:br/>
        <w:t>Evidence from historical comparison: Campus projects with strict ICRA and access controls showed 1.5%-4% general conditions growth and milestone slippage.</w:t>
      </w:r>
      <w:r w:rsidRPr="00070B2E">
        <w:rPr>
          <w:rFonts w:ascii="Segoe UI" w:eastAsia="Times New Roman" w:hAnsi="Segoe UI" w:cs="Segoe UI"/>
          <w:color w:val="3B3B3B"/>
          <w:kern w:val="0"/>
          <w:sz w:val="20"/>
          <w:szCs w:val="20"/>
          <w:lang w:eastAsia="en-CA"/>
          <w14:ligatures w14:val="none"/>
        </w:rPr>
        <w:br/>
        <w:t>Likelihood/Impact: Medium/Medium.</w:t>
      </w:r>
      <w:r w:rsidRPr="00070B2E">
        <w:rPr>
          <w:rFonts w:ascii="Segoe UI" w:eastAsia="Times New Roman" w:hAnsi="Segoe UI" w:cs="Segoe UI"/>
          <w:color w:val="3B3B3B"/>
          <w:kern w:val="0"/>
          <w:sz w:val="20"/>
          <w:szCs w:val="20"/>
          <w:lang w:eastAsia="en-CA"/>
          <w14:ligatures w14:val="none"/>
        </w:rPr>
        <w:br/>
        <w:t>Potential exposure direction: Cost up, schedule right.</w:t>
      </w:r>
      <w:r w:rsidRPr="00070B2E">
        <w:rPr>
          <w:rFonts w:ascii="Segoe UI" w:eastAsia="Times New Roman" w:hAnsi="Segoe UI" w:cs="Segoe UI"/>
          <w:color w:val="3B3B3B"/>
          <w:kern w:val="0"/>
          <w:sz w:val="20"/>
          <w:szCs w:val="20"/>
          <w:lang w:eastAsia="en-CA"/>
          <w14:ligatures w14:val="none"/>
        </w:rPr>
        <w:br/>
        <w:t>Mitigation action: Build logistics simulation into preconstruction, lock material routing plans, and define contingency for controlled-access inefficiencies.</w:t>
      </w:r>
    </w:p>
    <w:p w14:paraId="6DE395D6" w14:textId="77777777" w:rsidR="00070B2E" w:rsidRPr="00070B2E" w:rsidRDefault="00070B2E" w:rsidP="00070B2E">
      <w:pPr>
        <w:numPr>
          <w:ilvl w:val="0"/>
          <w:numId w:val="2"/>
        </w:numPr>
        <w:shd w:val="clear" w:color="auto" w:fill="F8F8F8"/>
        <w:spacing w:after="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b/>
          <w:bCs/>
          <w:color w:val="3B3B3B"/>
          <w:kern w:val="0"/>
          <w:sz w:val="20"/>
          <w:szCs w:val="20"/>
          <w:lang w:eastAsia="en-CA"/>
          <w14:ligatures w14:val="none"/>
        </w:rPr>
        <w:t>Risk statement</w:t>
      </w:r>
      <w:r w:rsidRPr="00070B2E">
        <w:rPr>
          <w:rFonts w:ascii="Segoe UI" w:eastAsia="Times New Roman" w:hAnsi="Segoe UI" w:cs="Segoe UI"/>
          <w:color w:val="3B3B3B"/>
          <w:kern w:val="0"/>
          <w:sz w:val="20"/>
          <w:szCs w:val="20"/>
          <w:lang w:eastAsia="en-CA"/>
          <w14:ligatures w14:val="none"/>
        </w:rPr>
        <w:t>: Contract and commercial risk under GMP may transfer less risk than assumed if clarifications and allowances are insufficiently defined.</w:t>
      </w:r>
      <w:r w:rsidRPr="00070B2E">
        <w:rPr>
          <w:rFonts w:ascii="Segoe UI" w:eastAsia="Times New Roman" w:hAnsi="Segoe UI" w:cs="Segoe UI"/>
          <w:color w:val="3B3B3B"/>
          <w:kern w:val="0"/>
          <w:sz w:val="20"/>
          <w:szCs w:val="20"/>
          <w:lang w:eastAsia="en-CA"/>
          <w14:ligatures w14:val="none"/>
        </w:rPr>
        <w:br/>
        <w:t>Evidence from historical comparison: GMP projects with immature bid packages saw allowance burn rates exceed plan by 20%-35% in first half of construction.</w:t>
      </w:r>
      <w:r w:rsidRPr="00070B2E">
        <w:rPr>
          <w:rFonts w:ascii="Segoe UI" w:eastAsia="Times New Roman" w:hAnsi="Segoe UI" w:cs="Segoe UI"/>
          <w:color w:val="3B3B3B"/>
          <w:kern w:val="0"/>
          <w:sz w:val="20"/>
          <w:szCs w:val="20"/>
          <w:lang w:eastAsia="en-CA"/>
          <w14:ligatures w14:val="none"/>
        </w:rPr>
        <w:br/>
        <w:t>Likelihood/Impact: Medium/Medium.</w:t>
      </w:r>
      <w:r w:rsidRPr="00070B2E">
        <w:rPr>
          <w:rFonts w:ascii="Segoe UI" w:eastAsia="Times New Roman" w:hAnsi="Segoe UI" w:cs="Segoe UI"/>
          <w:color w:val="3B3B3B"/>
          <w:kern w:val="0"/>
          <w:sz w:val="20"/>
          <w:szCs w:val="20"/>
          <w:lang w:eastAsia="en-CA"/>
          <w14:ligatures w14:val="none"/>
        </w:rPr>
        <w:br/>
        <w:t>Potential exposure direction: Cost up (through contingency/allowance consumption).</w:t>
      </w:r>
      <w:r w:rsidRPr="00070B2E">
        <w:rPr>
          <w:rFonts w:ascii="Segoe UI" w:eastAsia="Times New Roman" w:hAnsi="Segoe UI" w:cs="Segoe UI"/>
          <w:color w:val="3B3B3B"/>
          <w:kern w:val="0"/>
          <w:sz w:val="20"/>
          <w:szCs w:val="20"/>
          <w:lang w:eastAsia="en-CA"/>
          <w14:ligatures w14:val="none"/>
        </w:rPr>
        <w:br/>
        <w:t>Mitigation action: Tighten commercial assumptions in bid package narratives and establish early allowance governance with monthly burn-rate thresholds.</w:t>
      </w:r>
    </w:p>
    <w:p w14:paraId="4EF82C5A" w14:textId="77777777" w:rsidR="00070B2E" w:rsidRPr="00070B2E" w:rsidRDefault="00070B2E" w:rsidP="00070B2E">
      <w:pPr>
        <w:numPr>
          <w:ilvl w:val="0"/>
          <w:numId w:val="2"/>
        </w:numPr>
        <w:shd w:val="clear" w:color="auto" w:fill="F8F8F8"/>
        <w:spacing w:after="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b/>
          <w:bCs/>
          <w:color w:val="3B3B3B"/>
          <w:kern w:val="0"/>
          <w:sz w:val="20"/>
          <w:szCs w:val="20"/>
          <w:lang w:eastAsia="en-CA"/>
          <w14:ligatures w14:val="none"/>
        </w:rPr>
        <w:t>Risk statement</w:t>
      </w:r>
      <w:r w:rsidRPr="00070B2E">
        <w:rPr>
          <w:rFonts w:ascii="Segoe UI" w:eastAsia="Times New Roman" w:hAnsi="Segoe UI" w:cs="Segoe UI"/>
          <w:color w:val="3B3B3B"/>
          <w:kern w:val="0"/>
          <w:sz w:val="20"/>
          <w:szCs w:val="20"/>
          <w:lang w:eastAsia="en-CA"/>
          <w14:ligatures w14:val="none"/>
        </w:rPr>
        <w:t>: Schedule compression risk is present if owner milestone expectations force overlap before design maturity.</w:t>
      </w:r>
      <w:r w:rsidRPr="00070B2E">
        <w:rPr>
          <w:rFonts w:ascii="Segoe UI" w:eastAsia="Times New Roman" w:hAnsi="Segoe UI" w:cs="Segoe UI"/>
          <w:color w:val="3B3B3B"/>
          <w:kern w:val="0"/>
          <w:sz w:val="20"/>
          <w:szCs w:val="20"/>
          <w:lang w:eastAsia="en-CA"/>
          <w14:ligatures w14:val="none"/>
        </w:rPr>
        <w:br/>
        <w:t>Evidence from historical comparison: Fast-tracked healthcare projects showed increased RFI/change velocity and 2-4 month completion pressure when overlap exceeded planned tolerances.</w:t>
      </w:r>
      <w:r w:rsidRPr="00070B2E">
        <w:rPr>
          <w:rFonts w:ascii="Segoe UI" w:eastAsia="Times New Roman" w:hAnsi="Segoe UI" w:cs="Segoe UI"/>
          <w:color w:val="3B3B3B"/>
          <w:kern w:val="0"/>
          <w:sz w:val="20"/>
          <w:szCs w:val="20"/>
          <w:lang w:eastAsia="en-CA"/>
          <w14:ligatures w14:val="none"/>
        </w:rPr>
        <w:br/>
        <w:t>Likelihood/Impact: Medium/High.</w:t>
      </w:r>
      <w:r w:rsidRPr="00070B2E">
        <w:rPr>
          <w:rFonts w:ascii="Segoe UI" w:eastAsia="Times New Roman" w:hAnsi="Segoe UI" w:cs="Segoe UI"/>
          <w:color w:val="3B3B3B"/>
          <w:kern w:val="0"/>
          <w:sz w:val="20"/>
          <w:szCs w:val="20"/>
          <w:lang w:eastAsia="en-CA"/>
          <w14:ligatures w14:val="none"/>
        </w:rPr>
        <w:br/>
        <w:t>Potential exposure direction: Schedule right, second-order cost up.</w:t>
      </w:r>
      <w:r w:rsidRPr="00070B2E">
        <w:rPr>
          <w:rFonts w:ascii="Segoe UI" w:eastAsia="Times New Roman" w:hAnsi="Segoe UI" w:cs="Segoe UI"/>
          <w:color w:val="3B3B3B"/>
          <w:kern w:val="0"/>
          <w:sz w:val="20"/>
          <w:szCs w:val="20"/>
          <w:lang w:eastAsia="en-CA"/>
          <w14:ligatures w14:val="none"/>
        </w:rPr>
        <w:br/>
        <w:t>Mitigation action: Define non-negotiable design maturity gates before procurement release and maintain a risk-adjusted master schedule.</w:t>
      </w:r>
    </w:p>
    <w:p w14:paraId="21CA4B0B" w14:textId="77777777" w:rsidR="00070B2E" w:rsidRPr="00070B2E" w:rsidRDefault="00070B2E" w:rsidP="00070B2E">
      <w:pPr>
        <w:numPr>
          <w:ilvl w:val="0"/>
          <w:numId w:val="2"/>
        </w:numPr>
        <w:shd w:val="clear" w:color="auto" w:fill="F8F8F8"/>
        <w:spacing w:after="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b/>
          <w:bCs/>
          <w:color w:val="3B3B3B"/>
          <w:kern w:val="0"/>
          <w:sz w:val="20"/>
          <w:szCs w:val="20"/>
          <w:lang w:eastAsia="en-CA"/>
          <w14:ligatures w14:val="none"/>
        </w:rPr>
        <w:t>Risk statement</w:t>
      </w:r>
      <w:r w:rsidRPr="00070B2E">
        <w:rPr>
          <w:rFonts w:ascii="Segoe UI" w:eastAsia="Times New Roman" w:hAnsi="Segoe UI" w:cs="Segoe UI"/>
          <w:color w:val="3B3B3B"/>
          <w:kern w:val="0"/>
          <w:sz w:val="20"/>
          <w:szCs w:val="20"/>
          <w:lang w:eastAsia="en-CA"/>
          <w14:ligatures w14:val="none"/>
        </w:rPr>
        <w:t>: Stakeholder decision latency risk may delay design closure across clinical user groups and facilities operations.</w:t>
      </w:r>
      <w:r w:rsidRPr="00070B2E">
        <w:rPr>
          <w:rFonts w:ascii="Segoe UI" w:eastAsia="Times New Roman" w:hAnsi="Segoe UI" w:cs="Segoe UI"/>
          <w:color w:val="3B3B3B"/>
          <w:kern w:val="0"/>
          <w:sz w:val="20"/>
          <w:szCs w:val="20"/>
          <w:lang w:eastAsia="en-CA"/>
          <w14:ligatures w14:val="none"/>
        </w:rPr>
        <w:br/>
        <w:t>Evidence from historical comparison: Multi-stakeholder healthcare programs with fragmented decision rights experienced recurring redesign cycles and approval lag.</w:t>
      </w:r>
      <w:r w:rsidRPr="00070B2E">
        <w:rPr>
          <w:rFonts w:ascii="Segoe UI" w:eastAsia="Times New Roman" w:hAnsi="Segoe UI" w:cs="Segoe UI"/>
          <w:color w:val="3B3B3B"/>
          <w:kern w:val="0"/>
          <w:sz w:val="20"/>
          <w:szCs w:val="20"/>
          <w:lang w:eastAsia="en-CA"/>
          <w14:ligatures w14:val="none"/>
        </w:rPr>
        <w:br/>
        <w:t>Likelihood/Impact: Medium/Medium.</w:t>
      </w:r>
      <w:r w:rsidRPr="00070B2E">
        <w:rPr>
          <w:rFonts w:ascii="Segoe UI" w:eastAsia="Times New Roman" w:hAnsi="Segoe UI" w:cs="Segoe UI"/>
          <w:color w:val="3B3B3B"/>
          <w:kern w:val="0"/>
          <w:sz w:val="20"/>
          <w:szCs w:val="20"/>
          <w:lang w:eastAsia="en-CA"/>
          <w14:ligatures w14:val="none"/>
        </w:rPr>
        <w:br/>
        <w:t>Potential exposure direction: Schedule right, indirect cost up.</w:t>
      </w:r>
      <w:r w:rsidRPr="00070B2E">
        <w:rPr>
          <w:rFonts w:ascii="Segoe UI" w:eastAsia="Times New Roman" w:hAnsi="Segoe UI" w:cs="Segoe UI"/>
          <w:color w:val="3B3B3B"/>
          <w:kern w:val="0"/>
          <w:sz w:val="20"/>
          <w:szCs w:val="20"/>
          <w:lang w:eastAsia="en-CA"/>
          <w14:ligatures w14:val="none"/>
        </w:rPr>
        <w:br/>
        <w:t>Mitigation action: Implement a decision-rights matrix, weekly decision log, and executive escalation for unresolved items beyond SLA.</w:t>
      </w:r>
    </w:p>
    <w:p w14:paraId="68ADB05F" w14:textId="77777777" w:rsidR="00070B2E" w:rsidRPr="00070B2E" w:rsidRDefault="00070B2E" w:rsidP="00070B2E">
      <w:pPr>
        <w:numPr>
          <w:ilvl w:val="0"/>
          <w:numId w:val="2"/>
        </w:numPr>
        <w:shd w:val="clear" w:color="auto" w:fill="F8F8F8"/>
        <w:spacing w:after="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b/>
          <w:bCs/>
          <w:color w:val="3B3B3B"/>
          <w:kern w:val="0"/>
          <w:sz w:val="20"/>
          <w:szCs w:val="20"/>
          <w:lang w:eastAsia="en-CA"/>
          <w14:ligatures w14:val="none"/>
        </w:rPr>
        <w:lastRenderedPageBreak/>
        <w:t>Risk statement</w:t>
      </w:r>
      <w:r w:rsidRPr="00070B2E">
        <w:rPr>
          <w:rFonts w:ascii="Segoe UI" w:eastAsia="Times New Roman" w:hAnsi="Segoe UI" w:cs="Segoe UI"/>
          <w:color w:val="3B3B3B"/>
          <w:kern w:val="0"/>
          <w:sz w:val="20"/>
          <w:szCs w:val="20"/>
          <w:lang w:eastAsia="en-CA"/>
          <w14:ligatures w14:val="none"/>
        </w:rPr>
        <w:t>: Data quality and benchmark relevance risk may bias early contingency if comparator normalization is incomplete.</w:t>
      </w:r>
      <w:r w:rsidRPr="00070B2E">
        <w:rPr>
          <w:rFonts w:ascii="Segoe UI" w:eastAsia="Times New Roman" w:hAnsi="Segoe UI" w:cs="Segoe UI"/>
          <w:color w:val="3B3B3B"/>
          <w:kern w:val="0"/>
          <w:sz w:val="20"/>
          <w:szCs w:val="20"/>
          <w:lang w:eastAsia="en-CA"/>
          <w14:ligatures w14:val="none"/>
        </w:rPr>
        <w:br/>
        <w:t>Evidence from historical comparison: Cross-project unit-rate comparisons without normalization (scope, phasing, geography, timing) produced false confidence in early ROM positions.</w:t>
      </w:r>
      <w:r w:rsidRPr="00070B2E">
        <w:rPr>
          <w:rFonts w:ascii="Segoe UI" w:eastAsia="Times New Roman" w:hAnsi="Segoe UI" w:cs="Segoe UI"/>
          <w:color w:val="3B3B3B"/>
          <w:kern w:val="0"/>
          <w:sz w:val="20"/>
          <w:szCs w:val="20"/>
          <w:lang w:eastAsia="en-CA"/>
          <w14:ligatures w14:val="none"/>
        </w:rPr>
        <w:br/>
        <w:t>Likelihood/Impact: Medium/Medium.</w:t>
      </w:r>
      <w:r w:rsidRPr="00070B2E">
        <w:rPr>
          <w:rFonts w:ascii="Segoe UI" w:eastAsia="Times New Roman" w:hAnsi="Segoe UI" w:cs="Segoe UI"/>
          <w:color w:val="3B3B3B"/>
          <w:kern w:val="0"/>
          <w:sz w:val="20"/>
          <w:szCs w:val="20"/>
          <w:lang w:eastAsia="en-CA"/>
          <w14:ligatures w14:val="none"/>
        </w:rPr>
        <w:br/>
        <w:t>Potential exposure direction: Either direction, with current bias toward underestimation.</w:t>
      </w:r>
      <w:r w:rsidRPr="00070B2E">
        <w:rPr>
          <w:rFonts w:ascii="Segoe UI" w:eastAsia="Times New Roman" w:hAnsi="Segoe UI" w:cs="Segoe UI"/>
          <w:color w:val="3B3B3B"/>
          <w:kern w:val="0"/>
          <w:sz w:val="20"/>
          <w:szCs w:val="20"/>
          <w:lang w:eastAsia="en-CA"/>
          <w14:ligatures w14:val="none"/>
        </w:rPr>
        <w:br/>
        <w:t>Mitigation action: Normalize benchmark set with explicit adjustment factors and document confidence bounds for each comparator.</w:t>
      </w:r>
    </w:p>
    <w:p w14:paraId="6A54225F" w14:textId="77777777" w:rsidR="00070B2E" w:rsidRPr="00070B2E" w:rsidRDefault="00070B2E" w:rsidP="00070B2E">
      <w:pPr>
        <w:shd w:val="clear" w:color="auto" w:fill="F8F8F8"/>
        <w:spacing w:before="360" w:after="210" w:line="240" w:lineRule="auto"/>
        <w:outlineLvl w:val="1"/>
        <w:rPr>
          <w:rFonts w:ascii="Segoe UI" w:eastAsia="Times New Roman" w:hAnsi="Segoe UI" w:cs="Segoe UI"/>
          <w:b/>
          <w:bCs/>
          <w:color w:val="3B3B3B"/>
          <w:kern w:val="0"/>
          <w:lang w:eastAsia="en-CA"/>
          <w14:ligatures w14:val="none"/>
        </w:rPr>
      </w:pPr>
      <w:r w:rsidRPr="00070B2E">
        <w:rPr>
          <w:rFonts w:ascii="Segoe UI" w:eastAsia="Times New Roman" w:hAnsi="Segoe UI" w:cs="Segoe UI"/>
          <w:b/>
          <w:bCs/>
          <w:color w:val="3B3B3B"/>
          <w:kern w:val="0"/>
          <w:lang w:eastAsia="en-CA"/>
          <w14:ligatures w14:val="none"/>
        </w:rPr>
        <w:t>Recommended Contingency Position</w:t>
      </w:r>
    </w:p>
    <w:p w14:paraId="38B78C00" w14:textId="77777777" w:rsidR="00070B2E" w:rsidRPr="00070B2E" w:rsidRDefault="00070B2E" w:rsidP="00070B2E">
      <w:pPr>
        <w:shd w:val="clear" w:color="auto" w:fill="F8F8F8"/>
        <w:spacing w:after="24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A </w:t>
      </w:r>
      <w:r w:rsidRPr="00070B2E">
        <w:rPr>
          <w:rFonts w:ascii="Segoe UI" w:eastAsia="Times New Roman" w:hAnsi="Segoe UI" w:cs="Segoe UI"/>
          <w:b/>
          <w:bCs/>
          <w:color w:val="3B3B3B"/>
          <w:kern w:val="0"/>
          <w:sz w:val="20"/>
          <w:szCs w:val="20"/>
          <w:lang w:eastAsia="en-CA"/>
          <w14:ligatures w14:val="none"/>
        </w:rPr>
        <w:t>conservative-to-moderate</w:t>
      </w:r>
      <w:r w:rsidRPr="00070B2E">
        <w:rPr>
          <w:rFonts w:ascii="Segoe UI" w:eastAsia="Times New Roman" w:hAnsi="Segoe UI" w:cs="Segoe UI"/>
          <w:color w:val="3B3B3B"/>
          <w:kern w:val="0"/>
          <w:sz w:val="20"/>
          <w:szCs w:val="20"/>
          <w:lang w:eastAsia="en-CA"/>
          <w14:ligatures w14:val="none"/>
        </w:rPr>
        <w:t> contingency posture is recommended at this stage, with a bias toward conservative until 30% design and logistics/phasing assumptions are validated. Executive rationale: key risks are not evenly distributed; they are concentrated in known high-impact drivers (phasing complexity, long-lead procurement, and live-campus productivity), which historically generate asymmetric downside when unresolved early.</w:t>
      </w:r>
    </w:p>
    <w:p w14:paraId="7482AEA5" w14:textId="77777777" w:rsidR="00070B2E" w:rsidRPr="00070B2E" w:rsidRDefault="00070B2E" w:rsidP="00070B2E">
      <w:pPr>
        <w:shd w:val="clear" w:color="auto" w:fill="F8F8F8"/>
        <w:spacing w:before="360" w:after="210" w:line="240" w:lineRule="auto"/>
        <w:outlineLvl w:val="1"/>
        <w:rPr>
          <w:rFonts w:ascii="Segoe UI" w:eastAsia="Times New Roman" w:hAnsi="Segoe UI" w:cs="Segoe UI"/>
          <w:b/>
          <w:bCs/>
          <w:color w:val="3B3B3B"/>
          <w:kern w:val="0"/>
          <w:lang w:eastAsia="en-CA"/>
          <w14:ligatures w14:val="none"/>
        </w:rPr>
      </w:pPr>
      <w:r w:rsidRPr="00070B2E">
        <w:rPr>
          <w:rFonts w:ascii="Segoe UI" w:eastAsia="Times New Roman" w:hAnsi="Segoe UI" w:cs="Segoe UI"/>
          <w:b/>
          <w:bCs/>
          <w:color w:val="3B3B3B"/>
          <w:kern w:val="0"/>
          <w:lang w:eastAsia="en-CA"/>
          <w14:ligatures w14:val="none"/>
        </w:rPr>
        <w:t>Assumptions and Data Gaps</w:t>
      </w:r>
    </w:p>
    <w:p w14:paraId="5472D731" w14:textId="77777777" w:rsidR="00070B2E" w:rsidRPr="00070B2E" w:rsidRDefault="00070B2E" w:rsidP="00070B2E">
      <w:pPr>
        <w:numPr>
          <w:ilvl w:val="0"/>
          <w:numId w:val="3"/>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This is a </w:t>
      </w:r>
      <w:r w:rsidRPr="00070B2E">
        <w:rPr>
          <w:rFonts w:ascii="Segoe UI" w:eastAsia="Times New Roman" w:hAnsi="Segoe UI" w:cs="Segoe UI"/>
          <w:b/>
          <w:bCs/>
          <w:color w:val="3B3B3B"/>
          <w:kern w:val="0"/>
          <w:sz w:val="20"/>
          <w:szCs w:val="20"/>
          <w:lang w:eastAsia="en-CA"/>
          <w14:ligatures w14:val="none"/>
        </w:rPr>
        <w:t>hypothetical sample</w:t>
      </w:r>
      <w:r w:rsidRPr="00070B2E">
        <w:rPr>
          <w:rFonts w:ascii="Segoe UI" w:eastAsia="Times New Roman" w:hAnsi="Segoe UI" w:cs="Segoe UI"/>
          <w:color w:val="3B3B3B"/>
          <w:kern w:val="0"/>
          <w:sz w:val="20"/>
          <w:szCs w:val="20"/>
          <w:lang w:eastAsia="en-CA"/>
          <w14:ligatures w14:val="none"/>
        </w:rPr>
        <w:t> and does not use live SharePoint records.</w:t>
      </w:r>
    </w:p>
    <w:p w14:paraId="54B65854" w14:textId="77777777" w:rsidR="00070B2E" w:rsidRPr="00070B2E" w:rsidRDefault="00070B2E" w:rsidP="00070B2E">
      <w:pPr>
        <w:numPr>
          <w:ilvl w:val="0"/>
          <w:numId w:val="3"/>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Assumed comparator sample size, recency, and distribution were created for format validation only.</w:t>
      </w:r>
    </w:p>
    <w:p w14:paraId="72676D13" w14:textId="77777777" w:rsidR="00070B2E" w:rsidRPr="00070B2E" w:rsidRDefault="00070B2E" w:rsidP="00070B2E">
      <w:pPr>
        <w:numPr>
          <w:ilvl w:val="0"/>
          <w:numId w:val="3"/>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Missing fields for production use:</w:t>
      </w:r>
    </w:p>
    <w:p w14:paraId="04D05496" w14:textId="77777777" w:rsidR="00070B2E" w:rsidRPr="00070B2E" w:rsidRDefault="00070B2E" w:rsidP="00070B2E">
      <w:pPr>
        <w:numPr>
          <w:ilvl w:val="1"/>
          <w:numId w:val="3"/>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Historical estimate metadata schema (currency year, escalation basis, estimate class)</w:t>
      </w:r>
    </w:p>
    <w:p w14:paraId="4749BA82" w14:textId="77777777" w:rsidR="00070B2E" w:rsidRPr="00070B2E" w:rsidRDefault="00070B2E" w:rsidP="00070B2E">
      <w:pPr>
        <w:numPr>
          <w:ilvl w:val="1"/>
          <w:numId w:val="3"/>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Final awarded values vs. estimate snapshots by stage</w:t>
      </w:r>
    </w:p>
    <w:p w14:paraId="7284FA05" w14:textId="77777777" w:rsidR="00070B2E" w:rsidRPr="00070B2E" w:rsidRDefault="00070B2E" w:rsidP="00070B2E">
      <w:pPr>
        <w:numPr>
          <w:ilvl w:val="1"/>
          <w:numId w:val="3"/>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Actual productivity outcomes by trade</w:t>
      </w:r>
    </w:p>
    <w:p w14:paraId="72788820" w14:textId="77777777" w:rsidR="00070B2E" w:rsidRPr="00070B2E" w:rsidRDefault="00070B2E" w:rsidP="00070B2E">
      <w:pPr>
        <w:numPr>
          <w:ilvl w:val="1"/>
          <w:numId w:val="3"/>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Allowance/contingency drawdown history</w:t>
      </w:r>
    </w:p>
    <w:p w14:paraId="150B2CA3" w14:textId="77777777" w:rsidR="00070B2E" w:rsidRPr="00070B2E" w:rsidRDefault="00070B2E" w:rsidP="00070B2E">
      <w:pPr>
        <w:numPr>
          <w:ilvl w:val="1"/>
          <w:numId w:val="3"/>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Schedule baseline vs. actual milestone variance</w:t>
      </w:r>
    </w:p>
    <w:p w14:paraId="68BC2A2D" w14:textId="77777777" w:rsidR="00070B2E" w:rsidRPr="00070B2E" w:rsidRDefault="00070B2E" w:rsidP="00070B2E">
      <w:pPr>
        <w:numPr>
          <w:ilvl w:val="0"/>
          <w:numId w:val="3"/>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Follow-up data pulls recommended:</w:t>
      </w:r>
    </w:p>
    <w:p w14:paraId="15AAECB2" w14:textId="77777777" w:rsidR="00070B2E" w:rsidRPr="00070B2E" w:rsidRDefault="00070B2E" w:rsidP="00070B2E">
      <w:pPr>
        <w:numPr>
          <w:ilvl w:val="1"/>
          <w:numId w:val="3"/>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Last 5 years of healthcare GMP estimates in comparable value bands</w:t>
      </w:r>
    </w:p>
    <w:p w14:paraId="5947352A" w14:textId="77777777" w:rsidR="00070B2E" w:rsidRPr="00070B2E" w:rsidRDefault="00070B2E" w:rsidP="00070B2E">
      <w:pPr>
        <w:numPr>
          <w:ilvl w:val="1"/>
          <w:numId w:val="3"/>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Geolocation-adjusted labor and material indices by bid quarter</w:t>
      </w:r>
    </w:p>
    <w:p w14:paraId="1BCF778F" w14:textId="77777777" w:rsidR="00070B2E" w:rsidRPr="00070B2E" w:rsidRDefault="00070B2E" w:rsidP="00070B2E">
      <w:pPr>
        <w:numPr>
          <w:ilvl w:val="1"/>
          <w:numId w:val="3"/>
        </w:numPr>
        <w:shd w:val="clear" w:color="auto" w:fill="F8F8F8"/>
        <w:spacing w:before="60" w:after="60" w:line="240" w:lineRule="auto"/>
        <w:rPr>
          <w:rFonts w:ascii="Segoe UI" w:eastAsia="Times New Roman" w:hAnsi="Segoe UI" w:cs="Segoe UI"/>
          <w:color w:val="3B3B3B"/>
          <w:kern w:val="0"/>
          <w:sz w:val="20"/>
          <w:szCs w:val="20"/>
          <w:lang w:eastAsia="en-CA"/>
          <w14:ligatures w14:val="none"/>
        </w:rPr>
      </w:pPr>
      <w:r w:rsidRPr="00070B2E">
        <w:rPr>
          <w:rFonts w:ascii="Segoe UI" w:eastAsia="Times New Roman" w:hAnsi="Segoe UI" w:cs="Segoe UI"/>
          <w:color w:val="3B3B3B"/>
          <w:kern w:val="0"/>
          <w:sz w:val="20"/>
          <w:szCs w:val="20"/>
          <w:lang w:eastAsia="en-CA"/>
          <w14:ligatures w14:val="none"/>
        </w:rPr>
        <w:t>Package-level variance history for MEP, structural tie-ins, and temporary works</w:t>
      </w:r>
    </w:p>
    <w:p w14:paraId="56D1133B" w14:textId="77777777" w:rsidR="00070B2E" w:rsidRDefault="00070B2E"/>
    <w:sectPr w:rsidR="00070B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E18C9"/>
    <w:multiLevelType w:val="multilevel"/>
    <w:tmpl w:val="F9084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CA6AF3"/>
    <w:multiLevelType w:val="multilevel"/>
    <w:tmpl w:val="6D2CC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17FA6"/>
    <w:multiLevelType w:val="multilevel"/>
    <w:tmpl w:val="7B56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841001">
    <w:abstractNumId w:val="2"/>
  </w:num>
  <w:num w:numId="2" w16cid:durableId="1442185924">
    <w:abstractNumId w:val="0"/>
  </w:num>
  <w:num w:numId="3" w16cid:durableId="1430732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B2E"/>
    <w:rsid w:val="00070B2E"/>
    <w:rsid w:val="00AD45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CB3A0"/>
  <w15:chartTrackingRefBased/>
  <w15:docId w15:val="{5D9BC75D-4646-460A-AD23-715452792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0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0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B2E"/>
    <w:rPr>
      <w:rFonts w:eastAsiaTheme="majorEastAsia" w:cstheme="majorBidi"/>
      <w:color w:val="272727" w:themeColor="text1" w:themeTint="D8"/>
    </w:rPr>
  </w:style>
  <w:style w:type="paragraph" w:styleId="Title">
    <w:name w:val="Title"/>
    <w:basedOn w:val="Normal"/>
    <w:next w:val="Normal"/>
    <w:link w:val="TitleChar"/>
    <w:uiPriority w:val="10"/>
    <w:qFormat/>
    <w:rsid w:val="00070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B2E"/>
    <w:pPr>
      <w:spacing w:before="160"/>
      <w:jc w:val="center"/>
    </w:pPr>
    <w:rPr>
      <w:i/>
      <w:iCs/>
      <w:color w:val="404040" w:themeColor="text1" w:themeTint="BF"/>
    </w:rPr>
  </w:style>
  <w:style w:type="character" w:customStyle="1" w:styleId="QuoteChar">
    <w:name w:val="Quote Char"/>
    <w:basedOn w:val="DefaultParagraphFont"/>
    <w:link w:val="Quote"/>
    <w:uiPriority w:val="29"/>
    <w:rsid w:val="00070B2E"/>
    <w:rPr>
      <w:i/>
      <w:iCs/>
      <w:color w:val="404040" w:themeColor="text1" w:themeTint="BF"/>
    </w:rPr>
  </w:style>
  <w:style w:type="paragraph" w:styleId="ListParagraph">
    <w:name w:val="List Paragraph"/>
    <w:basedOn w:val="Normal"/>
    <w:uiPriority w:val="34"/>
    <w:qFormat/>
    <w:rsid w:val="00070B2E"/>
    <w:pPr>
      <w:ind w:left="720"/>
      <w:contextualSpacing/>
    </w:pPr>
  </w:style>
  <w:style w:type="character" w:styleId="IntenseEmphasis">
    <w:name w:val="Intense Emphasis"/>
    <w:basedOn w:val="DefaultParagraphFont"/>
    <w:uiPriority w:val="21"/>
    <w:qFormat/>
    <w:rsid w:val="00070B2E"/>
    <w:rPr>
      <w:i/>
      <w:iCs/>
      <w:color w:val="0F4761" w:themeColor="accent1" w:themeShade="BF"/>
    </w:rPr>
  </w:style>
  <w:style w:type="paragraph" w:styleId="IntenseQuote">
    <w:name w:val="Intense Quote"/>
    <w:basedOn w:val="Normal"/>
    <w:next w:val="Normal"/>
    <w:link w:val="IntenseQuoteChar"/>
    <w:uiPriority w:val="30"/>
    <w:qFormat/>
    <w:rsid w:val="00070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B2E"/>
    <w:rPr>
      <w:i/>
      <w:iCs/>
      <w:color w:val="0F4761" w:themeColor="accent1" w:themeShade="BF"/>
    </w:rPr>
  </w:style>
  <w:style w:type="character" w:styleId="IntenseReference">
    <w:name w:val="Intense Reference"/>
    <w:basedOn w:val="DefaultParagraphFont"/>
    <w:uiPriority w:val="32"/>
    <w:qFormat/>
    <w:rsid w:val="00070B2E"/>
    <w:rPr>
      <w:b/>
      <w:bCs/>
      <w:smallCaps/>
      <w:color w:val="0F4761" w:themeColor="accent1" w:themeShade="BF"/>
      <w:spacing w:val="5"/>
    </w:rPr>
  </w:style>
  <w:style w:type="paragraph" w:styleId="NormalWeb">
    <w:name w:val="Normal (Web)"/>
    <w:basedOn w:val="Normal"/>
    <w:uiPriority w:val="99"/>
    <w:semiHidden/>
    <w:unhideWhenUsed/>
    <w:rsid w:val="00070B2E"/>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070B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1118</Words>
  <Characters>6378</Characters>
  <Application>Microsoft Office Word</Application>
  <DocSecurity>0</DocSecurity>
  <Lines>53</Lines>
  <Paragraphs>14</Paragraphs>
  <ScaleCrop>false</ScaleCrop>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Zentner</dc:creator>
  <cp:keywords/>
  <dc:description/>
  <cp:lastModifiedBy>Kevin Zentner</cp:lastModifiedBy>
  <cp:revision>1</cp:revision>
  <dcterms:created xsi:type="dcterms:W3CDTF">2026-03-06T05:35:00Z</dcterms:created>
  <dcterms:modified xsi:type="dcterms:W3CDTF">2026-03-06T05:37:00Z</dcterms:modified>
</cp:coreProperties>
</file>