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3864"/>
          <w:sz w:val="44"/>
          <w:szCs w:val="44"/>
        </w:rPr>
        <w:t xml:space="preserve">Unlocking Behavioral Intelligence</w:t>
      </w:r>
    </w:p>
    <w:p>
      <w:pPr>
        <w:spacing w:after="300" w:before="100"/>
        <w:jc w:val="center"/>
      </w:pPr>
      <w:r>
        <w:rPr>
          <w:b/>
          <w:bCs/>
          <w:color w:val="1F3864"/>
          <w:sz w:val="44"/>
          <w:szCs w:val="44"/>
        </w:rPr>
        <w:t xml:space="preserve">in Airline Loyalty Programs</w:t>
      </w:r>
    </w:p>
    <w:p>
      <w:pPr>
        <w:spacing w:after="500"/>
        <w:jc w:val="center"/>
      </w:pPr>
      <w:r>
        <w:rPr>
          <w:i/>
          <w:iCs/>
          <w:color w:val="0F6E56"/>
          <w:sz w:val="24"/>
          <w:szCs w:val="24"/>
        </w:rPr>
        <w:t xml:space="preserve">Churn Prediction &amp; Customer Segmentation — Interview Reference Report</w:t>
      </w:r>
    </w:p>
    <w:p>
      <w:pPr>
        <w:spacing w:before="900"/>
        <w:jc w:val="center"/>
      </w:pPr>
      <w:r>
        <w:rPr>
          <w:color w:val="595959"/>
          <w:sz w:val="20"/>
          <w:szCs w:val="20"/>
        </w:rPr>
        <w:t xml:space="preserve">Consulting &amp; Analytics Club, IIT Guwahati</w:t>
      </w:r>
    </w:p>
    <w:p>
      <w:pPr>
        <w:jc w:val="center"/>
      </w:pPr>
      <w:r>
        <w:rPr>
          <w:color w:val="595959"/>
          <w:sz w:val="20"/>
          <w:szCs w:val="20"/>
        </w:rPr>
        <w:t xml:space="preserve">Summer Projects 2026</w:t>
      </w:r>
    </w:p>
    <w:p>
      <w:r>
        <w:br w:type="page"/>
      </w:r>
    </w:p>
    <w:p>
      <w:pPr>
        <w:pStyle w:val="Heading1"/>
        <w:pBdr>
          <w:bottom w:val="single" w:color="1F3864" w:sz="8" w:space="4"/>
        </w:pBdr>
        <w:spacing w:after="200" w:before="400"/>
      </w:pPr>
      <w:r>
        <w:rPr>
          <w:b/>
          <w:bCs/>
          <w:color w:val="1F3864"/>
          <w:sz w:val="30"/>
          <w:szCs w:val="30"/>
        </w:rPr>
        <w:t xml:space="preserve">1. Project Overview</w:t>
      </w:r>
    </w:p>
    <w:p>
      <w:pPr>
        <w:spacing w:after="150" w:line="300"/>
      </w:pPr>
      <w:r>
        <w:rPr>
          <w:sz w:val="21"/>
          <w:szCs w:val="21"/>
        </w:rPr>
        <w:t xml:space="preserve">An airline's loyalty program had a hidden problem: most disengaged members never formally cancel. Only 12.3% of the 16,737 members had a recorded cancellation, yet a much larger share had effectively stopped flying. This meant the airline had no reliable way of knowing who was actually at risk of leaving.</w:t>
      </w:r>
    </w:p>
    <w:p>
      <w:pPr>
        <w:spacing w:after="150" w:line="300"/>
      </w:pPr>
      <w:r>
        <w:rPr>
          <w:sz w:val="21"/>
          <w:szCs w:val="21"/>
        </w:rPr>
        <w:t xml:space="preserve">The project was built around three business questions:</w:t>
      </w:r>
    </w:p>
    <w:p>
      <w:pPr>
        <w:pStyle w:val="ListParagraph"/>
        <w:numPr>
          <w:ilvl w:val="0"/>
          <w:numId w:val="1"/>
        </w:numPr>
        <w:spacing w:after="90" w:line="290"/>
      </w:pPr>
      <w:r>
        <w:rPr>
          <w:b/>
          <w:bCs/>
          <w:color w:val="1F3864"/>
          <w:sz w:val="21"/>
          <w:szCs w:val="21"/>
        </w:rPr>
        <w:t xml:space="preserve">1. Who is likely to churn — </w:t>
      </w:r>
      <w:r>
        <w:rPr>
          <w:sz w:val="21"/>
          <w:szCs w:val="21"/>
        </w:rPr>
        <w:t xml:space="preserve">before it shows up as a formal cancellation?</w:t>
      </w:r>
    </w:p>
    <w:p>
      <w:pPr>
        <w:pStyle w:val="ListParagraph"/>
        <w:numPr>
          <w:ilvl w:val="0"/>
          <w:numId w:val="1"/>
        </w:numPr>
        <w:spacing w:after="90" w:line="290"/>
      </w:pPr>
      <w:r>
        <w:rPr>
          <w:b/>
          <w:bCs/>
          <w:color w:val="1F3864"/>
          <w:sz w:val="21"/>
          <w:szCs w:val="21"/>
        </w:rPr>
        <w:t xml:space="preserve">2. Who is actually valuable — </w:t>
      </w:r>
      <w:r>
        <w:rPr>
          <w:sz w:val="21"/>
          <w:szCs w:val="21"/>
        </w:rPr>
        <w:t xml:space="preserve">as opposed to who just looks valuable because of card tier?</w:t>
      </w:r>
    </w:p>
    <w:p>
      <w:pPr>
        <w:pStyle w:val="ListParagraph"/>
        <w:numPr>
          <w:ilvl w:val="0"/>
          <w:numId w:val="1"/>
        </w:numPr>
        <w:spacing w:after="90" w:line="290"/>
      </w:pPr>
      <w:r>
        <w:rPr>
          <w:b/>
          <w:bCs/>
          <w:color w:val="1F3864"/>
          <w:sz w:val="21"/>
          <w:szCs w:val="21"/>
        </w:rPr>
        <w:t xml:space="preserve">3. What should the business do — </w:t>
      </w:r>
      <w:r>
        <w:rPr>
          <w:sz w:val="21"/>
          <w:szCs w:val="21"/>
        </w:rPr>
        <w:t xml:space="preserve">differently for each type of customer?</w:t>
      </w:r>
    </w:p>
    <w:p>
      <w:pPr>
        <w:spacing w:after="100" w:before="200"/>
      </w:pPr>
      <w:r>
        <w:rPr>
          <w:b/>
          <w:bCs/>
          <w:color w:val="C0621B"/>
          <w:sz w:val="22"/>
          <w:szCs w:val="22"/>
        </w:rPr>
        <w:t xml:space="preserve">Dataset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600"/>
      </w:tblGrid>
      <w:tr>
        <w:trPr>
          <w:tblHeader/>
        </w:trPr>
        <w:tc>
          <w:tcPr>
            <w:tcW w:type="dxa" w:w="3200"/>
            <w:shd w:fill="44546A" w:val="clear"/>
            <w:tcMar>
              <w:top w:type="dxa" w:w="100"/>
              <w:left w:type="dxa" w:w="120"/>
              <w:bottom w:type="dxa" w:w="100"/>
              <w:right w:type="dxa" w:w="120"/>
            </w:tcMar>
          </w:tcPr>
          <w:p>
            <w:r>
              <w:rPr>
                <w:b/>
                <w:bCs/>
                <w:color w:val="FFFFFF"/>
                <w:sz w:val="19"/>
                <w:szCs w:val="19"/>
              </w:rPr>
              <w:t xml:space="preserve">Source</w:t>
            </w:r>
          </w:p>
        </w:tc>
        <w:tc>
          <w:tcPr>
            <w:tcW w:type="dxa" w:w="2600"/>
            <w:shd w:fill="44546A" w:val="clear"/>
            <w:tcMar>
              <w:top w:type="dxa" w:w="100"/>
              <w:left w:type="dxa" w:w="120"/>
              <w:bottom w:type="dxa" w:w="100"/>
              <w:right w:type="dxa" w:w="120"/>
            </w:tcMar>
          </w:tcPr>
          <w:p>
            <w:r>
              <w:rPr>
                <w:b/>
                <w:bCs/>
                <w:color w:val="FFFFFF"/>
                <w:sz w:val="19"/>
                <w:szCs w:val="19"/>
              </w:rPr>
              <w:t xml:space="preserve">Size</w:t>
            </w:r>
          </w:p>
        </w:tc>
        <w:tc>
          <w:tcPr>
            <w:tcW w:type="dxa" w:w="3600"/>
            <w:shd w:fill="44546A" w:val="clear"/>
            <w:tcMar>
              <w:top w:type="dxa" w:w="100"/>
              <w:left w:type="dxa" w:w="120"/>
              <w:bottom w:type="dxa" w:w="100"/>
              <w:right w:type="dxa" w:w="120"/>
            </w:tcMar>
          </w:tcPr>
          <w:p>
            <w:r>
              <w:rPr>
                <w:b/>
                <w:bCs/>
                <w:color w:val="FFFFFF"/>
                <w:sz w:val="19"/>
                <w:szCs w:val="19"/>
              </w:rPr>
              <w:t xml:space="preserve">Grain</w:t>
            </w:r>
          </w:p>
        </w:tc>
      </w:tr>
      <w:tr>
        <w:tc>
          <w:tcPr>
            <w:tcW w:type="dxa" w:w="3200"/>
            <w:shd w:fill="FFFFFF" w:val="clear"/>
            <w:tcMar>
              <w:top w:type="dxa" w:w="90"/>
              <w:left w:type="dxa" w:w="120"/>
              <w:bottom w:type="dxa" w:w="90"/>
              <w:right w:type="dxa" w:w="120"/>
            </w:tcMar>
          </w:tcPr>
          <w:p>
            <w:r>
              <w:rPr>
                <w:sz w:val="19"/>
                <w:szCs w:val="19"/>
              </w:rPr>
              <w:t xml:space="preserve">Customer Loyalty History</w:t>
            </w:r>
          </w:p>
        </w:tc>
        <w:tc>
          <w:tcPr>
            <w:tcW w:type="dxa" w:w="2600"/>
            <w:shd w:fill="FFFFFF" w:val="clear"/>
            <w:tcMar>
              <w:top w:type="dxa" w:w="90"/>
              <w:left w:type="dxa" w:w="120"/>
              <w:bottom w:type="dxa" w:w="90"/>
              <w:right w:type="dxa" w:w="120"/>
            </w:tcMar>
          </w:tcPr>
          <w:p>
            <w:r>
              <w:rPr>
                <w:sz w:val="19"/>
                <w:szCs w:val="19"/>
              </w:rPr>
              <w:t xml:space="preserve">16,737 rows × 16 cols</w:t>
            </w:r>
          </w:p>
        </w:tc>
        <w:tc>
          <w:tcPr>
            <w:tcW w:type="dxa" w:w="3600"/>
            <w:shd w:fill="FFFFFF" w:val="clear"/>
            <w:tcMar>
              <w:top w:type="dxa" w:w="90"/>
              <w:left w:type="dxa" w:w="120"/>
              <w:bottom w:type="dxa" w:w="90"/>
              <w:right w:type="dxa" w:w="120"/>
            </w:tcMar>
          </w:tcPr>
          <w:p>
            <w:r>
              <w:rPr>
                <w:sz w:val="19"/>
                <w:szCs w:val="19"/>
              </w:rPr>
              <w:t xml:space="preserve">One row per customer</w:t>
            </w:r>
          </w:p>
        </w:tc>
      </w:tr>
      <w:tr>
        <w:tc>
          <w:tcPr>
            <w:tcW w:type="dxa" w:w="3200"/>
            <w:shd w:fill="F2F2F2" w:val="clear"/>
            <w:tcMar>
              <w:top w:type="dxa" w:w="90"/>
              <w:left w:type="dxa" w:w="120"/>
              <w:bottom w:type="dxa" w:w="90"/>
              <w:right w:type="dxa" w:w="120"/>
            </w:tcMar>
          </w:tcPr>
          <w:p>
            <w:r>
              <w:rPr>
                <w:sz w:val="19"/>
                <w:szCs w:val="19"/>
              </w:rPr>
              <w:t xml:space="preserve">Customer Flight Activity</w:t>
            </w:r>
          </w:p>
        </w:tc>
        <w:tc>
          <w:tcPr>
            <w:tcW w:type="dxa" w:w="2600"/>
            <w:shd w:fill="F2F2F2" w:val="clear"/>
            <w:tcMar>
              <w:top w:type="dxa" w:w="90"/>
              <w:left w:type="dxa" w:w="120"/>
              <w:bottom w:type="dxa" w:w="90"/>
              <w:right w:type="dxa" w:w="120"/>
            </w:tcMar>
          </w:tcPr>
          <w:p>
            <w:r>
              <w:rPr>
                <w:sz w:val="19"/>
                <w:szCs w:val="19"/>
              </w:rPr>
              <w:t xml:space="preserve">392,936 rows × 8 cols</w:t>
            </w:r>
          </w:p>
        </w:tc>
        <w:tc>
          <w:tcPr>
            <w:tcW w:type="dxa" w:w="3600"/>
            <w:shd w:fill="F2F2F2" w:val="clear"/>
            <w:tcMar>
              <w:top w:type="dxa" w:w="90"/>
              <w:left w:type="dxa" w:w="120"/>
              <w:bottom w:type="dxa" w:w="90"/>
              <w:right w:type="dxa" w:w="120"/>
            </w:tcMar>
          </w:tcPr>
          <w:p>
            <w:r>
              <w:rPr>
                <w:sz w:val="19"/>
                <w:szCs w:val="19"/>
              </w:rPr>
              <w:t xml:space="preserve">One row per customer per month, Jan 2017–Dec 2018</w:t>
            </w:r>
          </w:p>
        </w:tc>
      </w:tr>
    </w:tbl>
    <w:p>
      <w:pPr>
        <w:spacing w:after="150" w:line="300"/>
      </w:pPr>
      <w:r>
        <w:rPr>
          <w:sz w:val="21"/>
          <w:szCs w:val="21"/>
        </w:rPr>
        <w:t xml:space="preserve"/>
      </w:r>
    </w:p>
    <w:p>
      <w:pPr>
        <w:spacing w:after="100" w:before="200"/>
      </w:pPr>
      <w:r>
        <w:rPr>
          <w:b/>
          <w:bCs/>
          <w:color w:val="C0621B"/>
          <w:sz w:val="22"/>
          <w:szCs w:val="22"/>
        </w:rPr>
        <w:t xml:space="preserve">Deliverables</w:t>
      </w:r>
    </w:p>
    <w:p>
      <w:pPr>
        <w:pStyle w:val="ListParagraph"/>
        <w:numPr>
          <w:ilvl w:val="0"/>
          <w:numId w:val="1"/>
        </w:numPr>
        <w:spacing w:after="90" w:line="290"/>
      </w:pPr>
      <w:r>
        <w:rPr>
          <w:sz w:val="21"/>
          <w:szCs w:val="21"/>
        </w:rPr>
        <w:t xml:space="preserve">Churn prediction model (Logistic Regression baseline + tuned XGBoost)</w:t>
      </w:r>
    </w:p>
    <w:p>
      <w:pPr>
        <w:pStyle w:val="ListParagraph"/>
        <w:numPr>
          <w:ilvl w:val="0"/>
          <w:numId w:val="1"/>
        </w:numPr>
        <w:spacing w:after="90" w:line="290"/>
      </w:pPr>
      <w:r>
        <w:rPr>
          <w:sz w:val="21"/>
          <w:szCs w:val="21"/>
        </w:rPr>
        <w:t xml:space="preserve">Customer segmentation (K-Means)</w:t>
      </w:r>
    </w:p>
    <w:p>
      <w:pPr>
        <w:pStyle w:val="ListParagraph"/>
        <w:numPr>
          <w:ilvl w:val="0"/>
          <w:numId w:val="1"/>
        </w:numPr>
        <w:spacing w:after="90" w:line="290"/>
      </w:pPr>
      <w:r>
        <w:rPr>
          <w:sz w:val="21"/>
          <w:szCs w:val="21"/>
        </w:rPr>
        <w:t xml:space="preserve">Segment-specific retention recommendations</w:t>
      </w:r>
    </w:p>
    <w:p>
      <w:pPr>
        <w:pStyle w:val="ListParagraph"/>
        <w:numPr>
          <w:ilvl w:val="0"/>
          <w:numId w:val="1"/>
        </w:numPr>
        <w:spacing w:after="90" w:line="290"/>
      </w:pPr>
      <w:r>
        <w:rPr>
          <w:sz w:val="21"/>
          <w:szCs w:val="21"/>
        </w:rPr>
        <w:t xml:space="preserve">Streamlit dashboard prototype</w:t>
      </w:r>
    </w:p>
    <w:p>
      <w:pPr>
        <w:pStyle w:val="Heading1"/>
        <w:pBdr>
          <w:bottom w:val="single" w:color="1F3864" w:sz="8" w:space="4"/>
        </w:pBdr>
        <w:spacing w:after="200" w:before="400"/>
      </w:pPr>
      <w:r>
        <w:rPr>
          <w:b/>
          <w:bCs/>
          <w:color w:val="1F3864"/>
          <w:sz w:val="30"/>
          <w:szCs w:val="30"/>
        </w:rPr>
        <w:t xml:space="preserve">2. Data Cleaning</w:t>
      </w:r>
    </w:p>
    <w:p>
      <w:pPr>
        <w:spacing w:after="150" w:line="300"/>
      </w:pPr>
      <w:r>
        <w:rPr>
          <w:sz w:val="21"/>
          <w:szCs w:val="21"/>
        </w:rPr>
        <w:t xml:space="preserve">Phase 1 followed a strict rule: observe everything, fix nothing, document everything. Issues were only corrected in Phase 2, once fully understood.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900"/>
        <w:gridCol w:w="1500"/>
      </w:tblGrid>
      <w:tr>
        <w:trPr>
          <w:tblHeader/>
        </w:trPr>
        <w:tc>
          <w:tcPr>
            <w:tcW w:type="dxa" w:w="2400"/>
            <w:shd w:fill="44546A" w:val="clear"/>
            <w:tcMar>
              <w:top w:type="dxa" w:w="100"/>
              <w:left w:type="dxa" w:w="120"/>
              <w:bottom w:type="dxa" w:w="100"/>
              <w:right w:type="dxa" w:w="120"/>
            </w:tcMar>
          </w:tcPr>
          <w:p>
            <w:r>
              <w:rPr>
                <w:b/>
                <w:bCs/>
                <w:color w:val="FFFFFF"/>
                <w:sz w:val="19"/>
                <w:szCs w:val="19"/>
              </w:rPr>
              <w:t xml:space="preserve">Issue</w:t>
            </w:r>
          </w:p>
        </w:tc>
        <w:tc>
          <w:tcPr>
            <w:tcW w:type="dxa" w:w="2600"/>
            <w:shd w:fill="44546A" w:val="clear"/>
            <w:tcMar>
              <w:top w:type="dxa" w:w="100"/>
              <w:left w:type="dxa" w:w="120"/>
              <w:bottom w:type="dxa" w:w="100"/>
              <w:right w:type="dxa" w:w="120"/>
            </w:tcMar>
          </w:tcPr>
          <w:p>
            <w:r>
              <w:rPr>
                <w:b/>
                <w:bCs/>
                <w:color w:val="FFFFFF"/>
                <w:sz w:val="19"/>
                <w:szCs w:val="19"/>
              </w:rPr>
              <w:t xml:space="preserve">Root Cause</w:t>
            </w:r>
          </w:p>
        </w:tc>
        <w:tc>
          <w:tcPr>
            <w:tcW w:type="dxa" w:w="2900"/>
            <w:shd w:fill="44546A" w:val="clear"/>
            <w:tcMar>
              <w:top w:type="dxa" w:w="100"/>
              <w:left w:type="dxa" w:w="120"/>
              <w:bottom w:type="dxa" w:w="100"/>
              <w:right w:type="dxa" w:w="120"/>
            </w:tcMar>
          </w:tcPr>
          <w:p>
            <w:r>
              <w:rPr>
                <w:b/>
                <w:bCs/>
                <w:color w:val="FFFFFF"/>
                <w:sz w:val="19"/>
                <w:szCs w:val="19"/>
              </w:rPr>
              <w:t xml:space="preserve">Fix</w:t>
            </w:r>
          </w:p>
        </w:tc>
        <w:tc>
          <w:tcPr>
            <w:tcW w:type="dxa" w:w="1500"/>
            <w:shd w:fill="44546A" w:val="clear"/>
            <w:tcMar>
              <w:top w:type="dxa" w:w="100"/>
              <w:left w:type="dxa" w:w="120"/>
              <w:bottom w:type="dxa" w:w="100"/>
              <w:right w:type="dxa" w:w="120"/>
            </w:tcMar>
          </w:tcPr>
          <w:p>
            <w:r>
              <w:rPr>
                <w:b/>
                <w:bCs/>
                <w:color w:val="FFFFFF"/>
                <w:sz w:val="19"/>
                <w:szCs w:val="19"/>
              </w:rPr>
              <w:t xml:space="preserve">Rows</w:t>
            </w:r>
          </w:p>
        </w:tc>
      </w:tr>
      <w:tr>
        <w:tc>
          <w:tcPr>
            <w:tcW w:type="dxa" w:w="2400"/>
            <w:shd w:fill="FFFFFF" w:val="clear"/>
            <w:tcMar>
              <w:top w:type="dxa" w:w="90"/>
              <w:left w:type="dxa" w:w="120"/>
              <w:bottom w:type="dxa" w:w="90"/>
              <w:right w:type="dxa" w:w="120"/>
            </w:tcMar>
          </w:tcPr>
          <w:p>
            <w:r>
              <w:rPr>
                <w:sz w:val="19"/>
                <w:szCs w:val="19"/>
              </w:rPr>
              <w:t xml:space="preserve">Salary missing (25.3%)</w:t>
            </w:r>
          </w:p>
        </w:tc>
        <w:tc>
          <w:tcPr>
            <w:tcW w:type="dxa" w:w="2600"/>
            <w:shd w:fill="FFFFFF" w:val="clear"/>
            <w:tcMar>
              <w:top w:type="dxa" w:w="90"/>
              <w:left w:type="dxa" w:w="120"/>
              <w:bottom w:type="dxa" w:w="90"/>
              <w:right w:type="dxa" w:w="120"/>
            </w:tcMar>
          </w:tcPr>
          <w:p>
            <w:r>
              <w:rPr>
                <w:sz w:val="19"/>
                <w:szCs w:val="19"/>
              </w:rPr>
              <w:t xml:space="preserve">College students have no income</w:t>
            </w:r>
          </w:p>
        </w:tc>
        <w:tc>
          <w:tcPr>
            <w:tcW w:type="dxa" w:w="2900"/>
            <w:shd w:fill="FFFFFF" w:val="clear"/>
            <w:tcMar>
              <w:top w:type="dxa" w:w="90"/>
              <w:left w:type="dxa" w:w="120"/>
              <w:bottom w:type="dxa" w:w="90"/>
              <w:right w:type="dxa" w:w="120"/>
            </w:tcMar>
          </w:tcPr>
          <w:p>
            <w:r>
              <w:rPr>
                <w:sz w:val="19"/>
                <w:szCs w:val="19"/>
              </w:rPr>
              <w:t xml:space="preserve">Filled with 0 (factually correct, not imputation)</w:t>
            </w:r>
          </w:p>
        </w:tc>
        <w:tc>
          <w:tcPr>
            <w:tcW w:type="dxa" w:w="1500"/>
            <w:shd w:fill="FFFFFF" w:val="clear"/>
            <w:tcMar>
              <w:top w:type="dxa" w:w="90"/>
              <w:left w:type="dxa" w:w="120"/>
              <w:bottom w:type="dxa" w:w="90"/>
              <w:right w:type="dxa" w:w="120"/>
            </w:tcMar>
          </w:tcPr>
          <w:p>
            <w:r>
              <w:rPr>
                <w:sz w:val="19"/>
                <w:szCs w:val="19"/>
              </w:rPr>
              <w:t xml:space="preserve">4,238</w:t>
            </w:r>
          </w:p>
        </w:tc>
      </w:tr>
      <w:tr>
        <w:tc>
          <w:tcPr>
            <w:tcW w:type="dxa" w:w="2400"/>
            <w:shd w:fill="F2F2F2" w:val="clear"/>
            <w:tcMar>
              <w:top w:type="dxa" w:w="90"/>
              <w:left w:type="dxa" w:w="120"/>
              <w:bottom w:type="dxa" w:w="90"/>
              <w:right w:type="dxa" w:w="120"/>
            </w:tcMar>
          </w:tcPr>
          <w:p>
            <w:r>
              <w:rPr>
                <w:sz w:val="19"/>
                <w:szCs w:val="19"/>
              </w:rPr>
              <w:t xml:space="preserve">Salary negative</w:t>
            </w:r>
          </w:p>
        </w:tc>
        <w:tc>
          <w:tcPr>
            <w:tcW w:type="dxa" w:w="2600"/>
            <w:shd w:fill="F2F2F2" w:val="clear"/>
            <w:tcMar>
              <w:top w:type="dxa" w:w="90"/>
              <w:left w:type="dxa" w:w="120"/>
              <w:bottom w:type="dxa" w:w="90"/>
              <w:right w:type="dxa" w:w="120"/>
            </w:tcMar>
          </w:tcPr>
          <w:p>
            <w:r>
              <w:rPr>
                <w:sz w:val="19"/>
                <w:szCs w:val="19"/>
              </w:rPr>
              <w:t xml:space="preserve">Sign-entry typos, magnitude correct</w:t>
            </w:r>
          </w:p>
        </w:tc>
        <w:tc>
          <w:tcPr>
            <w:tcW w:type="dxa" w:w="2900"/>
            <w:shd w:fill="F2F2F2" w:val="clear"/>
            <w:tcMar>
              <w:top w:type="dxa" w:w="90"/>
              <w:left w:type="dxa" w:w="120"/>
              <w:bottom w:type="dxa" w:w="90"/>
              <w:right w:type="dxa" w:w="120"/>
            </w:tcMar>
          </w:tcPr>
          <w:p>
            <w:r>
              <w:rPr>
                <w:sz w:val="19"/>
                <w:szCs w:val="19"/>
              </w:rPr>
              <w:t xml:space="preserve">Converted to absolute value</w:t>
            </w:r>
          </w:p>
        </w:tc>
        <w:tc>
          <w:tcPr>
            <w:tcW w:type="dxa" w:w="1500"/>
            <w:shd w:fill="F2F2F2" w:val="clear"/>
            <w:tcMar>
              <w:top w:type="dxa" w:w="90"/>
              <w:left w:type="dxa" w:w="120"/>
              <w:bottom w:type="dxa" w:w="90"/>
              <w:right w:type="dxa" w:w="120"/>
            </w:tcMar>
          </w:tcPr>
          <w:p>
            <w:r>
              <w:rPr>
                <w:sz w:val="19"/>
                <w:szCs w:val="19"/>
              </w:rPr>
              <w:t xml:space="preserve">20</w:t>
            </w:r>
          </w:p>
        </w:tc>
      </w:tr>
      <w:tr>
        <w:tc>
          <w:tcPr>
            <w:tcW w:type="dxa" w:w="2400"/>
            <w:shd w:fill="FFFFFF" w:val="clear"/>
            <w:tcMar>
              <w:top w:type="dxa" w:w="90"/>
              <w:left w:type="dxa" w:w="120"/>
              <w:bottom w:type="dxa" w:w="90"/>
              <w:right w:type="dxa" w:w="120"/>
            </w:tcMar>
          </w:tcPr>
          <w:p>
            <w:r>
              <w:rPr>
                <w:sz w:val="19"/>
                <w:szCs w:val="19"/>
              </w:rPr>
              <w:t xml:space="preserve">Cancellation Year/Month missing (87.7%)</w:t>
            </w:r>
          </w:p>
        </w:tc>
        <w:tc>
          <w:tcPr>
            <w:tcW w:type="dxa" w:w="2600"/>
            <w:shd w:fill="FFFFFF" w:val="clear"/>
            <w:tcMar>
              <w:top w:type="dxa" w:w="90"/>
              <w:left w:type="dxa" w:w="120"/>
              <w:bottom w:type="dxa" w:w="90"/>
              <w:right w:type="dxa" w:w="120"/>
            </w:tcMar>
          </w:tcPr>
          <w:p>
            <w:r>
              <w:rPr>
                <w:sz w:val="19"/>
                <w:szCs w:val="19"/>
              </w:rPr>
              <w:t xml:space="preserve">Customer never cancelled = still active</w:t>
            </w:r>
          </w:p>
        </w:tc>
        <w:tc>
          <w:tcPr>
            <w:tcW w:type="dxa" w:w="2900"/>
            <w:shd w:fill="FFFFFF" w:val="clear"/>
            <w:tcMar>
              <w:top w:type="dxa" w:w="90"/>
              <w:left w:type="dxa" w:w="120"/>
              <w:bottom w:type="dxa" w:w="90"/>
              <w:right w:type="dxa" w:w="120"/>
            </w:tcMar>
          </w:tcPr>
          <w:p>
            <w:r>
              <w:rPr>
                <w:sz w:val="19"/>
                <w:szCs w:val="19"/>
              </w:rPr>
              <w:t xml:space="preserve">Left untouched — NaN is meaningful</w:t>
            </w:r>
          </w:p>
        </w:tc>
        <w:tc>
          <w:tcPr>
            <w:tcW w:type="dxa" w:w="1500"/>
            <w:shd w:fill="FFFFFF" w:val="clear"/>
            <w:tcMar>
              <w:top w:type="dxa" w:w="90"/>
              <w:left w:type="dxa" w:w="120"/>
              <w:bottom w:type="dxa" w:w="90"/>
              <w:right w:type="dxa" w:w="120"/>
            </w:tcMar>
          </w:tcPr>
          <w:p>
            <w:r>
              <w:rPr>
                <w:sz w:val="19"/>
                <w:szCs w:val="19"/>
              </w:rPr>
              <w:t xml:space="preserve">14,670</w:t>
            </w:r>
          </w:p>
        </w:tc>
      </w:tr>
      <w:tr>
        <w:tc>
          <w:tcPr>
            <w:tcW w:type="dxa" w:w="2400"/>
            <w:shd w:fill="F2F2F2" w:val="clear"/>
            <w:tcMar>
              <w:top w:type="dxa" w:w="90"/>
              <w:left w:type="dxa" w:w="120"/>
              <w:bottom w:type="dxa" w:w="90"/>
              <w:right w:type="dxa" w:w="120"/>
            </w:tcMar>
          </w:tcPr>
          <w:p>
            <w:r>
              <w:rPr>
                <w:sz w:val="19"/>
                <w:szCs w:val="19"/>
              </w:rPr>
              <w:t xml:space="preserve">Duplicate flight records</w:t>
            </w:r>
          </w:p>
        </w:tc>
        <w:tc>
          <w:tcPr>
            <w:tcW w:type="dxa" w:w="2600"/>
            <w:shd w:fill="F2F2F2" w:val="clear"/>
            <w:tcMar>
              <w:top w:type="dxa" w:w="90"/>
              <w:left w:type="dxa" w:w="120"/>
              <w:bottom w:type="dxa" w:w="90"/>
              <w:right w:type="dxa" w:w="120"/>
            </w:tcMar>
          </w:tcPr>
          <w:p>
            <w:r>
              <w:rPr>
                <w:sz w:val="19"/>
                <w:szCs w:val="19"/>
              </w:rPr>
              <w:t xml:space="preserve">Data entry duplication</w:t>
            </w:r>
          </w:p>
        </w:tc>
        <w:tc>
          <w:tcPr>
            <w:tcW w:type="dxa" w:w="2900"/>
            <w:shd w:fill="F2F2F2" w:val="clear"/>
            <w:tcMar>
              <w:top w:type="dxa" w:w="90"/>
              <w:left w:type="dxa" w:w="120"/>
              <w:bottom w:type="dxa" w:w="90"/>
              <w:right w:type="dxa" w:w="120"/>
            </w:tcMar>
          </w:tcPr>
          <w:p>
            <w:r>
              <w:rPr>
                <w:sz w:val="19"/>
                <w:szCs w:val="19"/>
              </w:rPr>
              <w:t xml:space="preserve">Removed via drop_duplicates()</w:t>
            </w:r>
          </w:p>
        </w:tc>
        <w:tc>
          <w:tcPr>
            <w:tcW w:type="dxa" w:w="1500"/>
            <w:shd w:fill="F2F2F2" w:val="clear"/>
            <w:tcMar>
              <w:top w:type="dxa" w:w="90"/>
              <w:left w:type="dxa" w:w="120"/>
              <w:bottom w:type="dxa" w:w="90"/>
              <w:right w:type="dxa" w:w="120"/>
            </w:tcMar>
          </w:tcPr>
          <w:p>
            <w:r>
              <w:rPr>
                <w:sz w:val="19"/>
                <w:szCs w:val="19"/>
              </w:rPr>
              <w:t xml:space="preserve">1,922</w:t>
            </w:r>
          </w:p>
        </w:tc>
      </w:tr>
    </w:tbl>
    <w:p>
      <w:pPr>
        <w:spacing w:after="150" w:line="300"/>
      </w:pPr>
      <w:r>
        <w:rPr>
          <w:sz w:val="21"/>
          <w:szCs w:val="21"/>
        </w:rPr>
        <w:t xml:space="preserve"/>
      </w:r>
    </w:p>
    <w:p>
      <w:pPr>
        <w:spacing w:after="150" w:line="300"/>
      </w:pPr>
      <w:r>
        <w:rPr>
          <w:sz w:val="21"/>
          <w:szCs w:val="21"/>
        </w:rPr>
        <w:t xml:space="preserve">Join integrity was verified before merging: all 16,737 loyalty members appeared in the flight activity file with zero orphaned records, so an inner join on Loyalty Number was safe to use.</w:t>
      </w:r>
    </w:p>
    <w:p>
      <w:pPr>
        <w:pStyle w:val="Heading1"/>
        <w:pBdr>
          <w:bottom w:val="single" w:color="1F3864" w:sz="8" w:space="4"/>
        </w:pBdr>
        <w:spacing w:after="200" w:before="400"/>
      </w:pPr>
      <w:r>
        <w:rPr>
          <w:b/>
          <w:bCs/>
          <w:color w:val="1F3864"/>
          <w:sz w:val="30"/>
          <w:szCs w:val="30"/>
        </w:rPr>
        <w:t xml:space="preserve">3. Building the Churn Label</w:t>
      </w:r>
    </w:p>
    <w:p>
      <w:pPr>
        <w:spacing w:after="150" w:line="300"/>
      </w:pPr>
      <w:r>
        <w:rPr>
          <w:sz w:val="21"/>
          <w:szCs w:val="21"/>
        </w:rPr>
        <w:t xml:space="preserve">This was the most important design decision in the project. There is no ready-made 'churned' column in the raw data — it had to be engineered, and the choice of definition directly determines what the model learns to predict.</w:t>
      </w:r>
    </w:p>
    <w:p>
      <w:pPr>
        <w:pStyle w:val="Heading2"/>
        <w:spacing w:after="120" w:before="300"/>
      </w:pPr>
      <w:r>
        <w:rPr>
          <w:b/>
          <w:bCs/>
          <w:color w:val="0F6E56"/>
          <w:sz w:val="25"/>
          <w:szCs w:val="25"/>
        </w:rPr>
        <w:t xml:space="preserve">3.1 Why Formal Cancellation Alone Doesn't Work</w:t>
      </w:r>
    </w:p>
    <w:p>
      <w:pPr>
        <w:spacing w:after="150" w:line="300"/>
      </w:pPr>
      <w:r>
        <w:rPr>
          <w:sz w:val="21"/>
          <w:szCs w:val="21"/>
        </w:rPr>
        <w:t xml:space="preserve">Only 12.3% of members had a recorded cancellation. But a customer can stop flying entirely for two years and never click cancel — that customer is behaviorally gone, but formal-cancellation logic would still call them active. Relying on cancellation alone would badly understate the real churn problem.</w:t>
      </w:r>
    </w:p>
    <w:p>
      <w:pPr>
        <w:pStyle w:val="Heading2"/>
        <w:spacing w:after="120" w:before="300"/>
      </w:pPr>
      <w:r>
        <w:rPr>
          <w:b/>
          <w:bCs/>
          <w:color w:val="0F6E56"/>
          <w:sz w:val="25"/>
          <w:szCs w:val="25"/>
        </w:rPr>
        <w:t xml:space="preserve">3.2 Testing Inactivity Thresholds</w:t>
      </w:r>
    </w:p>
    <w:p>
      <w:pPr>
        <w:spacing w:after="150" w:line="300"/>
      </w:pPr>
      <w:r>
        <w:rPr>
          <w:sz w:val="21"/>
          <w:szCs w:val="21"/>
        </w:rPr>
        <w:t xml:space="preserve">To build a behavioral definition, months since a customer's last flight was calculated for every customer, then compared against fixed inactivity thresholds. Three corrections were needed to do this properly:</w:t>
      </w:r>
    </w:p>
    <w:p>
      <w:pPr>
        <w:pStyle w:val="ListParagraph"/>
        <w:numPr>
          <w:ilvl w:val="0"/>
          <w:numId w:val="1"/>
        </w:numPr>
        <w:spacing w:after="90" w:line="290"/>
      </w:pPr>
      <w:r>
        <w:rPr>
          <w:sz w:val="21"/>
          <w:szCs w:val="21"/>
        </w:rPr>
        <w:t xml:space="preserve">The snapshot date was set to the last date in the dataset (Dec 2018), not the real-world current date.</w:t>
      </w:r>
    </w:p>
    <w:p>
      <w:pPr>
        <w:pStyle w:val="ListParagraph"/>
        <w:numPr>
          <w:ilvl w:val="0"/>
          <w:numId w:val="1"/>
        </w:numPr>
        <w:spacing w:after="90" w:line="290"/>
      </w:pPr>
      <w:r>
        <w:rPr>
          <w:sz w:val="21"/>
          <w:szCs w:val="21"/>
        </w:rPr>
        <w:t xml:space="preserve">Customers who never flew at all had to be explicitly reindexed back into the calculation — filtering to flights &gt; 0 first silently drops them, which undercounts churn.</w:t>
      </w:r>
    </w:p>
    <w:p>
      <w:pPr>
        <w:pStyle w:val="ListParagraph"/>
        <w:numPr>
          <w:ilvl w:val="0"/>
          <w:numId w:val="1"/>
        </w:numPr>
        <w:spacing w:after="90" w:line="290"/>
      </w:pPr>
      <w:r>
        <w:rPr>
          <w:sz w:val="21"/>
          <w:szCs w:val="21"/>
        </w:rPr>
        <w:t xml:space="preserve">Months since last flight was computed from year/month components directly, not from day counts, since calendar months vary in length and a day-based cutoff misclassifies customers near the boundary.</w:t>
      </w:r>
    </w:p>
    <w:p>
      <w:pPr>
        <w:spacing w:after="150" w:line="300"/>
      </w:pPr>
      <w:r>
        <w:rPr>
          <w:sz w:val="21"/>
          <w:szCs w:val="21"/>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100"/>
      </w:tblGrid>
      <w:tr>
        <w:trPr>
          <w:tblHeader/>
        </w:trPr>
        <w:tc>
          <w:tcPr>
            <w:tcW w:type="dxa" w:w="3400"/>
            <w:shd w:fill="44546A" w:val="clear"/>
            <w:tcMar>
              <w:top w:type="dxa" w:w="100"/>
              <w:left w:type="dxa" w:w="120"/>
              <w:bottom w:type="dxa" w:w="100"/>
              <w:right w:type="dxa" w:w="120"/>
            </w:tcMar>
          </w:tcPr>
          <w:p>
            <w:r>
              <w:rPr>
                <w:b/>
                <w:bCs/>
                <w:color w:val="FFFFFF"/>
                <w:sz w:val="19"/>
                <w:szCs w:val="19"/>
              </w:rPr>
              <w:t xml:space="preserve">Threshold</w:t>
            </w:r>
          </w:p>
        </w:tc>
        <w:tc>
          <w:tcPr>
            <w:tcW w:type="dxa" w:w="2900"/>
            <w:shd w:fill="44546A" w:val="clear"/>
            <w:tcMar>
              <w:top w:type="dxa" w:w="100"/>
              <w:left w:type="dxa" w:w="120"/>
              <w:bottom w:type="dxa" w:w="100"/>
              <w:right w:type="dxa" w:w="120"/>
            </w:tcMar>
          </w:tcPr>
          <w:p>
            <w:r>
              <w:rPr>
                <w:b/>
                <w:bCs/>
                <w:color w:val="FFFFFF"/>
                <w:sz w:val="19"/>
                <w:szCs w:val="19"/>
              </w:rPr>
              <w:t xml:space="preserve">Churned</w:t>
            </w:r>
          </w:p>
        </w:tc>
        <w:tc>
          <w:tcPr>
            <w:tcW w:type="dxa" w:w="3100"/>
            <w:shd w:fill="44546A" w:val="clear"/>
            <w:tcMar>
              <w:top w:type="dxa" w:w="100"/>
              <w:left w:type="dxa" w:w="120"/>
              <w:bottom w:type="dxa" w:w="100"/>
              <w:right w:type="dxa" w:w="120"/>
            </w:tcMar>
          </w:tcPr>
          <w:p>
            <w:r>
              <w:rPr>
                <w:b/>
                <w:bCs/>
                <w:color w:val="FFFFFF"/>
                <w:sz w:val="19"/>
                <w:szCs w:val="19"/>
              </w:rPr>
              <w:t xml:space="preserve">Churn %</w:t>
            </w:r>
          </w:p>
        </w:tc>
      </w:tr>
      <w:tr>
        <w:tc>
          <w:tcPr>
            <w:tcW w:type="dxa" w:w="3400"/>
            <w:shd w:fill="FFFFFF" w:val="clear"/>
            <w:tcMar>
              <w:top w:type="dxa" w:w="90"/>
              <w:left w:type="dxa" w:w="120"/>
              <w:bottom w:type="dxa" w:w="90"/>
              <w:right w:type="dxa" w:w="120"/>
            </w:tcMar>
          </w:tcPr>
          <w:p>
            <w:r>
              <w:rPr>
                <w:sz w:val="19"/>
                <w:szCs w:val="19"/>
              </w:rPr>
              <w:t xml:space="preserve">6 months</w:t>
            </w:r>
          </w:p>
        </w:tc>
        <w:tc>
          <w:tcPr>
            <w:tcW w:type="dxa" w:w="2900"/>
            <w:shd w:fill="FFFFFF" w:val="clear"/>
            <w:tcMar>
              <w:top w:type="dxa" w:w="90"/>
              <w:left w:type="dxa" w:w="120"/>
              <w:bottom w:type="dxa" w:w="90"/>
              <w:right w:type="dxa" w:w="120"/>
            </w:tcMar>
          </w:tcPr>
          <w:p>
            <w:r>
              <w:rPr>
                <w:sz w:val="19"/>
                <w:szCs w:val="19"/>
              </w:rPr>
              <w:t xml:space="preserve">2,469</w:t>
            </w:r>
          </w:p>
        </w:tc>
        <w:tc>
          <w:tcPr>
            <w:tcW w:type="dxa" w:w="3100"/>
            <w:shd w:fill="FFFFFF" w:val="clear"/>
            <w:tcMar>
              <w:top w:type="dxa" w:w="90"/>
              <w:left w:type="dxa" w:w="120"/>
              <w:bottom w:type="dxa" w:w="90"/>
              <w:right w:type="dxa" w:w="120"/>
            </w:tcMar>
          </w:tcPr>
          <w:p>
            <w:r>
              <w:rPr>
                <w:sz w:val="19"/>
                <w:szCs w:val="19"/>
              </w:rPr>
              <w:t xml:space="preserve">14.8%</w:t>
            </w:r>
          </w:p>
        </w:tc>
      </w:tr>
      <w:tr>
        <w:tc>
          <w:tcPr>
            <w:tcW w:type="dxa" w:w="3400"/>
            <w:shd w:fill="F2F2F2" w:val="clear"/>
            <w:tcMar>
              <w:top w:type="dxa" w:w="90"/>
              <w:left w:type="dxa" w:w="120"/>
              <w:bottom w:type="dxa" w:w="90"/>
              <w:right w:type="dxa" w:w="120"/>
            </w:tcMar>
          </w:tcPr>
          <w:p>
            <w:r>
              <w:rPr>
                <w:sz w:val="19"/>
                <w:szCs w:val="19"/>
              </w:rPr>
              <w:t xml:space="preserve">12 months</w:t>
            </w:r>
          </w:p>
        </w:tc>
        <w:tc>
          <w:tcPr>
            <w:tcW w:type="dxa" w:w="2900"/>
            <w:shd w:fill="F2F2F2" w:val="clear"/>
            <w:tcMar>
              <w:top w:type="dxa" w:w="90"/>
              <w:left w:type="dxa" w:w="120"/>
              <w:bottom w:type="dxa" w:w="90"/>
              <w:right w:type="dxa" w:w="120"/>
            </w:tcMar>
          </w:tcPr>
          <w:p>
            <w:r>
              <w:rPr>
                <w:sz w:val="19"/>
                <w:szCs w:val="19"/>
              </w:rPr>
              <w:t xml:space="preserve">2,123</w:t>
            </w:r>
          </w:p>
        </w:tc>
        <w:tc>
          <w:tcPr>
            <w:tcW w:type="dxa" w:w="3100"/>
            <w:shd w:fill="F2F2F2" w:val="clear"/>
            <w:tcMar>
              <w:top w:type="dxa" w:w="90"/>
              <w:left w:type="dxa" w:w="120"/>
              <w:bottom w:type="dxa" w:w="90"/>
              <w:right w:type="dxa" w:w="120"/>
            </w:tcMar>
          </w:tcPr>
          <w:p>
            <w:r>
              <w:rPr>
                <w:sz w:val="19"/>
                <w:szCs w:val="19"/>
              </w:rPr>
              <w:t xml:space="preserve">12.7%</w:t>
            </w:r>
          </w:p>
        </w:tc>
      </w:tr>
      <w:tr>
        <w:tc>
          <w:tcPr>
            <w:tcW w:type="dxa" w:w="3400"/>
            <w:shd w:fill="FFFFFF" w:val="clear"/>
            <w:tcMar>
              <w:top w:type="dxa" w:w="90"/>
              <w:left w:type="dxa" w:w="120"/>
              <w:bottom w:type="dxa" w:w="90"/>
              <w:right w:type="dxa" w:w="120"/>
            </w:tcMar>
          </w:tcPr>
          <w:p>
            <w:r>
              <w:rPr>
                <w:sz w:val="19"/>
                <w:szCs w:val="19"/>
              </w:rPr>
              <w:t xml:space="preserve">24 months</w:t>
            </w:r>
          </w:p>
        </w:tc>
        <w:tc>
          <w:tcPr>
            <w:tcW w:type="dxa" w:w="2900"/>
            <w:shd w:fill="FFFFFF" w:val="clear"/>
            <w:tcMar>
              <w:top w:type="dxa" w:w="90"/>
              <w:left w:type="dxa" w:w="120"/>
              <w:bottom w:type="dxa" w:w="90"/>
              <w:right w:type="dxa" w:w="120"/>
            </w:tcMar>
          </w:tcPr>
          <w:p>
            <w:r>
              <w:rPr>
                <w:sz w:val="19"/>
                <w:szCs w:val="19"/>
              </w:rPr>
              <w:t xml:space="preserve">1,570</w:t>
            </w:r>
          </w:p>
        </w:tc>
        <w:tc>
          <w:tcPr>
            <w:tcW w:type="dxa" w:w="3100"/>
            <w:shd w:fill="FFFFFF" w:val="clear"/>
            <w:tcMar>
              <w:top w:type="dxa" w:w="90"/>
              <w:left w:type="dxa" w:w="120"/>
              <w:bottom w:type="dxa" w:w="90"/>
              <w:right w:type="dxa" w:w="120"/>
            </w:tcMar>
          </w:tcPr>
          <w:p>
            <w:r>
              <w:rPr>
                <w:sz w:val="19"/>
                <w:szCs w:val="19"/>
              </w:rPr>
              <w:t xml:space="preserve">9.4%</w:t>
            </w:r>
          </w:p>
        </w:tc>
      </w:tr>
    </w:tbl>
    <w:p>
      <w:pPr>
        <w:spacing w:after="150" w:line="300"/>
      </w:pPr>
      <w:r>
        <w:rPr>
          <w:sz w:val="21"/>
          <w:szCs w:val="21"/>
        </w:rPr>
        <w:t xml:space="preserve"/>
      </w:r>
    </w:p>
    <w:p>
      <w:pPr>
        <w:pStyle w:val="Heading2"/>
        <w:spacing w:after="120" w:before="300"/>
      </w:pPr>
      <w:r>
        <w:rPr>
          <w:b/>
          <w:bCs/>
          <w:color w:val="0F6E56"/>
          <w:sz w:val="25"/>
          <w:szCs w:val="25"/>
        </w:rPr>
        <w:t xml:space="preserve">3.3 Choosing 12 Months as the Threshold</w:t>
      </w:r>
    </w:p>
    <w:p>
      <w:pPr>
        <w:spacing w:after="150" w:line="300"/>
      </w:pPr>
      <w:r>
        <w:rPr>
          <w:sz w:val="21"/>
          <w:szCs w:val="21"/>
        </w:rPr>
        <w:t xml:space="preserve">Two further diagnostics were run before settling on a final threshold:</w:t>
      </w:r>
    </w:p>
    <w:p>
      <w:pPr>
        <w:spacing w:after="100" w:before="200"/>
      </w:pPr>
      <w:r>
        <w:rPr>
          <w:b/>
          <w:bCs/>
          <w:color w:val="C0621B"/>
          <w:sz w:val="22"/>
          <w:szCs w:val="22"/>
        </w:rPr>
        <w:t xml:space="preserve">Diagnostic 1 — Overlap with formal cancellation</w:t>
      </w:r>
    </w:p>
    <w:p>
      <w:pPr>
        <w:spacing w:after="150" w:line="300"/>
      </w:pPr>
      <w:r>
        <w:rPr>
          <w:sz w:val="21"/>
          <w:szCs w:val="21"/>
        </w:rPr>
        <w:t xml:space="preserve">Of the 2,067 formally cancelled customers, the percentage also flagged as behaviorally inactive was checked at each threshold: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44546A" w:val="clear"/>
            <w:tcMar>
              <w:top w:type="dxa" w:w="100"/>
              <w:left w:type="dxa" w:w="120"/>
              <w:bottom w:type="dxa" w:w="100"/>
              <w:right w:type="dxa" w:w="120"/>
            </w:tcMar>
          </w:tcPr>
          <w:p>
            <w:r>
              <w:rPr>
                <w:b/>
                <w:bCs/>
                <w:color w:val="FFFFFF"/>
                <w:sz w:val="19"/>
                <w:szCs w:val="19"/>
              </w:rPr>
              <w:t xml:space="preserve">Threshold</w:t>
            </w:r>
          </w:p>
        </w:tc>
        <w:tc>
          <w:tcPr>
            <w:tcW w:type="dxa" w:w="3600"/>
            <w:shd w:fill="44546A" w:val="clear"/>
            <w:tcMar>
              <w:top w:type="dxa" w:w="100"/>
              <w:left w:type="dxa" w:w="120"/>
              <w:bottom w:type="dxa" w:w="100"/>
              <w:right w:type="dxa" w:w="120"/>
            </w:tcMar>
          </w:tcPr>
          <w:p>
            <w:r>
              <w:rPr>
                <w:b/>
                <w:bCs/>
                <w:color w:val="FFFFFF"/>
                <w:sz w:val="19"/>
                <w:szCs w:val="19"/>
              </w:rPr>
              <w:t xml:space="preserve">Also Behaviorally Inactive</w:t>
            </w:r>
          </w:p>
        </w:tc>
        <w:tc>
          <w:tcPr>
            <w:tcW w:type="dxa" w:w="3200"/>
            <w:shd w:fill="44546A" w:val="clear"/>
            <w:tcMar>
              <w:top w:type="dxa" w:w="100"/>
              <w:left w:type="dxa" w:w="120"/>
              <w:bottom w:type="dxa" w:w="100"/>
              <w:right w:type="dxa" w:w="120"/>
            </w:tcMar>
          </w:tcPr>
          <w:p>
            <w:r>
              <w:rPr>
                <w:b/>
                <w:bCs/>
                <w:color w:val="FFFFFF"/>
                <w:sz w:val="19"/>
                <w:szCs w:val="19"/>
              </w:rPr>
              <w:t xml:space="preserve">Overlap %</w:t>
            </w:r>
          </w:p>
        </w:tc>
      </w:tr>
      <w:tr>
        <w:tc>
          <w:tcPr>
            <w:tcW w:type="dxa" w:w="2600"/>
            <w:shd w:fill="FFFFFF" w:val="clear"/>
            <w:tcMar>
              <w:top w:type="dxa" w:w="90"/>
              <w:left w:type="dxa" w:w="120"/>
              <w:bottom w:type="dxa" w:w="90"/>
              <w:right w:type="dxa" w:w="120"/>
            </w:tcMar>
          </w:tcPr>
          <w:p>
            <w:r>
              <w:rPr>
                <w:sz w:val="19"/>
                <w:szCs w:val="19"/>
              </w:rPr>
              <w:t xml:space="preserve">6 months</w:t>
            </w:r>
          </w:p>
        </w:tc>
        <w:tc>
          <w:tcPr>
            <w:tcW w:type="dxa" w:w="3600"/>
            <w:shd w:fill="FFFFFF" w:val="clear"/>
            <w:tcMar>
              <w:top w:type="dxa" w:w="90"/>
              <w:left w:type="dxa" w:w="120"/>
              <w:bottom w:type="dxa" w:w="90"/>
              <w:right w:type="dxa" w:w="120"/>
            </w:tcMar>
          </w:tcPr>
          <w:p>
            <w:r>
              <w:rPr>
                <w:sz w:val="19"/>
                <w:szCs w:val="19"/>
              </w:rPr>
              <w:t xml:space="preserve">1,689 / 2,067</w:t>
            </w:r>
          </w:p>
        </w:tc>
        <w:tc>
          <w:tcPr>
            <w:tcW w:type="dxa" w:w="3200"/>
            <w:shd w:fill="FFFFFF" w:val="clear"/>
            <w:tcMar>
              <w:top w:type="dxa" w:w="90"/>
              <w:left w:type="dxa" w:w="120"/>
              <w:bottom w:type="dxa" w:w="90"/>
              <w:right w:type="dxa" w:w="120"/>
            </w:tcMar>
          </w:tcPr>
          <w:p>
            <w:r>
              <w:rPr>
                <w:sz w:val="19"/>
                <w:szCs w:val="19"/>
              </w:rPr>
              <w:t xml:space="preserve">81.7%</w:t>
            </w:r>
          </w:p>
        </w:tc>
      </w:tr>
      <w:tr>
        <w:tc>
          <w:tcPr>
            <w:tcW w:type="dxa" w:w="2600"/>
            <w:shd w:fill="F2F2F2" w:val="clear"/>
            <w:tcMar>
              <w:top w:type="dxa" w:w="90"/>
              <w:left w:type="dxa" w:w="120"/>
              <w:bottom w:type="dxa" w:w="90"/>
              <w:right w:type="dxa" w:w="120"/>
            </w:tcMar>
          </w:tcPr>
          <w:p>
            <w:r>
              <w:rPr>
                <w:sz w:val="19"/>
                <w:szCs w:val="19"/>
              </w:rPr>
              <w:t xml:space="preserve">12 months</w:t>
            </w:r>
          </w:p>
        </w:tc>
        <w:tc>
          <w:tcPr>
            <w:tcW w:type="dxa" w:w="3600"/>
            <w:shd w:fill="F2F2F2" w:val="clear"/>
            <w:tcMar>
              <w:top w:type="dxa" w:w="90"/>
              <w:left w:type="dxa" w:w="120"/>
              <w:bottom w:type="dxa" w:w="90"/>
              <w:right w:type="dxa" w:w="120"/>
            </w:tcMar>
          </w:tcPr>
          <w:p>
            <w:r>
              <w:rPr>
                <w:sz w:val="19"/>
                <w:szCs w:val="19"/>
              </w:rPr>
              <w:t xml:space="preserve">1,420 / 2,067</w:t>
            </w:r>
          </w:p>
        </w:tc>
        <w:tc>
          <w:tcPr>
            <w:tcW w:type="dxa" w:w="3200"/>
            <w:shd w:fill="F2F2F2" w:val="clear"/>
            <w:tcMar>
              <w:top w:type="dxa" w:w="90"/>
              <w:left w:type="dxa" w:w="120"/>
              <w:bottom w:type="dxa" w:w="90"/>
              <w:right w:type="dxa" w:w="120"/>
            </w:tcMar>
          </w:tcPr>
          <w:p>
            <w:r>
              <w:rPr>
                <w:sz w:val="19"/>
                <w:szCs w:val="19"/>
              </w:rPr>
              <w:t xml:space="preserve">68.7%</w:t>
            </w:r>
          </w:p>
        </w:tc>
      </w:tr>
      <w:tr>
        <w:tc>
          <w:tcPr>
            <w:tcW w:type="dxa" w:w="2600"/>
            <w:shd w:fill="FFFFFF" w:val="clear"/>
            <w:tcMar>
              <w:top w:type="dxa" w:w="90"/>
              <w:left w:type="dxa" w:w="120"/>
              <w:bottom w:type="dxa" w:w="90"/>
              <w:right w:type="dxa" w:w="120"/>
            </w:tcMar>
          </w:tcPr>
          <w:p>
            <w:r>
              <w:rPr>
                <w:sz w:val="19"/>
                <w:szCs w:val="19"/>
              </w:rPr>
              <w:t xml:space="preserve">18 months</w:t>
            </w:r>
          </w:p>
        </w:tc>
        <w:tc>
          <w:tcPr>
            <w:tcW w:type="dxa" w:w="3600"/>
            <w:shd w:fill="FFFFFF" w:val="clear"/>
            <w:tcMar>
              <w:top w:type="dxa" w:w="90"/>
              <w:left w:type="dxa" w:w="120"/>
              <w:bottom w:type="dxa" w:w="90"/>
              <w:right w:type="dxa" w:w="120"/>
            </w:tcMar>
          </w:tcPr>
          <w:p>
            <w:r>
              <w:rPr>
                <w:sz w:val="19"/>
                <w:szCs w:val="19"/>
              </w:rPr>
              <w:t xml:space="preserve">1,138 / 2,067</w:t>
            </w:r>
          </w:p>
        </w:tc>
        <w:tc>
          <w:tcPr>
            <w:tcW w:type="dxa" w:w="3200"/>
            <w:shd w:fill="FFFFFF" w:val="clear"/>
            <w:tcMar>
              <w:top w:type="dxa" w:w="90"/>
              <w:left w:type="dxa" w:w="120"/>
              <w:bottom w:type="dxa" w:w="90"/>
              <w:right w:type="dxa" w:w="120"/>
            </w:tcMar>
          </w:tcPr>
          <w:p>
            <w:r>
              <w:rPr>
                <w:sz w:val="19"/>
                <w:szCs w:val="19"/>
              </w:rPr>
              <w:t xml:space="preserve">55.1%</w:t>
            </w:r>
          </w:p>
        </w:tc>
      </w:tr>
      <w:tr>
        <w:tc>
          <w:tcPr>
            <w:tcW w:type="dxa" w:w="2600"/>
            <w:shd w:fill="F2F2F2" w:val="clear"/>
            <w:tcMar>
              <w:top w:type="dxa" w:w="90"/>
              <w:left w:type="dxa" w:w="120"/>
              <w:bottom w:type="dxa" w:w="90"/>
              <w:right w:type="dxa" w:w="120"/>
            </w:tcMar>
          </w:tcPr>
          <w:p>
            <w:r>
              <w:rPr>
                <w:sz w:val="19"/>
                <w:szCs w:val="19"/>
              </w:rPr>
              <w:t xml:space="preserve">24 months</w:t>
            </w:r>
          </w:p>
        </w:tc>
        <w:tc>
          <w:tcPr>
            <w:tcW w:type="dxa" w:w="3600"/>
            <w:shd w:fill="F2F2F2" w:val="clear"/>
            <w:tcMar>
              <w:top w:type="dxa" w:w="90"/>
              <w:left w:type="dxa" w:w="120"/>
              <w:bottom w:type="dxa" w:w="90"/>
              <w:right w:type="dxa" w:w="120"/>
            </w:tcMar>
          </w:tcPr>
          <w:p>
            <w:r>
              <w:rPr>
                <w:sz w:val="19"/>
                <w:szCs w:val="19"/>
              </w:rPr>
              <w:t xml:space="preserve">951 / 2,067</w:t>
            </w:r>
          </w:p>
        </w:tc>
        <w:tc>
          <w:tcPr>
            <w:tcW w:type="dxa" w:w="3200"/>
            <w:shd w:fill="F2F2F2" w:val="clear"/>
            <w:tcMar>
              <w:top w:type="dxa" w:w="90"/>
              <w:left w:type="dxa" w:w="120"/>
              <w:bottom w:type="dxa" w:w="90"/>
              <w:right w:type="dxa" w:w="120"/>
            </w:tcMar>
          </w:tcPr>
          <w:p>
            <w:r>
              <w:rPr>
                <w:sz w:val="19"/>
                <w:szCs w:val="19"/>
              </w:rPr>
              <w:t xml:space="preserve">46.0%</w:t>
            </w:r>
          </w:p>
        </w:tc>
      </w:tr>
    </w:tbl>
    <w:p>
      <w:pPr>
        <w:spacing w:after="150" w:line="300"/>
      </w:pPr>
      <w:r>
        <w:rPr>
          <w:sz w:val="21"/>
          <w:szCs w:val="21"/>
        </w:rPr>
        <w:t xml:space="preserve"/>
      </w:r>
    </w:p>
    <w:p>
      <w:pPr>
        <w:spacing w:after="150" w:line="300"/>
      </w:pPr>
      <w:r>
        <w:rPr>
          <w:sz w:val="21"/>
          <w:szCs w:val="21"/>
        </w:rPr>
        <w:t xml:space="preserve">The overlap shrinks as the threshold lengthens — a longer threshold gives late-cancelling customers less time to 'prove' inactivity. This confirmed that formal cancellation and behavioral inactivity are related but distinct signals, which is exactly why the two are combined with OR logic rather than AND: an AND condition would have excluded genuine churners simply because of cancellation timing.</w:t>
      </w:r>
    </w:p>
    <w:p>
      <w:pPr>
        <w:spacing w:after="100" w:before="200"/>
      </w:pPr>
      <w:r>
        <w:rPr>
          <w:b/>
          <w:bCs/>
          <w:color w:val="C0621B"/>
          <w:sz w:val="22"/>
          <w:szCs w:val="22"/>
        </w:rPr>
        <w:t xml:space="preserve">Diagnostic 2 — Chi-square test of association</w:t>
      </w:r>
    </w:p>
    <w:p>
      <w:pPr>
        <w:spacing w:after="150" w:line="300"/>
      </w:pPr>
      <w:r>
        <w:rPr>
          <w:sz w:val="21"/>
          <w:szCs w:val="21"/>
        </w:rPr>
        <w:t xml:space="preserve">A chi-square test of independence was run between formal cancellation and behavioral churn at each threshold, to check whether the two signals were statistically associated.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44546A" w:val="clear"/>
            <w:tcMar>
              <w:top w:type="dxa" w:w="100"/>
              <w:left w:type="dxa" w:w="120"/>
              <w:bottom w:type="dxa" w:w="100"/>
              <w:right w:type="dxa" w:w="120"/>
            </w:tcMar>
          </w:tcPr>
          <w:p>
            <w:r>
              <w:rPr>
                <w:b/>
                <w:bCs/>
                <w:color w:val="FFFFFF"/>
                <w:sz w:val="19"/>
                <w:szCs w:val="19"/>
              </w:rPr>
              <w:t xml:space="preserve">Threshold</w:t>
            </w:r>
          </w:p>
        </w:tc>
        <w:tc>
          <w:tcPr>
            <w:tcW w:type="dxa" w:w="3600"/>
            <w:shd w:fill="44546A" w:val="clear"/>
            <w:tcMar>
              <w:top w:type="dxa" w:w="100"/>
              <w:left w:type="dxa" w:w="120"/>
              <w:bottom w:type="dxa" w:w="100"/>
              <w:right w:type="dxa" w:w="120"/>
            </w:tcMar>
          </w:tcPr>
          <w:p>
            <w:r>
              <w:rPr>
                <w:b/>
                <w:bCs/>
                <w:color w:val="FFFFFF"/>
                <w:sz w:val="19"/>
                <w:szCs w:val="19"/>
              </w:rPr>
              <w:t xml:space="preserve">Chi-square Statistic</w:t>
            </w:r>
          </w:p>
        </w:tc>
        <w:tc>
          <w:tcPr>
            <w:tcW w:type="dxa" w:w="3200"/>
            <w:shd w:fill="44546A" w:val="clear"/>
            <w:tcMar>
              <w:top w:type="dxa" w:w="100"/>
              <w:left w:type="dxa" w:w="120"/>
              <w:bottom w:type="dxa" w:w="100"/>
              <w:right w:type="dxa" w:w="120"/>
            </w:tcMar>
          </w:tcPr>
          <w:p>
            <w:r>
              <w:rPr>
                <w:b/>
                <w:bCs/>
                <w:color w:val="FFFFFF"/>
                <w:sz w:val="19"/>
                <w:szCs w:val="19"/>
              </w:rPr>
              <w:t xml:space="preserve">P-value</w:t>
            </w:r>
          </w:p>
        </w:tc>
      </w:tr>
      <w:tr>
        <w:tc>
          <w:tcPr>
            <w:tcW w:type="dxa" w:w="2600"/>
            <w:shd w:fill="FFFFFF" w:val="clear"/>
            <w:tcMar>
              <w:top w:type="dxa" w:w="90"/>
              <w:left w:type="dxa" w:w="120"/>
              <w:bottom w:type="dxa" w:w="90"/>
              <w:right w:type="dxa" w:w="120"/>
            </w:tcMar>
          </w:tcPr>
          <w:p>
            <w:r>
              <w:rPr>
                <w:sz w:val="19"/>
                <w:szCs w:val="19"/>
              </w:rPr>
              <w:t xml:space="preserve">6 months</w:t>
            </w:r>
          </w:p>
        </w:tc>
        <w:tc>
          <w:tcPr>
            <w:tcW w:type="dxa" w:w="3600"/>
            <w:shd w:fill="FFFFFF" w:val="clear"/>
            <w:tcMar>
              <w:top w:type="dxa" w:w="90"/>
              <w:left w:type="dxa" w:w="120"/>
              <w:bottom w:type="dxa" w:w="90"/>
              <w:right w:type="dxa" w:w="120"/>
            </w:tcMar>
          </w:tcPr>
          <w:p>
            <w:r>
              <w:rPr>
                <w:sz w:val="19"/>
                <w:szCs w:val="19"/>
              </w:rPr>
              <w:t xml:space="preserve">8,800.43</w:t>
            </w:r>
          </w:p>
        </w:tc>
        <w:tc>
          <w:tcPr>
            <w:tcW w:type="dxa" w:w="3200"/>
            <w:shd w:fill="FFFFFF" w:val="clear"/>
            <w:tcMar>
              <w:top w:type="dxa" w:w="90"/>
              <w:left w:type="dxa" w:w="120"/>
              <w:bottom w:type="dxa" w:w="90"/>
              <w:right w:type="dxa" w:w="120"/>
            </w:tcMar>
          </w:tcPr>
          <w:p>
            <w:r>
              <w:rPr>
                <w:sz w:val="19"/>
                <w:szCs w:val="19"/>
              </w:rPr>
              <w:t xml:space="preserve">&lt; 0.001</w:t>
            </w:r>
          </w:p>
        </w:tc>
      </w:tr>
      <w:tr>
        <w:tc>
          <w:tcPr>
            <w:tcW w:type="dxa" w:w="2600"/>
            <w:shd w:fill="F2F2F2" w:val="clear"/>
            <w:tcMar>
              <w:top w:type="dxa" w:w="90"/>
              <w:left w:type="dxa" w:w="120"/>
              <w:bottom w:type="dxa" w:w="90"/>
              <w:right w:type="dxa" w:w="120"/>
            </w:tcMar>
          </w:tcPr>
          <w:p>
            <w:r>
              <w:rPr>
                <w:sz w:val="19"/>
                <w:szCs w:val="19"/>
              </w:rPr>
              <w:t xml:space="preserve">12 months</w:t>
            </w:r>
          </w:p>
        </w:tc>
        <w:tc>
          <w:tcPr>
            <w:tcW w:type="dxa" w:w="3600"/>
            <w:shd w:fill="F2F2F2" w:val="clear"/>
            <w:tcMar>
              <w:top w:type="dxa" w:w="90"/>
              <w:left w:type="dxa" w:w="120"/>
              <w:bottom w:type="dxa" w:w="90"/>
              <w:right w:type="dxa" w:w="120"/>
            </w:tcMar>
          </w:tcPr>
          <w:p>
            <w:r>
              <w:rPr>
                <w:sz w:val="19"/>
                <w:szCs w:val="19"/>
              </w:rPr>
              <w:t xml:space="preserve">6,863.95</w:t>
            </w:r>
          </w:p>
        </w:tc>
        <w:tc>
          <w:tcPr>
            <w:tcW w:type="dxa" w:w="3200"/>
            <w:shd w:fill="F2F2F2" w:val="clear"/>
            <w:tcMar>
              <w:top w:type="dxa" w:w="90"/>
              <w:left w:type="dxa" w:w="120"/>
              <w:bottom w:type="dxa" w:w="90"/>
              <w:right w:type="dxa" w:w="120"/>
            </w:tcMar>
          </w:tcPr>
          <w:p>
            <w:r>
              <w:rPr>
                <w:sz w:val="19"/>
                <w:szCs w:val="19"/>
              </w:rPr>
              <w:t xml:space="preserve">&lt; 0.001</w:t>
            </w:r>
          </w:p>
        </w:tc>
      </w:tr>
      <w:tr>
        <w:tc>
          <w:tcPr>
            <w:tcW w:type="dxa" w:w="2600"/>
            <w:shd w:fill="FFFFFF" w:val="clear"/>
            <w:tcMar>
              <w:top w:type="dxa" w:w="90"/>
              <w:left w:type="dxa" w:w="120"/>
              <w:bottom w:type="dxa" w:w="90"/>
              <w:right w:type="dxa" w:w="120"/>
            </w:tcMar>
          </w:tcPr>
          <w:p>
            <w:r>
              <w:rPr>
                <w:sz w:val="19"/>
                <w:szCs w:val="19"/>
              </w:rPr>
              <w:t xml:space="preserve">18 months</w:t>
            </w:r>
          </w:p>
        </w:tc>
        <w:tc>
          <w:tcPr>
            <w:tcW w:type="dxa" w:w="3600"/>
            <w:shd w:fill="FFFFFF" w:val="clear"/>
            <w:tcMar>
              <w:top w:type="dxa" w:w="90"/>
              <w:left w:type="dxa" w:w="120"/>
              <w:bottom w:type="dxa" w:w="90"/>
              <w:right w:type="dxa" w:w="120"/>
            </w:tcMar>
          </w:tcPr>
          <w:p>
            <w:r>
              <w:rPr>
                <w:sz w:val="19"/>
                <w:szCs w:val="19"/>
              </w:rPr>
              <w:t xml:space="preserve">4,913.22</w:t>
            </w:r>
          </w:p>
        </w:tc>
        <w:tc>
          <w:tcPr>
            <w:tcW w:type="dxa" w:w="3200"/>
            <w:shd w:fill="FFFFFF" w:val="clear"/>
            <w:tcMar>
              <w:top w:type="dxa" w:w="90"/>
              <w:left w:type="dxa" w:w="120"/>
              <w:bottom w:type="dxa" w:w="90"/>
              <w:right w:type="dxa" w:w="120"/>
            </w:tcMar>
          </w:tcPr>
          <w:p>
            <w:r>
              <w:rPr>
                <w:sz w:val="19"/>
                <w:szCs w:val="19"/>
              </w:rPr>
              <w:t xml:space="preserve">&lt; 0.001</w:t>
            </w:r>
          </w:p>
        </w:tc>
      </w:tr>
      <w:tr>
        <w:tc>
          <w:tcPr>
            <w:tcW w:type="dxa" w:w="2600"/>
            <w:shd w:fill="F2F2F2" w:val="clear"/>
            <w:tcMar>
              <w:top w:type="dxa" w:w="90"/>
              <w:left w:type="dxa" w:w="120"/>
              <w:bottom w:type="dxa" w:w="90"/>
              <w:right w:type="dxa" w:w="120"/>
            </w:tcMar>
          </w:tcPr>
          <w:p>
            <w:r>
              <w:rPr>
                <w:sz w:val="19"/>
                <w:szCs w:val="19"/>
              </w:rPr>
              <w:t xml:space="preserve">24 months</w:t>
            </w:r>
          </w:p>
        </w:tc>
        <w:tc>
          <w:tcPr>
            <w:tcW w:type="dxa" w:w="3600"/>
            <w:shd w:fill="F2F2F2" w:val="clear"/>
            <w:tcMar>
              <w:top w:type="dxa" w:w="90"/>
              <w:left w:type="dxa" w:w="120"/>
              <w:bottom w:type="dxa" w:w="90"/>
              <w:right w:type="dxa" w:w="120"/>
            </w:tcMar>
          </w:tcPr>
          <w:p>
            <w:r>
              <w:rPr>
                <w:sz w:val="19"/>
                <w:szCs w:val="19"/>
              </w:rPr>
              <w:t xml:space="preserve">3,717.09</w:t>
            </w:r>
          </w:p>
        </w:tc>
        <w:tc>
          <w:tcPr>
            <w:tcW w:type="dxa" w:w="3200"/>
            <w:shd w:fill="F2F2F2" w:val="clear"/>
            <w:tcMar>
              <w:top w:type="dxa" w:w="90"/>
              <w:left w:type="dxa" w:w="120"/>
              <w:bottom w:type="dxa" w:w="90"/>
              <w:right w:type="dxa" w:w="120"/>
            </w:tcMar>
          </w:tcPr>
          <w:p>
            <w:r>
              <w:rPr>
                <w:sz w:val="19"/>
                <w:szCs w:val="19"/>
              </w:rPr>
              <w:t xml:space="preserve">&lt; 0.001</w:t>
            </w:r>
          </w:p>
        </w:tc>
      </w:tr>
    </w:tbl>
    <w:p>
      <w:pPr>
        <w:spacing w:after="150" w:line="300"/>
      </w:pPr>
      <w:r>
        <w:rPr>
          <w:sz w:val="21"/>
          <w:szCs w:val="21"/>
        </w:rPr>
        <w:t xml:space="preserve"/>
      </w:r>
    </w:p>
    <w:p>
      <w:pPr>
        <w:spacing w:after="150" w:line="300"/>
      </w:pPr>
      <w:r>
        <w:rPr>
          <w:sz w:val="21"/>
          <w:szCs w:val="21"/>
        </w:rPr>
        <w:t xml:space="preserve">All four thresholds showed a highly significant association — but that association is strongest at the shortest threshold. This is an important nuance: a threshold that maximizes agreement with formal cancellation is, by definition, the one that adds the least new information. Since the entire purpose of a behavioral definition is to catch what formal cancellation misses, the chi-square result was treated as a supporting diagnostic rather than the deciding factor.</w:t>
      </w:r>
    </w:p>
    <w:p>
      <w:pPr>
        <w:spacing w:after="100" w:before="200"/>
      </w:pPr>
      <w:r>
        <w:rPr>
          <w:b/>
          <w:bCs/>
          <w:color w:val="C0621B"/>
          <w:sz w:val="22"/>
          <w:szCs w:val="22"/>
        </w:rPr>
        <w:t xml:space="preserve">Final decision</w:t>
      </w:r>
    </w:p>
    <w:tbl>
      <w:tblPr>
        <w:tblW w:type="pct" w:w="100%"/>
        <w:tblBorders>
          <w:top w:val="single" w:color="FFFFFF" w:sz="4"/>
          <w:left w:val="single" w:color="0F6E56" w:sz="24"/>
          <w:bottom w:val="single" w:color="FFFFFF" w:sz="4"/>
          <w:right w:val="single" w:color="FFFFFF" w:sz="4"/>
          <w:insideH w:val="single" w:color="auto" w:sz="4"/>
          <w:insideV w:val="single" w:color="auto" w:sz="4"/>
        </w:tblBorders>
      </w:tblPr>
      <w:tblGrid>
        <w:gridCol w:w="100"/>
      </w:tblGrid>
      <w:tr>
        <w:tc>
          <w:tcPr>
            <w:shd w:fill="F5F5F5" w:val="clear"/>
            <w:tcMar>
              <w:top w:type="dxa" w:w="150"/>
              <w:left w:type="dxa" w:w="250"/>
              <w:bottom w:type="dxa" w:w="150"/>
              <w:right w:type="dxa" w:w="250"/>
            </w:tcMar>
          </w:tcPr>
          <w:p>
            <w:pPr>
              <w:spacing w:after="80"/>
            </w:pPr>
            <w:r>
              <w:rPr>
                <w:b/>
                <w:bCs/>
                <w:color w:val="0F6E56"/>
                <w:sz w:val="21"/>
                <w:szCs w:val="21"/>
              </w:rPr>
              <w:t xml:space="preserve">12-month threshold selected</w:t>
            </w:r>
          </w:p>
          <w:p>
            <w:pPr>
              <w:spacing w:after="40"/>
            </w:pPr>
            <w:r>
              <w:rPr>
                <w:sz w:val="20"/>
                <w:szCs w:val="20"/>
              </w:rPr>
              <w:t xml:space="preserve">• 6 months is too aggressive as a standalone recency cutoff and produces a narrower behavioral signal that closely mirrors formal cancellation (81.7% overlap) — it adds little beyond what cancellation already tells you.</w:t>
            </w:r>
          </w:p>
          <w:p>
            <w:pPr>
              <w:spacing w:after="40"/>
            </w:pPr>
            <w:r>
              <w:rPr>
                <w:sz w:val="20"/>
                <w:szCs w:val="20"/>
              </w:rPr>
              <w:t xml:space="preserve">• 24 months is too lenient — it waits almost the entire observation window before calling someone inactive, delaying detection of genuine disengagement.</w:t>
            </w:r>
          </w:p>
          <w:p>
            <w:pPr>
              <w:spacing w:after="40"/>
            </w:pPr>
            <w:r>
              <w:rPr>
                <w:sz w:val="20"/>
                <w:szCs w:val="20"/>
              </w:rPr>
              <w:t xml:space="preserve">• 12 months is the balanced middle ground: long enough to be a meaningful, deliberate signal of disengagement rather than a normal lull in travel, short enough to still catch churners early enough for retention action, and it showed a defensible, non-trivial association with formal cancellation without simply duplicating it.</w:t>
            </w:r>
          </w:p>
        </w:tc>
      </w:tr>
    </w:tbl>
    <w:p>
      <w:pPr>
        <w:spacing w:after="150" w:line="300"/>
      </w:pPr>
      <w:r>
        <w:rPr>
          <w:sz w:val="21"/>
          <w:szCs w:val="21"/>
        </w:rPr>
        <w:t xml:space="preserve"/>
      </w:r>
    </w:p>
    <w:p>
      <w:pPr>
        <w:spacing w:after="100" w:before="200"/>
      </w:pPr>
      <w:r>
        <w:rPr>
          <w:b/>
          <w:bCs/>
          <w:color w:val="C0621B"/>
          <w:sz w:val="22"/>
          <w:szCs w:val="22"/>
        </w:rPr>
        <w:t xml:space="preserve">Final churn label</w:t>
      </w:r>
    </w:p>
    <w:p>
      <w:pPr>
        <w:spacing w:after="150" w:line="300"/>
      </w:pPr>
      <w:r>
        <w:rPr>
          <w:i/>
          <w:iCs/>
          <w:color w:val="1F3864"/>
          <w:sz w:val="21"/>
          <w:szCs w:val="21"/>
        </w:rPr>
        <w:t xml:space="preserve">churned = formally_cancelled OR (months_since_last_flight &gt;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800"/>
      </w:tblGrid>
      <w:tr>
        <w:trPr>
          <w:tblHeader/>
        </w:trPr>
        <w:tc>
          <w:tcPr>
            <w:tcW w:type="dxa" w:w="3600"/>
            <w:shd w:fill="44546A" w:val="clear"/>
            <w:tcMar>
              <w:top w:type="dxa" w:w="100"/>
              <w:left w:type="dxa" w:w="120"/>
              <w:bottom w:type="dxa" w:w="100"/>
              <w:right w:type="dxa" w:w="120"/>
            </w:tcMar>
          </w:tcPr>
          <w:p>
            <w:r>
              <w:rPr>
                <w:b/>
                <w:bCs/>
                <w:color w:val="FFFFFF"/>
                <w:sz w:val="19"/>
                <w:szCs w:val="19"/>
              </w:rPr>
              <w:t xml:space="preserve">Outcome</w:t>
            </w:r>
          </w:p>
        </w:tc>
        <w:tc>
          <w:tcPr>
            <w:tcW w:type="dxa" w:w="3000"/>
            <w:shd w:fill="44546A" w:val="clear"/>
            <w:tcMar>
              <w:top w:type="dxa" w:w="100"/>
              <w:left w:type="dxa" w:w="120"/>
              <w:bottom w:type="dxa" w:w="100"/>
              <w:right w:type="dxa" w:w="120"/>
            </w:tcMar>
          </w:tcPr>
          <w:p>
            <w:r>
              <w:rPr>
                <w:b/>
                <w:bCs/>
                <w:color w:val="FFFFFF"/>
                <w:sz w:val="19"/>
                <w:szCs w:val="19"/>
              </w:rPr>
              <w:t xml:space="preserve">Count</w:t>
            </w:r>
          </w:p>
        </w:tc>
        <w:tc>
          <w:tcPr>
            <w:tcW w:type="dxa" w:w="2800"/>
            <w:shd w:fill="44546A" w:val="clear"/>
            <w:tcMar>
              <w:top w:type="dxa" w:w="100"/>
              <w:left w:type="dxa" w:w="120"/>
              <w:bottom w:type="dxa" w:w="100"/>
              <w:right w:type="dxa" w:w="120"/>
            </w:tcMar>
          </w:tcPr>
          <w:p>
            <w:r>
              <w:rPr>
                <w:b/>
                <w:bCs/>
                <w:color w:val="FFFFFF"/>
                <w:sz w:val="19"/>
                <w:szCs w:val="19"/>
              </w:rPr>
              <w:t xml:space="preserve">%</w:t>
            </w:r>
          </w:p>
        </w:tc>
      </w:tr>
      <w:tr>
        <w:tc>
          <w:tcPr>
            <w:tcW w:type="dxa" w:w="3600"/>
            <w:shd w:fill="FFFFFF" w:val="clear"/>
            <w:tcMar>
              <w:top w:type="dxa" w:w="90"/>
              <w:left w:type="dxa" w:w="120"/>
              <w:bottom w:type="dxa" w:w="90"/>
              <w:right w:type="dxa" w:w="120"/>
            </w:tcMar>
          </w:tcPr>
          <w:p>
            <w:r>
              <w:rPr>
                <w:sz w:val="19"/>
                <w:szCs w:val="19"/>
              </w:rPr>
              <w:t xml:space="preserve">Not churned</w:t>
            </w:r>
          </w:p>
        </w:tc>
        <w:tc>
          <w:tcPr>
            <w:tcW w:type="dxa" w:w="3000"/>
            <w:shd w:fill="FFFFFF" w:val="clear"/>
            <w:tcMar>
              <w:top w:type="dxa" w:w="90"/>
              <w:left w:type="dxa" w:w="120"/>
              <w:bottom w:type="dxa" w:w="90"/>
              <w:right w:type="dxa" w:w="120"/>
            </w:tcMar>
          </w:tcPr>
          <w:p>
            <w:r>
              <w:rPr>
                <w:sz w:val="19"/>
                <w:szCs w:val="19"/>
              </w:rPr>
              <w:t xml:space="preserve">14,012</w:t>
            </w:r>
          </w:p>
        </w:tc>
        <w:tc>
          <w:tcPr>
            <w:tcW w:type="dxa" w:w="2800"/>
            <w:shd w:fill="FFFFFF" w:val="clear"/>
            <w:tcMar>
              <w:top w:type="dxa" w:w="90"/>
              <w:left w:type="dxa" w:w="120"/>
              <w:bottom w:type="dxa" w:w="90"/>
              <w:right w:type="dxa" w:w="120"/>
            </w:tcMar>
          </w:tcPr>
          <w:p>
            <w:r>
              <w:rPr>
                <w:sz w:val="19"/>
                <w:szCs w:val="19"/>
              </w:rPr>
              <w:t xml:space="preserve">83.7%</w:t>
            </w:r>
          </w:p>
        </w:tc>
      </w:tr>
      <w:tr>
        <w:tc>
          <w:tcPr>
            <w:tcW w:type="dxa" w:w="3600"/>
            <w:shd w:fill="F2F2F2" w:val="clear"/>
            <w:tcMar>
              <w:top w:type="dxa" w:w="90"/>
              <w:left w:type="dxa" w:w="120"/>
              <w:bottom w:type="dxa" w:w="90"/>
              <w:right w:type="dxa" w:w="120"/>
            </w:tcMar>
          </w:tcPr>
          <w:p>
            <w:r>
              <w:rPr>
                <w:sz w:val="19"/>
                <w:szCs w:val="19"/>
              </w:rPr>
              <w:t xml:space="preserve">Churned</w:t>
            </w:r>
          </w:p>
        </w:tc>
        <w:tc>
          <w:tcPr>
            <w:tcW w:type="dxa" w:w="3000"/>
            <w:shd w:fill="F2F2F2" w:val="clear"/>
            <w:tcMar>
              <w:top w:type="dxa" w:w="90"/>
              <w:left w:type="dxa" w:w="120"/>
              <w:bottom w:type="dxa" w:w="90"/>
              <w:right w:type="dxa" w:w="120"/>
            </w:tcMar>
          </w:tcPr>
          <w:p>
            <w:r>
              <w:rPr>
                <w:sz w:val="19"/>
                <w:szCs w:val="19"/>
              </w:rPr>
              <w:t xml:space="preserve">2,725</w:t>
            </w:r>
          </w:p>
        </w:tc>
        <w:tc>
          <w:tcPr>
            <w:tcW w:type="dxa" w:w="2800"/>
            <w:shd w:fill="F2F2F2" w:val="clear"/>
            <w:tcMar>
              <w:top w:type="dxa" w:w="90"/>
              <w:left w:type="dxa" w:w="120"/>
              <w:bottom w:type="dxa" w:w="90"/>
              <w:right w:type="dxa" w:w="120"/>
            </w:tcMar>
          </w:tcPr>
          <w:p>
            <w:r>
              <w:rPr>
                <w:sz w:val="19"/>
                <w:szCs w:val="19"/>
              </w:rPr>
              <w:t xml:space="preserve">16.3%</w:t>
            </w:r>
          </w:p>
        </w:tc>
      </w:tr>
    </w:tbl>
    <w:p>
      <w:pPr>
        <w:spacing w:after="150" w:line="300"/>
      </w:pPr>
      <w:r>
        <w:rPr>
          <w:sz w:val="21"/>
          <w:szCs w:val="21"/>
        </w:rPr>
        <w:t xml:space="preserve"/>
      </w:r>
    </w:p>
    <w:p>
      <w:pPr>
        <w:spacing w:after="150" w:line="300"/>
      </w:pPr>
      <w:r>
        <w:rPr>
          <w:sz w:val="21"/>
          <w:szCs w:val="21"/>
        </w:rPr>
        <w:t xml:space="preserve">A 16.3% churn rate is realistic and defensible for an airline loyalty program. The resulting class imbalance (84/16) is addressed later during model training rather than through oversampling.</w:t>
      </w:r>
    </w:p>
    <w:p>
      <w:r>
        <w:br w:type="page"/>
      </w:r>
    </w:p>
    <w:p>
      <w:pPr>
        <w:pStyle w:val="Heading1"/>
        <w:pBdr>
          <w:bottom w:val="single" w:color="1F3864" w:sz="8" w:space="4"/>
        </w:pBdr>
        <w:spacing w:after="200" w:before="400"/>
      </w:pPr>
      <w:r>
        <w:rPr>
          <w:b/>
          <w:bCs/>
          <w:color w:val="1F3864"/>
          <w:sz w:val="30"/>
          <w:szCs w:val="30"/>
        </w:rPr>
        <w:t xml:space="preserve">4. Feature Engineering</w:t>
      </w:r>
    </w:p>
    <w:p>
      <w:pPr>
        <w:spacing w:after="150" w:line="300"/>
      </w:pPr>
      <w:r>
        <w:rPr>
          <w:sz w:val="21"/>
          <w:szCs w:val="21"/>
        </w:rPr>
        <w:t xml:space="preserve">392,936 monthly flight records had to be collapsed into one row per customer, with every feature built to answer a specific question about that customer's behavior.</w:t>
      </w:r>
    </w:p>
    <w:p>
      <w:pPr>
        <w:pStyle w:val="Heading2"/>
        <w:spacing w:after="120" w:before="300"/>
      </w:pPr>
      <w:r>
        <w:rPr>
          <w:b/>
          <w:bCs/>
          <w:color w:val="0F6E56"/>
          <w:sz w:val="25"/>
          <w:szCs w:val="25"/>
        </w:rPr>
        <w:t xml:space="preserve">4.1 Demographic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44546A" w:val="clear"/>
            <w:tcMar>
              <w:top w:type="dxa" w:w="100"/>
              <w:left w:type="dxa" w:w="120"/>
              <w:bottom w:type="dxa" w:w="100"/>
              <w:right w:type="dxa" w:w="120"/>
            </w:tcMar>
          </w:tcPr>
          <w:p>
            <w:r>
              <w:rPr>
                <w:b/>
                <w:bCs/>
                <w:color w:val="FFFFFF"/>
                <w:sz w:val="19"/>
                <w:szCs w:val="19"/>
              </w:rPr>
              <w:t xml:space="preserve">Feature</w:t>
            </w:r>
          </w:p>
        </w:tc>
        <w:tc>
          <w:tcPr>
            <w:tcW w:type="dxa" w:w="3400"/>
            <w:shd w:fill="44546A" w:val="clear"/>
            <w:tcMar>
              <w:top w:type="dxa" w:w="100"/>
              <w:left w:type="dxa" w:w="120"/>
              <w:bottom w:type="dxa" w:w="100"/>
              <w:right w:type="dxa" w:w="120"/>
            </w:tcMar>
          </w:tcPr>
          <w:p>
            <w:r>
              <w:rPr>
                <w:b/>
                <w:bCs/>
                <w:color w:val="FFFFFF"/>
                <w:sz w:val="19"/>
                <w:szCs w:val="19"/>
              </w:rPr>
              <w:t xml:space="preserve">What it captures</w:t>
            </w:r>
          </w:p>
        </w:tc>
        <w:tc>
          <w:tcPr>
            <w:tcW w:type="dxa" w:w="3400"/>
            <w:shd w:fill="44546A" w:val="clear"/>
            <w:tcMar>
              <w:top w:type="dxa" w:w="100"/>
              <w:left w:type="dxa" w:w="120"/>
              <w:bottom w:type="dxa" w:w="100"/>
              <w:right w:type="dxa" w:w="120"/>
            </w:tcMar>
          </w:tcPr>
          <w:p>
            <w:r>
              <w:rPr>
                <w:b/>
                <w:bCs/>
                <w:color w:val="FFFFFF"/>
                <w:sz w:val="19"/>
                <w:szCs w:val="19"/>
              </w:rPr>
              <w:t xml:space="preserve">Why it was built</w:t>
            </w:r>
          </w:p>
        </w:tc>
      </w:tr>
      <w:tr>
        <w:tc>
          <w:tcPr>
            <w:tcW w:type="dxa" w:w="2600"/>
            <w:shd w:fill="FFFFFF" w:val="clear"/>
            <w:tcMar>
              <w:top w:type="dxa" w:w="90"/>
              <w:left w:type="dxa" w:w="120"/>
              <w:bottom w:type="dxa" w:w="90"/>
              <w:right w:type="dxa" w:w="120"/>
            </w:tcMar>
          </w:tcPr>
          <w:p>
            <w:r>
              <w:rPr>
                <w:sz w:val="19"/>
                <w:szCs w:val="19"/>
              </w:rPr>
              <w:t xml:space="preserve">Tenure_Months</w:t>
            </w:r>
          </w:p>
        </w:tc>
        <w:tc>
          <w:tcPr>
            <w:tcW w:type="dxa" w:w="3400"/>
            <w:shd w:fill="FFFFFF" w:val="clear"/>
            <w:tcMar>
              <w:top w:type="dxa" w:w="90"/>
              <w:left w:type="dxa" w:w="120"/>
              <w:bottom w:type="dxa" w:w="90"/>
              <w:right w:type="dxa" w:w="120"/>
            </w:tcMar>
          </w:tcPr>
          <w:p>
            <w:r>
              <w:rPr>
                <w:sz w:val="19"/>
                <w:szCs w:val="19"/>
              </w:rPr>
              <w:t xml:space="preserve">Time since enrollment</w:t>
            </w:r>
          </w:p>
        </w:tc>
        <w:tc>
          <w:tcPr>
            <w:tcW w:type="dxa" w:w="3400"/>
            <w:shd w:fill="FFFFFF" w:val="clear"/>
            <w:tcMar>
              <w:top w:type="dxa" w:w="90"/>
              <w:left w:type="dxa" w:w="120"/>
              <w:bottom w:type="dxa" w:w="90"/>
              <w:right w:type="dxa" w:w="120"/>
            </w:tcMar>
          </w:tcPr>
          <w:p>
            <w:r>
              <w:rPr>
                <w:sz w:val="19"/>
                <w:szCs w:val="19"/>
              </w:rPr>
              <w:t xml:space="preserve">Longer tenure customers tend to have more established habits and loyalty</w:t>
            </w:r>
          </w:p>
        </w:tc>
      </w:tr>
      <w:tr>
        <w:tc>
          <w:tcPr>
            <w:tcW w:type="dxa" w:w="2600"/>
            <w:shd w:fill="F2F2F2" w:val="clear"/>
            <w:tcMar>
              <w:top w:type="dxa" w:w="90"/>
              <w:left w:type="dxa" w:w="120"/>
              <w:bottom w:type="dxa" w:w="90"/>
              <w:right w:type="dxa" w:w="120"/>
            </w:tcMar>
          </w:tcPr>
          <w:p>
            <w:r>
              <w:rPr>
                <w:sz w:val="19"/>
                <w:szCs w:val="19"/>
              </w:rPr>
              <w:t xml:space="preserve">Region (East/West/North)</w:t>
            </w:r>
          </w:p>
        </w:tc>
        <w:tc>
          <w:tcPr>
            <w:tcW w:type="dxa" w:w="3400"/>
            <w:shd w:fill="F2F2F2" w:val="clear"/>
            <w:tcMar>
              <w:top w:type="dxa" w:w="90"/>
              <w:left w:type="dxa" w:w="120"/>
              <w:bottom w:type="dxa" w:w="90"/>
              <w:right w:type="dxa" w:w="120"/>
            </w:tcMar>
          </w:tcPr>
          <w:p>
            <w:r>
              <w:rPr>
                <w:sz w:val="19"/>
                <w:szCs w:val="19"/>
              </w:rPr>
              <w:t xml:space="preserve">Geography, consolidated from 11 provinces</w:t>
            </w:r>
          </w:p>
        </w:tc>
        <w:tc>
          <w:tcPr>
            <w:tcW w:type="dxa" w:w="3400"/>
            <w:shd w:fill="F2F2F2" w:val="clear"/>
            <w:tcMar>
              <w:top w:type="dxa" w:w="90"/>
              <w:left w:type="dxa" w:w="120"/>
              <w:bottom w:type="dxa" w:w="90"/>
              <w:right w:type="dxa" w:w="120"/>
            </w:tcMar>
          </w:tcPr>
          <w:p>
            <w:r>
              <w:rPr>
                <w:sz w:val="19"/>
                <w:szCs w:val="19"/>
              </w:rPr>
              <w:t xml:space="preserve">Raw provinces were too sparse (e.g. Yukon = 110 members) for a model to learn from reliably</w:t>
            </w:r>
          </w:p>
        </w:tc>
      </w:tr>
    </w:tbl>
    <w:p>
      <w:pPr>
        <w:spacing w:after="150" w:line="300"/>
      </w:pPr>
      <w:r>
        <w:rPr>
          <w:sz w:val="21"/>
          <w:szCs w:val="21"/>
        </w:rPr>
        <w:t xml:space="preserve"/>
      </w:r>
    </w:p>
    <w:p>
      <w:pPr>
        <w:pStyle w:val="Heading2"/>
        <w:spacing w:after="120" w:before="300"/>
      </w:pPr>
      <w:r>
        <w:rPr>
          <w:b/>
          <w:bCs/>
          <w:color w:val="0F6E56"/>
          <w:sz w:val="25"/>
          <w:szCs w:val="25"/>
        </w:rPr>
        <w:t xml:space="preserve">4.2 Behavioral / Volume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44546A" w:val="clear"/>
            <w:tcMar>
              <w:top w:type="dxa" w:w="100"/>
              <w:left w:type="dxa" w:w="120"/>
              <w:bottom w:type="dxa" w:w="100"/>
              <w:right w:type="dxa" w:w="120"/>
            </w:tcMar>
          </w:tcPr>
          <w:p>
            <w:r>
              <w:rPr>
                <w:b/>
                <w:bCs/>
                <w:color w:val="FFFFFF"/>
                <w:sz w:val="19"/>
                <w:szCs w:val="19"/>
              </w:rPr>
              <w:t xml:space="preserve">Feature</w:t>
            </w:r>
          </w:p>
        </w:tc>
        <w:tc>
          <w:tcPr>
            <w:tcW w:type="dxa" w:w="3200"/>
            <w:shd w:fill="44546A" w:val="clear"/>
            <w:tcMar>
              <w:top w:type="dxa" w:w="100"/>
              <w:left w:type="dxa" w:w="120"/>
              <w:bottom w:type="dxa" w:w="100"/>
              <w:right w:type="dxa" w:w="120"/>
            </w:tcMar>
          </w:tcPr>
          <w:p>
            <w:r>
              <w:rPr>
                <w:b/>
                <w:bCs/>
                <w:color w:val="FFFFFF"/>
                <w:sz w:val="19"/>
                <w:szCs w:val="19"/>
              </w:rPr>
              <w:t xml:space="preserve">What it captures</w:t>
            </w:r>
          </w:p>
        </w:tc>
        <w:tc>
          <w:tcPr>
            <w:tcW w:type="dxa" w:w="3200"/>
            <w:shd w:fill="44546A" w:val="clear"/>
            <w:tcMar>
              <w:top w:type="dxa" w:w="100"/>
              <w:left w:type="dxa" w:w="120"/>
              <w:bottom w:type="dxa" w:w="100"/>
              <w:right w:type="dxa" w:w="120"/>
            </w:tcMar>
          </w:tcPr>
          <w:p>
            <w:r>
              <w:rPr>
                <w:b/>
                <w:bCs/>
                <w:color w:val="FFFFFF"/>
                <w:sz w:val="19"/>
                <w:szCs w:val="19"/>
              </w:rPr>
              <w:t xml:space="preserve">Why it matters</w:t>
            </w:r>
          </w:p>
        </w:tc>
      </w:tr>
      <w:tr>
        <w:tc>
          <w:tcPr>
            <w:tcW w:type="dxa" w:w="3000"/>
            <w:shd w:fill="FFFFFF" w:val="clear"/>
            <w:tcMar>
              <w:top w:type="dxa" w:w="90"/>
              <w:left w:type="dxa" w:w="120"/>
              <w:bottom w:type="dxa" w:w="90"/>
              <w:right w:type="dxa" w:w="120"/>
            </w:tcMar>
          </w:tcPr>
          <w:p>
            <w:r>
              <w:rPr>
                <w:sz w:val="19"/>
                <w:szCs w:val="19"/>
              </w:rPr>
              <w:t xml:space="preserve">Total_Flights, Avg_Flights_Month, Max_Flights_Month</w:t>
            </w:r>
          </w:p>
        </w:tc>
        <w:tc>
          <w:tcPr>
            <w:tcW w:type="dxa" w:w="3200"/>
            <w:shd w:fill="FFFFFF" w:val="clear"/>
            <w:tcMar>
              <w:top w:type="dxa" w:w="90"/>
              <w:left w:type="dxa" w:w="120"/>
              <w:bottom w:type="dxa" w:w="90"/>
              <w:right w:type="dxa" w:w="120"/>
            </w:tcMar>
          </w:tcPr>
          <w:p>
            <w:r>
              <w:rPr>
                <w:sz w:val="19"/>
                <w:szCs w:val="19"/>
              </w:rPr>
              <w:t xml:space="preserve">Overall flying volume and intensity</w:t>
            </w:r>
          </w:p>
        </w:tc>
        <w:tc>
          <w:tcPr>
            <w:tcW w:type="dxa" w:w="3200"/>
            <w:shd w:fill="FFFFFF" w:val="clear"/>
            <w:tcMar>
              <w:top w:type="dxa" w:w="90"/>
              <w:left w:type="dxa" w:w="120"/>
              <w:bottom w:type="dxa" w:w="90"/>
              <w:right w:type="dxa" w:w="120"/>
            </w:tcMar>
          </w:tcPr>
          <w:p>
            <w:r>
              <w:rPr>
                <w:sz w:val="19"/>
                <w:szCs w:val="19"/>
              </w:rPr>
              <w:t xml:space="preserve">Baseline engagement level</w:t>
            </w:r>
          </w:p>
        </w:tc>
      </w:tr>
      <w:tr>
        <w:tc>
          <w:tcPr>
            <w:tcW w:type="dxa" w:w="3000"/>
            <w:shd w:fill="F2F2F2" w:val="clear"/>
            <w:tcMar>
              <w:top w:type="dxa" w:w="90"/>
              <w:left w:type="dxa" w:w="120"/>
              <w:bottom w:type="dxa" w:w="90"/>
              <w:right w:type="dxa" w:w="120"/>
            </w:tcMar>
          </w:tcPr>
          <w:p>
            <w:r>
              <w:rPr>
                <w:sz w:val="19"/>
                <w:szCs w:val="19"/>
              </w:rPr>
              <w:t xml:space="preserve">Total_Distance, Avg_Distance_Month</w:t>
            </w:r>
          </w:p>
        </w:tc>
        <w:tc>
          <w:tcPr>
            <w:tcW w:type="dxa" w:w="3200"/>
            <w:shd w:fill="F2F2F2" w:val="clear"/>
            <w:tcMar>
              <w:top w:type="dxa" w:w="90"/>
              <w:left w:type="dxa" w:w="120"/>
              <w:bottom w:type="dxa" w:w="90"/>
              <w:right w:type="dxa" w:w="120"/>
            </w:tcMar>
          </w:tcPr>
          <w:p>
            <w:r>
              <w:rPr>
                <w:sz w:val="19"/>
                <w:szCs w:val="19"/>
              </w:rPr>
              <w:t xml:space="preserve">How far, not just how often, a customer flies</w:t>
            </w:r>
          </w:p>
        </w:tc>
        <w:tc>
          <w:tcPr>
            <w:tcW w:type="dxa" w:w="3200"/>
            <w:shd w:fill="F2F2F2" w:val="clear"/>
            <w:tcMar>
              <w:top w:type="dxa" w:w="90"/>
              <w:left w:type="dxa" w:w="120"/>
              <w:bottom w:type="dxa" w:w="90"/>
              <w:right w:type="dxa" w:w="120"/>
            </w:tcMar>
          </w:tcPr>
          <w:p>
            <w:r>
              <w:rPr>
                <w:sz w:val="19"/>
                <w:szCs w:val="19"/>
              </w:rPr>
              <w:t xml:space="preserve">Distinguishes short regional flyers from long-haul customers</w:t>
            </w:r>
          </w:p>
        </w:tc>
      </w:tr>
      <w:tr>
        <w:tc>
          <w:tcPr>
            <w:tcW w:type="dxa" w:w="3000"/>
            <w:shd w:fill="FFFFFF" w:val="clear"/>
            <w:tcMar>
              <w:top w:type="dxa" w:w="90"/>
              <w:left w:type="dxa" w:w="120"/>
              <w:bottom w:type="dxa" w:w="90"/>
              <w:right w:type="dxa" w:w="120"/>
            </w:tcMar>
          </w:tcPr>
          <w:p>
            <w:r>
              <w:rPr>
                <w:sz w:val="19"/>
                <w:szCs w:val="19"/>
              </w:rPr>
              <w:t xml:space="preserve">Total_Points_Acc, Total_Points_Red, Total_Dollar_Red</w:t>
            </w:r>
          </w:p>
        </w:tc>
        <w:tc>
          <w:tcPr>
            <w:tcW w:type="dxa" w:w="3200"/>
            <w:shd w:fill="FFFFFF" w:val="clear"/>
            <w:tcMar>
              <w:top w:type="dxa" w:w="90"/>
              <w:left w:type="dxa" w:w="120"/>
              <w:bottom w:type="dxa" w:w="90"/>
              <w:right w:type="dxa" w:w="120"/>
            </w:tcMar>
          </w:tcPr>
          <w:p>
            <w:r>
              <w:rPr>
                <w:sz w:val="19"/>
                <w:szCs w:val="19"/>
              </w:rPr>
              <w:t xml:space="preserve">Points earned vs. actually redeemed</w:t>
            </w:r>
          </w:p>
        </w:tc>
        <w:tc>
          <w:tcPr>
            <w:tcW w:type="dxa" w:w="3200"/>
            <w:shd w:fill="FFFFFF" w:val="clear"/>
            <w:tcMar>
              <w:top w:type="dxa" w:w="90"/>
              <w:left w:type="dxa" w:w="120"/>
              <w:bottom w:type="dxa" w:w="90"/>
              <w:right w:type="dxa" w:w="120"/>
            </w:tcMar>
          </w:tcPr>
          <w:p>
            <w:r>
              <w:rPr>
                <w:sz w:val="19"/>
                <w:szCs w:val="19"/>
              </w:rPr>
              <w:t xml:space="preserve">Redemption behavior turned out to be a strong disengagement signal</w:t>
            </w:r>
          </w:p>
        </w:tc>
      </w:tr>
      <w:tr>
        <w:tc>
          <w:tcPr>
            <w:tcW w:type="dxa" w:w="3000"/>
            <w:shd w:fill="F2F2F2" w:val="clear"/>
            <w:tcMar>
              <w:top w:type="dxa" w:w="90"/>
              <w:left w:type="dxa" w:w="120"/>
              <w:bottom w:type="dxa" w:w="90"/>
              <w:right w:type="dxa" w:w="120"/>
            </w:tcMar>
          </w:tcPr>
          <w:p>
            <w:r>
              <w:rPr>
                <w:sz w:val="19"/>
                <w:szCs w:val="19"/>
              </w:rPr>
              <w:t xml:space="preserve">Redemption_Rate</w:t>
            </w:r>
          </w:p>
        </w:tc>
        <w:tc>
          <w:tcPr>
            <w:tcW w:type="dxa" w:w="3200"/>
            <w:shd w:fill="F2F2F2" w:val="clear"/>
            <w:tcMar>
              <w:top w:type="dxa" w:w="90"/>
              <w:left w:type="dxa" w:w="120"/>
              <w:bottom w:type="dxa" w:w="90"/>
              <w:right w:type="dxa" w:w="120"/>
            </w:tcMar>
          </w:tcPr>
          <w:p>
            <w:r>
              <w:rPr>
                <w:sz w:val="19"/>
                <w:szCs w:val="19"/>
              </w:rPr>
              <w:t xml:space="preserve">Points redeemed ÷ points accumulated</w:t>
            </w:r>
          </w:p>
        </w:tc>
        <w:tc>
          <w:tcPr>
            <w:tcW w:type="dxa" w:w="3200"/>
            <w:shd w:fill="F2F2F2" w:val="clear"/>
            <w:tcMar>
              <w:top w:type="dxa" w:w="90"/>
              <w:left w:type="dxa" w:w="120"/>
              <w:bottom w:type="dxa" w:w="90"/>
              <w:right w:type="dxa" w:w="120"/>
            </w:tcMar>
          </w:tcPr>
          <w:p>
            <w:r>
              <w:rPr>
                <w:sz w:val="19"/>
                <w:szCs w:val="19"/>
              </w:rPr>
              <w:t xml:space="preserve">A near-100% redemption rate right before going quiet looks like someone cashing out before leaving</w:t>
            </w:r>
          </w:p>
        </w:tc>
      </w:tr>
    </w:tbl>
    <w:p>
      <w:pPr>
        <w:spacing w:after="150" w:line="300"/>
      </w:pPr>
      <w:r>
        <w:rPr>
          <w:sz w:val="21"/>
          <w:szCs w:val="21"/>
        </w:rPr>
        <w:t xml:space="preserve"/>
      </w:r>
    </w:p>
    <w:p>
      <w:pPr>
        <w:pStyle w:val="Heading2"/>
        <w:spacing w:after="120" w:before="300"/>
      </w:pPr>
      <w:r>
        <w:rPr>
          <w:b/>
          <w:bCs/>
          <w:color w:val="0F6E56"/>
          <w:sz w:val="25"/>
          <w:szCs w:val="25"/>
        </w:rPr>
        <w:t xml:space="preserve">4.3 Recency Features — the most important group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44546A" w:val="clear"/>
            <w:tcMar>
              <w:top w:type="dxa" w:w="100"/>
              <w:left w:type="dxa" w:w="120"/>
              <w:bottom w:type="dxa" w:w="100"/>
              <w:right w:type="dxa" w:w="120"/>
            </w:tcMar>
          </w:tcPr>
          <w:p>
            <w:r>
              <w:rPr>
                <w:b/>
                <w:bCs/>
                <w:color w:val="FFFFFF"/>
                <w:sz w:val="19"/>
                <w:szCs w:val="19"/>
              </w:rPr>
              <w:t xml:space="preserve">Feature</w:t>
            </w:r>
          </w:p>
        </w:tc>
        <w:tc>
          <w:tcPr>
            <w:tcW w:type="dxa" w:w="3200"/>
            <w:shd w:fill="44546A" w:val="clear"/>
            <w:tcMar>
              <w:top w:type="dxa" w:w="100"/>
              <w:left w:type="dxa" w:w="120"/>
              <w:bottom w:type="dxa" w:w="100"/>
              <w:right w:type="dxa" w:w="120"/>
            </w:tcMar>
          </w:tcPr>
          <w:p>
            <w:r>
              <w:rPr>
                <w:b/>
                <w:bCs/>
                <w:color w:val="FFFFFF"/>
                <w:sz w:val="19"/>
                <w:szCs w:val="19"/>
              </w:rPr>
              <w:t xml:space="preserve">What it captures</w:t>
            </w:r>
          </w:p>
        </w:tc>
        <w:tc>
          <w:tcPr>
            <w:tcW w:type="dxa" w:w="3200"/>
            <w:shd w:fill="44546A" w:val="clear"/>
            <w:tcMar>
              <w:top w:type="dxa" w:w="100"/>
              <w:left w:type="dxa" w:w="120"/>
              <w:bottom w:type="dxa" w:w="100"/>
              <w:right w:type="dxa" w:w="120"/>
            </w:tcMar>
          </w:tcPr>
          <w:p>
            <w:r>
              <w:rPr>
                <w:b/>
                <w:bCs/>
                <w:color w:val="FFFFFF"/>
                <w:sz w:val="19"/>
                <w:szCs w:val="19"/>
              </w:rPr>
              <w:t xml:space="preserve">Why it matters</w:t>
            </w:r>
          </w:p>
        </w:tc>
      </w:tr>
      <w:tr>
        <w:tc>
          <w:tcPr>
            <w:tcW w:type="dxa" w:w="3000"/>
            <w:shd w:fill="FFFFFF" w:val="clear"/>
            <w:tcMar>
              <w:top w:type="dxa" w:w="90"/>
              <w:left w:type="dxa" w:w="120"/>
              <w:bottom w:type="dxa" w:w="90"/>
              <w:right w:type="dxa" w:w="120"/>
            </w:tcMar>
          </w:tcPr>
          <w:p>
            <w:r>
              <w:rPr>
                <w:sz w:val="19"/>
                <w:szCs w:val="19"/>
              </w:rPr>
              <w:t xml:space="preserve">Months_Since_Last_Flight</w:t>
            </w:r>
          </w:p>
        </w:tc>
        <w:tc>
          <w:tcPr>
            <w:tcW w:type="dxa" w:w="3200"/>
            <w:shd w:fill="FFFFFF" w:val="clear"/>
            <w:tcMar>
              <w:top w:type="dxa" w:w="90"/>
              <w:left w:type="dxa" w:w="120"/>
              <w:bottom w:type="dxa" w:w="90"/>
              <w:right w:type="dxa" w:w="120"/>
            </w:tcMar>
          </w:tcPr>
          <w:p>
            <w:r>
              <w:rPr>
                <w:sz w:val="19"/>
                <w:szCs w:val="19"/>
              </w:rPr>
              <w:t xml:space="preserve">How long since the customer's last flight</w:t>
            </w:r>
          </w:p>
        </w:tc>
        <w:tc>
          <w:tcPr>
            <w:tcW w:type="dxa" w:w="3200"/>
            <w:shd w:fill="FFFFFF" w:val="clear"/>
            <w:tcMar>
              <w:top w:type="dxa" w:w="90"/>
              <w:left w:type="dxa" w:w="120"/>
              <w:bottom w:type="dxa" w:w="90"/>
              <w:right w:type="dxa" w:w="120"/>
            </w:tcMar>
          </w:tcPr>
          <w:p>
            <w:r>
              <w:rPr>
                <w:sz w:val="19"/>
                <w:szCs w:val="19"/>
              </w:rPr>
              <w:t xml:space="preserve">The single strongest churn predictor in the model — by a wide margin</w:t>
            </w:r>
          </w:p>
        </w:tc>
      </w:tr>
      <w:tr>
        <w:tc>
          <w:tcPr>
            <w:tcW w:type="dxa" w:w="3000"/>
            <w:shd w:fill="F2F2F2" w:val="clear"/>
            <w:tcMar>
              <w:top w:type="dxa" w:w="90"/>
              <w:left w:type="dxa" w:w="120"/>
              <w:bottom w:type="dxa" w:w="90"/>
              <w:right w:type="dxa" w:w="120"/>
            </w:tcMar>
          </w:tcPr>
          <w:p>
            <w:r>
              <w:rPr>
                <w:sz w:val="19"/>
                <w:szCs w:val="19"/>
              </w:rPr>
              <w:t xml:space="preserve">Zero_Activity_Months</w:t>
            </w:r>
          </w:p>
        </w:tc>
        <w:tc>
          <w:tcPr>
            <w:tcW w:type="dxa" w:w="3200"/>
            <w:shd w:fill="F2F2F2" w:val="clear"/>
            <w:tcMar>
              <w:top w:type="dxa" w:w="90"/>
              <w:left w:type="dxa" w:w="120"/>
              <w:bottom w:type="dxa" w:w="90"/>
              <w:right w:type="dxa" w:w="120"/>
            </w:tcMar>
          </w:tcPr>
          <w:p>
            <w:r>
              <w:rPr>
                <w:sz w:val="19"/>
                <w:szCs w:val="19"/>
              </w:rPr>
              <w:t xml:space="preserve">Count of months with zero flights</w:t>
            </w:r>
          </w:p>
        </w:tc>
        <w:tc>
          <w:tcPr>
            <w:tcW w:type="dxa" w:w="3200"/>
            <w:shd w:fill="F2F2F2" w:val="clear"/>
            <w:tcMar>
              <w:top w:type="dxa" w:w="90"/>
              <w:left w:type="dxa" w:w="120"/>
              <w:bottom w:type="dxa" w:w="90"/>
              <w:right w:type="dxa" w:w="120"/>
            </w:tcMar>
          </w:tcPr>
          <w:p>
            <w:r>
              <w:rPr>
                <w:sz w:val="19"/>
                <w:szCs w:val="19"/>
              </w:rPr>
              <w:t xml:space="preserve">Distinguishes a customer with one quiet month from one who is chronically inactive</w:t>
            </w:r>
          </w:p>
        </w:tc>
      </w:tr>
    </w:tbl>
    <w:p>
      <w:pPr>
        <w:spacing w:after="150" w:line="300"/>
      </w:pPr>
      <w:r>
        <w:rPr>
          <w:sz w:val="21"/>
          <w:szCs w:val="21"/>
        </w:rPr>
        <w:t xml:space="preserve"/>
      </w:r>
    </w:p>
    <w:p>
      <w:pPr>
        <w:pStyle w:val="Heading2"/>
        <w:spacing w:after="120" w:before="300"/>
      </w:pPr>
      <w:r>
        <w:rPr>
          <w:b/>
          <w:bCs/>
          <w:color w:val="0F6E56"/>
          <w:sz w:val="25"/>
          <w:szCs w:val="25"/>
        </w:rPr>
        <w:t xml:space="preserve">4.4 Seasonal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44546A" w:val="clear"/>
            <w:tcMar>
              <w:top w:type="dxa" w:w="100"/>
              <w:left w:type="dxa" w:w="120"/>
              <w:bottom w:type="dxa" w:w="100"/>
              <w:right w:type="dxa" w:w="120"/>
            </w:tcMar>
          </w:tcPr>
          <w:p>
            <w:r>
              <w:rPr>
                <w:b/>
                <w:bCs/>
                <w:color w:val="FFFFFF"/>
                <w:sz w:val="19"/>
                <w:szCs w:val="19"/>
              </w:rPr>
              <w:t xml:space="preserve">Feature</w:t>
            </w:r>
          </w:p>
        </w:tc>
        <w:tc>
          <w:tcPr>
            <w:tcW w:type="dxa" w:w="3200"/>
            <w:shd w:fill="44546A" w:val="clear"/>
            <w:tcMar>
              <w:top w:type="dxa" w:w="100"/>
              <w:left w:type="dxa" w:w="120"/>
              <w:bottom w:type="dxa" w:w="100"/>
              <w:right w:type="dxa" w:w="120"/>
            </w:tcMar>
          </w:tcPr>
          <w:p>
            <w:r>
              <w:rPr>
                <w:b/>
                <w:bCs/>
                <w:color w:val="FFFFFF"/>
                <w:sz w:val="19"/>
                <w:szCs w:val="19"/>
              </w:rPr>
              <w:t xml:space="preserve">What it captures</w:t>
            </w:r>
          </w:p>
        </w:tc>
        <w:tc>
          <w:tcPr>
            <w:tcW w:type="dxa" w:w="3200"/>
            <w:shd w:fill="44546A" w:val="clear"/>
            <w:tcMar>
              <w:top w:type="dxa" w:w="100"/>
              <w:left w:type="dxa" w:w="120"/>
              <w:bottom w:type="dxa" w:w="100"/>
              <w:right w:type="dxa" w:w="120"/>
            </w:tcMar>
          </w:tcPr>
          <w:p>
            <w:r>
              <w:rPr>
                <w:b/>
                <w:bCs/>
                <w:color w:val="FFFFFF"/>
                <w:sz w:val="19"/>
                <w:szCs w:val="19"/>
              </w:rPr>
              <w:t xml:space="preserve">Why it matters</w:t>
            </w:r>
          </w:p>
        </w:tc>
      </w:tr>
      <w:tr>
        <w:tc>
          <w:tcPr>
            <w:tcW w:type="dxa" w:w="3000"/>
            <w:shd w:fill="FFFFFF" w:val="clear"/>
            <w:tcMar>
              <w:top w:type="dxa" w:w="90"/>
              <w:left w:type="dxa" w:w="120"/>
              <w:bottom w:type="dxa" w:w="90"/>
              <w:right w:type="dxa" w:w="120"/>
            </w:tcMar>
          </w:tcPr>
          <w:p>
            <w:r>
              <w:rPr>
                <w:sz w:val="19"/>
                <w:szCs w:val="19"/>
              </w:rPr>
              <w:t xml:space="preserve">Flights_Fall / Spring / Summer / Winter</w:t>
            </w:r>
          </w:p>
        </w:tc>
        <w:tc>
          <w:tcPr>
            <w:tcW w:type="dxa" w:w="3200"/>
            <w:shd w:fill="FFFFFF" w:val="clear"/>
            <w:tcMar>
              <w:top w:type="dxa" w:w="90"/>
              <w:left w:type="dxa" w:w="120"/>
              <w:bottom w:type="dxa" w:w="90"/>
              <w:right w:type="dxa" w:w="120"/>
            </w:tcMar>
          </w:tcPr>
          <w:p>
            <w:r>
              <w:rPr>
                <w:sz w:val="19"/>
                <w:szCs w:val="19"/>
              </w:rPr>
              <w:t xml:space="preserve">Flights taken in each season</w:t>
            </w:r>
          </w:p>
        </w:tc>
        <w:tc>
          <w:tcPr>
            <w:tcW w:type="dxa" w:w="3200"/>
            <w:shd w:fill="FFFFFF" w:val="clear"/>
            <w:tcMar>
              <w:top w:type="dxa" w:w="90"/>
              <w:left w:type="dxa" w:w="120"/>
              <w:bottom w:type="dxa" w:w="90"/>
              <w:right w:type="dxa" w:w="120"/>
            </w:tcMar>
          </w:tcPr>
          <w:p>
            <w:r>
              <w:rPr>
                <w:sz w:val="19"/>
                <w:szCs w:val="19"/>
              </w:rPr>
              <w:t xml:space="preserve">Fall/Winter inactivity specifically showed up as an early churn signal</w:t>
            </w:r>
          </w:p>
        </w:tc>
      </w:tr>
      <w:tr>
        <w:tc>
          <w:tcPr>
            <w:tcW w:type="dxa" w:w="3000"/>
            <w:shd w:fill="F2F2F2" w:val="clear"/>
            <w:tcMar>
              <w:top w:type="dxa" w:w="90"/>
              <w:left w:type="dxa" w:w="120"/>
              <w:bottom w:type="dxa" w:w="90"/>
              <w:right w:type="dxa" w:w="120"/>
            </w:tcMar>
          </w:tcPr>
          <w:p>
            <w:r>
              <w:rPr>
                <w:sz w:val="19"/>
                <w:szCs w:val="19"/>
              </w:rPr>
              <w:t xml:space="preserve">Season_Concentration (engineered)</w:t>
            </w:r>
          </w:p>
        </w:tc>
        <w:tc>
          <w:tcPr>
            <w:tcW w:type="dxa" w:w="3200"/>
            <w:shd w:fill="F2F2F2" w:val="clear"/>
            <w:tcMar>
              <w:top w:type="dxa" w:w="90"/>
              <w:left w:type="dxa" w:w="120"/>
              <w:bottom w:type="dxa" w:w="90"/>
              <w:right w:type="dxa" w:w="120"/>
            </w:tcMar>
          </w:tcPr>
          <w:p>
            <w:r>
              <w:rPr>
                <w:sz w:val="19"/>
                <w:szCs w:val="19"/>
              </w:rPr>
              <w:t xml:space="preserve">Max season's flights ÷ total flights</w:t>
            </w:r>
          </w:p>
        </w:tc>
        <w:tc>
          <w:tcPr>
            <w:tcW w:type="dxa" w:w="3200"/>
            <w:shd w:fill="F2F2F2" w:val="clear"/>
            <w:tcMar>
              <w:top w:type="dxa" w:w="90"/>
              <w:left w:type="dxa" w:w="120"/>
              <w:bottom w:type="dxa" w:w="90"/>
              <w:right w:type="dxa" w:w="120"/>
            </w:tcMar>
          </w:tcPr>
          <w:p>
            <w:r>
              <w:rPr>
                <w:sz w:val="19"/>
                <w:szCs w:val="19"/>
              </w:rPr>
              <w:t xml:space="preserve">Close to 1 = purely seasonal traveler; close to 0.25 = flies evenly year-round</w:t>
            </w:r>
          </w:p>
        </w:tc>
      </w:tr>
    </w:tbl>
    <w:p>
      <w:pPr>
        <w:spacing w:after="150" w:line="300"/>
      </w:pPr>
      <w:r>
        <w:rPr>
          <w:sz w:val="21"/>
          <w:szCs w:val="21"/>
        </w:rPr>
        <w:t xml:space="preserve"/>
      </w:r>
    </w:p>
    <w:p>
      <w:pPr>
        <w:pStyle w:val="Heading2"/>
        <w:spacing w:after="120" w:before="300"/>
      </w:pPr>
      <w:r>
        <w:rPr>
          <w:b/>
          <w:bCs/>
          <w:color w:val="0F6E56"/>
          <w:sz w:val="25"/>
          <w:szCs w:val="25"/>
        </w:rPr>
        <w:t xml:space="preserve">4.5 Other Engineered Features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000"/>
      </w:tblGrid>
      <w:tr>
        <w:trPr>
          <w:tblHeader/>
        </w:trPr>
        <w:tc>
          <w:tcPr>
            <w:tcW w:type="dxa" w:w="3000"/>
            <w:shd w:fill="44546A" w:val="clear"/>
            <w:tcMar>
              <w:top w:type="dxa" w:w="100"/>
              <w:left w:type="dxa" w:w="120"/>
              <w:bottom w:type="dxa" w:w="100"/>
              <w:right w:type="dxa" w:w="120"/>
            </w:tcMar>
          </w:tcPr>
          <w:p>
            <w:r>
              <w:rPr>
                <w:b/>
                <w:bCs/>
                <w:color w:val="FFFFFF"/>
                <w:sz w:val="19"/>
                <w:szCs w:val="19"/>
              </w:rPr>
              <w:t xml:space="preserve">Feature</w:t>
            </w:r>
          </w:p>
        </w:tc>
        <w:tc>
          <w:tcPr>
            <w:tcW w:type="dxa" w:w="3400"/>
            <w:shd w:fill="44546A" w:val="clear"/>
            <w:tcMar>
              <w:top w:type="dxa" w:w="100"/>
              <w:left w:type="dxa" w:w="120"/>
              <w:bottom w:type="dxa" w:w="100"/>
              <w:right w:type="dxa" w:w="120"/>
            </w:tcMar>
          </w:tcPr>
          <w:p>
            <w:r>
              <w:rPr>
                <w:b/>
                <w:bCs/>
                <w:color w:val="FFFFFF"/>
                <w:sz w:val="19"/>
                <w:szCs w:val="19"/>
              </w:rPr>
              <w:t xml:space="preserve">Formula / Logic</w:t>
            </w:r>
          </w:p>
        </w:tc>
        <w:tc>
          <w:tcPr>
            <w:tcW w:type="dxa" w:w="3000"/>
            <w:shd w:fill="44546A" w:val="clear"/>
            <w:tcMar>
              <w:top w:type="dxa" w:w="100"/>
              <w:left w:type="dxa" w:w="120"/>
              <w:bottom w:type="dxa" w:w="100"/>
              <w:right w:type="dxa" w:w="120"/>
            </w:tcMar>
          </w:tcPr>
          <w:p>
            <w:r>
              <w:rPr>
                <w:b/>
                <w:bCs/>
                <w:color w:val="FFFFFF"/>
                <w:sz w:val="19"/>
                <w:szCs w:val="19"/>
              </w:rPr>
              <w:t xml:space="preserve">Why it was built</w:t>
            </w:r>
          </w:p>
        </w:tc>
      </w:tr>
      <w:tr>
        <w:tc>
          <w:tcPr>
            <w:tcW w:type="dxa" w:w="3000"/>
            <w:shd w:fill="FFFFFF" w:val="clear"/>
            <w:tcMar>
              <w:top w:type="dxa" w:w="90"/>
              <w:left w:type="dxa" w:w="120"/>
              <w:bottom w:type="dxa" w:w="90"/>
              <w:right w:type="dxa" w:w="120"/>
            </w:tcMar>
          </w:tcPr>
          <w:p>
            <w:r>
              <w:rPr>
                <w:sz w:val="19"/>
                <w:szCs w:val="19"/>
              </w:rPr>
              <w:t xml:space="preserve">CLV_log</w:t>
            </w:r>
          </w:p>
        </w:tc>
        <w:tc>
          <w:tcPr>
            <w:tcW w:type="dxa" w:w="3400"/>
            <w:shd w:fill="FFFFFF" w:val="clear"/>
            <w:tcMar>
              <w:top w:type="dxa" w:w="90"/>
              <w:left w:type="dxa" w:w="120"/>
              <w:bottom w:type="dxa" w:w="90"/>
              <w:right w:type="dxa" w:w="120"/>
            </w:tcMar>
          </w:tcPr>
          <w:p>
            <w:r>
              <w:rPr>
                <w:sz w:val="19"/>
                <w:szCs w:val="19"/>
              </w:rPr>
              <w:t xml:space="preserve">log1p(CLV)</w:t>
            </w:r>
          </w:p>
        </w:tc>
        <w:tc>
          <w:tcPr>
            <w:tcW w:type="dxa" w:w="3000"/>
            <w:shd w:fill="FFFFFF" w:val="clear"/>
            <w:tcMar>
              <w:top w:type="dxa" w:w="90"/>
              <w:left w:type="dxa" w:w="120"/>
              <w:bottom w:type="dxa" w:w="90"/>
              <w:right w:type="dxa" w:w="120"/>
            </w:tcMar>
          </w:tcPr>
          <w:p>
            <w:r>
              <w:rPr>
                <w:sz w:val="19"/>
                <w:szCs w:val="19"/>
              </w:rPr>
              <w:t xml:space="preserve">Raw CLV was right-skewed; log transform compresses the long tail for modeling</w:t>
            </w:r>
          </w:p>
        </w:tc>
      </w:tr>
      <w:tr>
        <w:tc>
          <w:tcPr>
            <w:tcW w:type="dxa" w:w="3000"/>
            <w:shd w:fill="F2F2F2" w:val="clear"/>
            <w:tcMar>
              <w:top w:type="dxa" w:w="90"/>
              <w:left w:type="dxa" w:w="120"/>
              <w:bottom w:type="dxa" w:w="90"/>
              <w:right w:type="dxa" w:w="120"/>
            </w:tcMar>
          </w:tcPr>
          <w:p>
            <w:r>
              <w:rPr>
                <w:sz w:val="19"/>
                <w:szCs w:val="19"/>
              </w:rPr>
              <w:t xml:space="preserve">Flight_consistency_score</w:t>
            </w:r>
          </w:p>
        </w:tc>
        <w:tc>
          <w:tcPr>
            <w:tcW w:type="dxa" w:w="3400"/>
            <w:shd w:fill="F2F2F2" w:val="clear"/>
            <w:tcMar>
              <w:top w:type="dxa" w:w="90"/>
              <w:left w:type="dxa" w:w="120"/>
              <w:bottom w:type="dxa" w:w="90"/>
              <w:right w:type="dxa" w:w="120"/>
            </w:tcMar>
          </w:tcPr>
          <w:p>
            <w:r>
              <w:rPr>
                <w:sz w:val="19"/>
                <w:szCs w:val="19"/>
              </w:rPr>
              <w:t xml:space="preserve">Total_Flights ÷ (Zero_Activity_Months + 1)</w:t>
            </w:r>
          </w:p>
        </w:tc>
        <w:tc>
          <w:tcPr>
            <w:tcW w:type="dxa" w:w="3000"/>
            <w:shd w:fill="F2F2F2" w:val="clear"/>
            <w:tcMar>
              <w:top w:type="dxa" w:w="90"/>
              <w:left w:type="dxa" w:w="120"/>
              <w:bottom w:type="dxa" w:w="90"/>
              <w:right w:type="dxa" w:w="120"/>
            </w:tcMar>
          </w:tcPr>
          <w:p>
            <w:r>
              <w:rPr>
                <w:sz w:val="19"/>
                <w:szCs w:val="19"/>
              </w:rPr>
              <w:t xml:space="preserve">High score = steady flyer; low score = bursty or inactive — captures pattern, not just volume</w:t>
            </w:r>
          </w:p>
        </w:tc>
      </w:tr>
    </w:tbl>
    <w:p>
      <w:pPr>
        <w:spacing w:after="150" w:line="300"/>
      </w:pPr>
      <w:r>
        <w:rPr>
          <w:sz w:val="21"/>
          <w:szCs w:val="21"/>
        </w:rPr>
        <w:t xml:space="preserve"/>
      </w:r>
    </w:p>
    <w:p>
      <w:pPr>
        <w:pStyle w:val="Heading2"/>
        <w:spacing w:after="120" w:before="300"/>
      </w:pPr>
      <w:r>
        <w:rPr>
          <w:b/>
          <w:bCs/>
          <w:color w:val="0F6E56"/>
          <w:sz w:val="25"/>
          <w:szCs w:val="25"/>
        </w:rPr>
        <w:t xml:space="preserve">4.6 Encoding Choices</w:t>
      </w:r>
    </w:p>
    <w:p>
      <w:pPr>
        <w:spacing w:after="150" w:line="300"/>
      </w:pPr>
      <w:r>
        <w:rPr>
          <w:sz w:val="21"/>
          <w:szCs w:val="21"/>
        </w:rPr>
        <w:t xml:space="preserve">Categorical variables were encoded two different ways, chosen deliberately based on whether the category had a natural order:</w:t>
      </w:r>
    </w:p>
    <w:p>
      <w:pPr>
        <w:pStyle w:val="ListParagraph"/>
        <w:numPr>
          <w:ilvl w:val="0"/>
          <w:numId w:val="1"/>
        </w:numPr>
        <w:spacing w:after="90" w:line="290"/>
      </w:pPr>
      <w:r>
        <w:rPr>
          <w:b/>
          <w:bCs/>
          <w:color w:val="1F3864"/>
          <w:sz w:val="21"/>
          <w:szCs w:val="21"/>
        </w:rPr>
        <w:t xml:space="preserve">One-hot encoding — </w:t>
      </w:r>
      <w:r>
        <w:rPr>
          <w:sz w:val="21"/>
          <w:szCs w:val="21"/>
        </w:rPr>
        <w:t xml:space="preserve">used for unordered categories (Gender, Marital Status, Enrollment Type, Region), since there's no inherent ranking between, say, 'Married' and 'Single'.</w:t>
      </w:r>
    </w:p>
    <w:p>
      <w:pPr>
        <w:pStyle w:val="ListParagraph"/>
        <w:numPr>
          <w:ilvl w:val="0"/>
          <w:numId w:val="1"/>
        </w:numPr>
        <w:spacing w:after="90" w:line="290"/>
      </w:pPr>
      <w:r>
        <w:rPr>
          <w:b/>
          <w:bCs/>
          <w:color w:val="1F3864"/>
          <w:sz w:val="21"/>
          <w:szCs w:val="21"/>
        </w:rPr>
        <w:t xml:space="preserve">Label / ordinal encoding — </w:t>
      </w:r>
      <w:r>
        <w:rPr>
          <w:sz w:val="21"/>
          <w:szCs w:val="21"/>
        </w:rPr>
        <w:t xml:space="preserve">used for Loyalty Card (Star=0, Nova=1, Aurora=2) and Education (High School=0 → Doctor=4), since these categories have a genuine order. This choice mattered specifically for K-Means, which relies on Euclidean distance — one-hot encoding an ordered variable would have treated 'Star to Aurora' as equally distant as 'Star to Nova,' losing the ranking information.</w:t>
      </w:r>
    </w:p>
    <w:p>
      <w:pPr>
        <w:pStyle w:val="Heading2"/>
        <w:spacing w:after="120" w:before="300"/>
      </w:pPr>
      <w:r>
        <w:rPr>
          <w:b/>
          <w:bCs/>
          <w:color w:val="0F6E56"/>
          <w:sz w:val="25"/>
          <w:szCs w:val="25"/>
        </w:rPr>
        <w:t xml:space="preserve">4.7 Columns Dropped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44546A" w:val="clear"/>
            <w:tcMar>
              <w:top w:type="dxa" w:w="100"/>
              <w:left w:type="dxa" w:w="120"/>
              <w:bottom w:type="dxa" w:w="100"/>
              <w:right w:type="dxa" w:w="120"/>
            </w:tcMar>
          </w:tcPr>
          <w:p>
            <w:r>
              <w:rPr>
                <w:b/>
                <w:bCs/>
                <w:color w:val="FFFFFF"/>
                <w:sz w:val="19"/>
                <w:szCs w:val="19"/>
              </w:rPr>
              <w:t xml:space="preserve">Column</w:t>
            </w:r>
          </w:p>
        </w:tc>
        <w:tc>
          <w:tcPr>
            <w:tcW w:type="dxa" w:w="6200"/>
            <w:shd w:fill="44546A" w:val="clear"/>
            <w:tcMar>
              <w:top w:type="dxa" w:w="100"/>
              <w:left w:type="dxa" w:w="120"/>
              <w:bottom w:type="dxa" w:w="100"/>
              <w:right w:type="dxa" w:w="120"/>
            </w:tcMar>
          </w:tcPr>
          <w:p>
            <w:r>
              <w:rPr>
                <w:b/>
                <w:bCs/>
                <w:color w:val="FFFFFF"/>
                <w:sz w:val="19"/>
                <w:szCs w:val="19"/>
              </w:rPr>
              <w:t xml:space="preserve">Reason for dropping</w:t>
            </w:r>
          </w:p>
        </w:tc>
      </w:tr>
      <w:tr>
        <w:tc>
          <w:tcPr>
            <w:tcW w:type="dxa" w:w="3200"/>
            <w:shd w:fill="FFFFFF" w:val="clear"/>
            <w:tcMar>
              <w:top w:type="dxa" w:w="90"/>
              <w:left w:type="dxa" w:w="120"/>
              <w:bottom w:type="dxa" w:w="90"/>
              <w:right w:type="dxa" w:w="120"/>
            </w:tcMar>
          </w:tcPr>
          <w:p>
            <w:r>
              <w:rPr>
                <w:sz w:val="19"/>
                <w:szCs w:val="19"/>
              </w:rPr>
              <w:t xml:space="preserve">Country</w:t>
            </w:r>
          </w:p>
        </w:tc>
        <w:tc>
          <w:tcPr>
            <w:tcW w:type="dxa" w:w="6200"/>
            <w:shd w:fill="FFFFFF" w:val="clear"/>
            <w:tcMar>
              <w:top w:type="dxa" w:w="90"/>
              <w:left w:type="dxa" w:w="120"/>
              <w:bottom w:type="dxa" w:w="90"/>
              <w:right w:type="dxa" w:w="120"/>
            </w:tcMar>
          </w:tcPr>
          <w:p>
            <w:r>
              <w:rPr>
                <w:sz w:val="19"/>
                <w:szCs w:val="19"/>
              </w:rPr>
              <w:t xml:space="preserve">Zero variance — every customer is in Canada</w:t>
            </w:r>
          </w:p>
        </w:tc>
      </w:tr>
      <w:tr>
        <w:tc>
          <w:tcPr>
            <w:tcW w:type="dxa" w:w="3200"/>
            <w:shd w:fill="F2F2F2" w:val="clear"/>
            <w:tcMar>
              <w:top w:type="dxa" w:w="90"/>
              <w:left w:type="dxa" w:w="120"/>
              <w:bottom w:type="dxa" w:w="90"/>
              <w:right w:type="dxa" w:w="120"/>
            </w:tcMar>
          </w:tcPr>
          <w:p>
            <w:r>
              <w:rPr>
                <w:sz w:val="19"/>
                <w:szCs w:val="19"/>
              </w:rPr>
              <w:t xml:space="preserve">City, Postal Code</w:t>
            </w:r>
          </w:p>
        </w:tc>
        <w:tc>
          <w:tcPr>
            <w:tcW w:type="dxa" w:w="6200"/>
            <w:shd w:fill="F2F2F2" w:val="clear"/>
            <w:tcMar>
              <w:top w:type="dxa" w:w="90"/>
              <w:left w:type="dxa" w:w="120"/>
              <w:bottom w:type="dxa" w:w="90"/>
              <w:right w:type="dxa" w:w="120"/>
            </w:tcMar>
          </w:tcPr>
          <w:p>
            <w:r>
              <w:rPr>
                <w:sz w:val="19"/>
                <w:szCs w:val="19"/>
              </w:rPr>
              <w:t xml:space="preserve">Too granular; thousands of unique values with no learnable pattern</w:t>
            </w:r>
          </w:p>
        </w:tc>
      </w:tr>
      <w:tr>
        <w:tc>
          <w:tcPr>
            <w:tcW w:type="dxa" w:w="3200"/>
            <w:shd w:fill="FFFFFF" w:val="clear"/>
            <w:tcMar>
              <w:top w:type="dxa" w:w="90"/>
              <w:left w:type="dxa" w:w="120"/>
              <w:bottom w:type="dxa" w:w="90"/>
              <w:right w:type="dxa" w:w="120"/>
            </w:tcMar>
          </w:tcPr>
          <w:p>
            <w:r>
              <w:rPr>
                <w:sz w:val="19"/>
                <w:szCs w:val="19"/>
              </w:rPr>
              <w:t xml:space="preserve">Enrollment Year/Month</w:t>
            </w:r>
          </w:p>
        </w:tc>
        <w:tc>
          <w:tcPr>
            <w:tcW w:type="dxa" w:w="6200"/>
            <w:shd w:fill="FFFFFF" w:val="clear"/>
            <w:tcMar>
              <w:top w:type="dxa" w:w="90"/>
              <w:left w:type="dxa" w:w="120"/>
              <w:bottom w:type="dxa" w:w="90"/>
              <w:right w:type="dxa" w:w="120"/>
            </w:tcMar>
          </w:tcPr>
          <w:p>
            <w:r>
              <w:rPr>
                <w:sz w:val="19"/>
                <w:szCs w:val="19"/>
              </w:rPr>
              <w:t xml:space="preserve">Already captured by Tenure_Months</w:t>
            </w:r>
          </w:p>
        </w:tc>
      </w:tr>
      <w:tr>
        <w:tc>
          <w:tcPr>
            <w:tcW w:type="dxa" w:w="3200"/>
            <w:shd w:fill="F2F2F2" w:val="clear"/>
            <w:tcMar>
              <w:top w:type="dxa" w:w="90"/>
              <w:left w:type="dxa" w:w="120"/>
              <w:bottom w:type="dxa" w:w="90"/>
              <w:right w:type="dxa" w:w="120"/>
            </w:tcMar>
          </w:tcPr>
          <w:p>
            <w:r>
              <w:rPr>
                <w:sz w:val="19"/>
                <w:szCs w:val="19"/>
              </w:rPr>
              <w:t xml:space="preserve">CLV</w:t>
            </w:r>
          </w:p>
        </w:tc>
        <w:tc>
          <w:tcPr>
            <w:tcW w:type="dxa" w:w="6200"/>
            <w:shd w:fill="F2F2F2" w:val="clear"/>
            <w:tcMar>
              <w:top w:type="dxa" w:w="90"/>
              <w:left w:type="dxa" w:w="120"/>
              <w:bottom w:type="dxa" w:w="90"/>
              <w:right w:type="dxa" w:w="120"/>
            </w:tcMar>
          </w:tcPr>
          <w:p>
            <w:r>
              <w:rPr>
                <w:sz w:val="19"/>
                <w:szCs w:val="19"/>
              </w:rPr>
              <w:t xml:space="preserve">Replaced by CLV_log</w:t>
            </w:r>
          </w:p>
        </w:tc>
      </w:tr>
      <w:tr>
        <w:tc>
          <w:tcPr>
            <w:tcW w:type="dxa" w:w="3200"/>
            <w:shd w:fill="FFFFFF" w:val="clear"/>
            <w:tcMar>
              <w:top w:type="dxa" w:w="90"/>
              <w:left w:type="dxa" w:w="120"/>
              <w:bottom w:type="dxa" w:w="90"/>
              <w:right w:type="dxa" w:w="120"/>
            </w:tcMar>
          </w:tcPr>
          <w:p>
            <w:r>
              <w:rPr>
                <w:sz w:val="19"/>
                <w:szCs w:val="19"/>
              </w:rPr>
              <w:t xml:space="preserve">Province</w:t>
            </w:r>
          </w:p>
        </w:tc>
        <w:tc>
          <w:tcPr>
            <w:tcW w:type="dxa" w:w="6200"/>
            <w:shd w:fill="FFFFFF" w:val="clear"/>
            <w:tcMar>
              <w:top w:type="dxa" w:w="90"/>
              <w:left w:type="dxa" w:w="120"/>
              <w:bottom w:type="dxa" w:w="90"/>
              <w:right w:type="dxa" w:w="120"/>
            </w:tcMar>
          </w:tcPr>
          <w:p>
            <w:r>
              <w:rPr>
                <w:sz w:val="19"/>
                <w:szCs w:val="19"/>
              </w:rPr>
              <w:t xml:space="preserve">Replaced by the consolidated Region feature</w:t>
            </w:r>
          </w:p>
        </w:tc>
      </w:tr>
    </w:tbl>
    <w:p>
      <w:pPr>
        <w:spacing w:after="150" w:line="300"/>
      </w:pPr>
      <w:r>
        <w:rPr>
          <w:sz w:val="21"/>
          <w:szCs w:val="21"/>
        </w:rPr>
        <w:t xml:space="preserve"/>
      </w:r>
    </w:p>
    <w:p>
      <w:pPr>
        <w:spacing w:after="150" w:line="300"/>
      </w:pPr>
      <w:r>
        <w:rPr>
          <w:sz w:val="21"/>
          <w:szCs w:val="21"/>
        </w:rPr>
        <w:t xml:space="preserve">Final modeling table: 16,737 rows × 28 feature columns, zero nulls.</w:t>
      </w:r>
    </w:p>
    <w:p>
      <w:r>
        <w:br w:type="page"/>
      </w:r>
    </w:p>
    <w:p>
      <w:pPr>
        <w:pStyle w:val="Heading1"/>
        <w:pBdr>
          <w:bottom w:val="single" w:color="1F3864" w:sz="8" w:space="4"/>
        </w:pBdr>
        <w:spacing w:after="200" w:before="400"/>
      </w:pPr>
      <w:r>
        <w:rPr>
          <w:b/>
          <w:bCs/>
          <w:color w:val="1F3864"/>
          <w:sz w:val="30"/>
          <w:szCs w:val="30"/>
        </w:rPr>
        <w:t xml:space="preserve">5. Churn Prediction Models</w:t>
      </w:r>
    </w:p>
    <w:p>
      <w:pPr>
        <w:spacing w:after="150" w:line="300"/>
      </w:pPr>
      <w:r>
        <w:rPr>
          <w:sz w:val="21"/>
          <w:szCs w:val="21"/>
        </w:rPr>
        <w:t xml:space="preserve">80/20 stratified train-test split (random_state=42) was used throughout, so both sets preserve the same 16.3% churn rate. Two models were trained and compared.</w:t>
      </w:r>
    </w:p>
    <w:p>
      <w:pPr>
        <w:pStyle w:val="Heading2"/>
        <w:spacing w:after="120" w:before="300"/>
      </w:pPr>
      <w:r>
        <w:rPr>
          <w:b/>
          <w:bCs/>
          <w:color w:val="0F6E56"/>
          <w:sz w:val="25"/>
          <w:szCs w:val="25"/>
        </w:rPr>
        <w:t xml:space="preserve">5.1 Baseline — Logistic Regression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44546A" w:val="clear"/>
            <w:tcMar>
              <w:top w:type="dxa" w:w="100"/>
              <w:left w:type="dxa" w:w="120"/>
              <w:bottom w:type="dxa" w:w="100"/>
              <w:right w:type="dxa" w:w="120"/>
            </w:tcMar>
          </w:tcPr>
          <w:p>
            <w:r>
              <w:rPr>
                <w:b/>
                <w:bCs/>
                <w:color w:val="FFFFFF"/>
                <w:sz w:val="19"/>
                <w:szCs w:val="19"/>
              </w:rPr>
              <w:t xml:space="preserve">Metric</w:t>
            </w:r>
          </w:p>
        </w:tc>
        <w:tc>
          <w:tcPr>
            <w:tcW w:type="dxa" w:w="4800"/>
            <w:shd w:fill="44546A" w:val="clear"/>
            <w:tcMar>
              <w:top w:type="dxa" w:w="100"/>
              <w:left w:type="dxa" w:w="120"/>
              <w:bottom w:type="dxa" w:w="100"/>
              <w:right w:type="dxa" w:w="120"/>
            </w:tcMar>
          </w:tcPr>
          <w:p>
            <w:r>
              <w:rPr>
                <w:b/>
                <w:bCs/>
                <w:color w:val="FFFFFF"/>
                <w:sz w:val="19"/>
                <w:szCs w:val="19"/>
              </w:rPr>
              <w:t xml:space="preserve">Score</w:t>
            </w:r>
          </w:p>
        </w:tc>
      </w:tr>
      <w:tr>
        <w:tc>
          <w:tcPr>
            <w:tcW w:type="dxa" w:w="4600"/>
            <w:shd w:fill="FFFFFF" w:val="clear"/>
            <w:tcMar>
              <w:top w:type="dxa" w:w="90"/>
              <w:left w:type="dxa" w:w="120"/>
              <w:bottom w:type="dxa" w:w="90"/>
              <w:right w:type="dxa" w:w="120"/>
            </w:tcMar>
          </w:tcPr>
          <w:p>
            <w:r>
              <w:rPr>
                <w:sz w:val="19"/>
                <w:szCs w:val="19"/>
              </w:rPr>
              <w:t xml:space="preserve">Accuracy</w:t>
            </w:r>
          </w:p>
        </w:tc>
        <w:tc>
          <w:tcPr>
            <w:tcW w:type="dxa" w:w="4800"/>
            <w:shd w:fill="FFFFFF" w:val="clear"/>
            <w:tcMar>
              <w:top w:type="dxa" w:w="90"/>
              <w:left w:type="dxa" w:w="120"/>
              <w:bottom w:type="dxa" w:w="90"/>
              <w:right w:type="dxa" w:w="120"/>
            </w:tcMar>
          </w:tcPr>
          <w:p>
            <w:r>
              <w:rPr>
                <w:sz w:val="19"/>
                <w:szCs w:val="19"/>
              </w:rPr>
              <w:t xml:space="preserve">98%</w:t>
            </w:r>
          </w:p>
        </w:tc>
      </w:tr>
      <w:tr>
        <w:tc>
          <w:tcPr>
            <w:tcW w:type="dxa" w:w="4600"/>
            <w:shd w:fill="F2F2F2" w:val="clear"/>
            <w:tcMar>
              <w:top w:type="dxa" w:w="90"/>
              <w:left w:type="dxa" w:w="120"/>
              <w:bottom w:type="dxa" w:w="90"/>
              <w:right w:type="dxa" w:w="120"/>
            </w:tcMar>
          </w:tcPr>
          <w:p>
            <w:r>
              <w:rPr>
                <w:sz w:val="19"/>
                <w:szCs w:val="19"/>
              </w:rPr>
              <w:t xml:space="preserve">Precision (Churned)</w:t>
            </w:r>
          </w:p>
        </w:tc>
        <w:tc>
          <w:tcPr>
            <w:tcW w:type="dxa" w:w="4800"/>
            <w:shd w:fill="F2F2F2" w:val="clear"/>
            <w:tcMar>
              <w:top w:type="dxa" w:w="90"/>
              <w:left w:type="dxa" w:w="120"/>
              <w:bottom w:type="dxa" w:w="90"/>
              <w:right w:type="dxa" w:w="120"/>
            </w:tcMar>
          </w:tcPr>
          <w:p>
            <w:r>
              <w:rPr>
                <w:sz w:val="19"/>
                <w:szCs w:val="19"/>
              </w:rPr>
              <w:t xml:space="preserve">95%</w:t>
            </w:r>
          </w:p>
        </w:tc>
      </w:tr>
      <w:tr>
        <w:tc>
          <w:tcPr>
            <w:tcW w:type="dxa" w:w="4600"/>
            <w:shd w:fill="FFFFFF" w:val="clear"/>
            <w:tcMar>
              <w:top w:type="dxa" w:w="90"/>
              <w:left w:type="dxa" w:w="120"/>
              <w:bottom w:type="dxa" w:w="90"/>
              <w:right w:type="dxa" w:w="120"/>
            </w:tcMar>
          </w:tcPr>
          <w:p>
            <w:r>
              <w:rPr>
                <w:sz w:val="19"/>
                <w:szCs w:val="19"/>
              </w:rPr>
              <w:t xml:space="preserve">Recall (Churned)</w:t>
            </w:r>
          </w:p>
        </w:tc>
        <w:tc>
          <w:tcPr>
            <w:tcW w:type="dxa" w:w="4800"/>
            <w:shd w:fill="FFFFFF" w:val="clear"/>
            <w:tcMar>
              <w:top w:type="dxa" w:w="90"/>
              <w:left w:type="dxa" w:w="120"/>
              <w:bottom w:type="dxa" w:w="90"/>
              <w:right w:type="dxa" w:w="120"/>
            </w:tcMar>
          </w:tcPr>
          <w:p>
            <w:r>
              <w:rPr>
                <w:sz w:val="19"/>
                <w:szCs w:val="19"/>
              </w:rPr>
              <w:t xml:space="preserve">89%</w:t>
            </w:r>
          </w:p>
        </w:tc>
      </w:tr>
      <w:tr>
        <w:tc>
          <w:tcPr>
            <w:tcW w:type="dxa" w:w="4600"/>
            <w:shd w:fill="F2F2F2" w:val="clear"/>
            <w:tcMar>
              <w:top w:type="dxa" w:w="90"/>
              <w:left w:type="dxa" w:w="120"/>
              <w:bottom w:type="dxa" w:w="90"/>
              <w:right w:type="dxa" w:w="120"/>
            </w:tcMar>
          </w:tcPr>
          <w:p>
            <w:r>
              <w:rPr>
                <w:sz w:val="19"/>
                <w:szCs w:val="19"/>
              </w:rPr>
              <w:t xml:space="preserve">F1 Score</w:t>
            </w:r>
          </w:p>
        </w:tc>
        <w:tc>
          <w:tcPr>
            <w:tcW w:type="dxa" w:w="4800"/>
            <w:shd w:fill="F2F2F2" w:val="clear"/>
            <w:tcMar>
              <w:top w:type="dxa" w:w="90"/>
              <w:left w:type="dxa" w:w="120"/>
              <w:bottom w:type="dxa" w:w="90"/>
              <w:right w:type="dxa" w:w="120"/>
            </w:tcMar>
          </w:tcPr>
          <w:p>
            <w:r>
              <w:rPr>
                <w:sz w:val="19"/>
                <w:szCs w:val="19"/>
              </w:rPr>
              <w:t xml:space="preserve">0.92</w:t>
            </w:r>
          </w:p>
        </w:tc>
      </w:tr>
      <w:tr>
        <w:tc>
          <w:tcPr>
            <w:tcW w:type="dxa" w:w="4600"/>
            <w:shd w:fill="FFFFFF" w:val="clear"/>
            <w:tcMar>
              <w:top w:type="dxa" w:w="90"/>
              <w:left w:type="dxa" w:w="120"/>
              <w:bottom w:type="dxa" w:w="90"/>
              <w:right w:type="dxa" w:w="120"/>
            </w:tcMar>
          </w:tcPr>
          <w:p>
            <w:r>
              <w:rPr>
                <w:sz w:val="19"/>
                <w:szCs w:val="19"/>
              </w:rPr>
              <w:t xml:space="preserve">AUC-ROC</w:t>
            </w:r>
          </w:p>
        </w:tc>
        <w:tc>
          <w:tcPr>
            <w:tcW w:type="dxa" w:w="4800"/>
            <w:shd w:fill="FFFFFF" w:val="clear"/>
            <w:tcMar>
              <w:top w:type="dxa" w:w="90"/>
              <w:left w:type="dxa" w:w="120"/>
              <w:bottom w:type="dxa" w:w="90"/>
              <w:right w:type="dxa" w:w="120"/>
            </w:tcMar>
          </w:tcPr>
          <w:p>
            <w:r>
              <w:rPr>
                <w:sz w:val="19"/>
                <w:szCs w:val="19"/>
              </w:rPr>
              <w:t xml:space="preserve">0.9857</w:t>
            </w:r>
          </w:p>
        </w:tc>
      </w:tr>
    </w:tbl>
    <w:p>
      <w:pPr>
        <w:spacing w:after="150" w:line="300"/>
      </w:pPr>
      <w:r>
        <w:rPr>
          <w:sz w:val="21"/>
          <w:szCs w:val="21"/>
        </w:rPr>
        <w:t xml:space="preserve"/>
      </w:r>
    </w:p>
    <w:p>
      <w:pPr>
        <w:spacing w:after="150" w:line="300"/>
      </w:pPr>
      <w:r>
        <w:rPr>
          <w:sz w:val="21"/>
          <w:szCs w:val="21"/>
        </w:rPr>
        <w:t xml:space="preserve">Logistic Regression's dominant coefficient was Months_Since_Last_Flight (0.79) — every other feature was an order of magnitude smaller. This alone is a strong hint that the underlying relationship isn't purely linear, since a single feature dominating this heavily suggests threshold-like behavior rather than a smooth linear effect.</w:t>
      </w:r>
    </w:p>
    <w:p>
      <w:pPr>
        <w:pStyle w:val="Heading2"/>
        <w:spacing w:after="120" w:before="300"/>
      </w:pPr>
      <w:r>
        <w:rPr>
          <w:b/>
          <w:bCs/>
          <w:color w:val="0F6E56"/>
          <w:sz w:val="25"/>
          <w:szCs w:val="25"/>
        </w:rPr>
        <w:t xml:space="preserve">5.2 XGBoost — Why It Was Chosen Over Logistic Regression</w:t>
      </w:r>
    </w:p>
    <w:p>
      <w:pPr>
        <w:spacing w:after="150" w:line="300"/>
      </w:pPr>
      <w:r>
        <w:rPr>
          <w:sz w:val="21"/>
          <w:szCs w:val="21"/>
        </w:rPr>
        <w:t xml:space="preserve">Logistic Regression assumes a largely linear relationship between features and outcome. But churn risk isn't linear — the difference between 2 months and 4 months of inactivity is small, while crossing a threshold like 10–12 months of inactivity can represent a large jump in risk. XGBoost, being tree-based, naturally captures these threshold effects and interactions between features (e.g., tenure combined with seasonal inactivity) without needing manually engineered interaction terms.</w:t>
      </w:r>
    </w:p>
    <w:p>
      <w:pPr>
        <w:spacing w:after="100" w:before="200"/>
      </w:pPr>
      <w:r>
        <w:rPr>
          <w:b/>
          <w:bCs/>
          <w:color w:val="C0621B"/>
          <w:sz w:val="22"/>
          <w:szCs w:val="22"/>
        </w:rPr>
        <w:t xml:space="preserve">Handling class imbalance</w:t>
      </w:r>
    </w:p>
    <w:p>
      <w:pPr>
        <w:spacing w:after="150" w:line="300"/>
      </w:pPr>
      <w:r>
        <w:rPr>
          <w:sz w:val="21"/>
          <w:szCs w:val="21"/>
        </w:rPr>
        <w:t xml:space="preserve">The 84/16 class split was addressed using scale_pos_weight = (negative count) / (positive count) = 5.14, which tells XGBoost to penalize missing a churned customer more heavily during training — rather than oversampling or undersampling the data.</w:t>
      </w:r>
    </w:p>
    <w:p>
      <w:pPr>
        <w:spacing w:after="100" w:before="200"/>
      </w:pPr>
      <w:r>
        <w:rPr>
          <w:b/>
          <w:bCs/>
          <w:color w:val="C0621B"/>
          <w:sz w:val="22"/>
          <w:szCs w:val="22"/>
        </w:rPr>
        <w:t xml:space="preserve">Hyperparameter tuning</w:t>
      </w:r>
    </w:p>
    <w:p>
      <w:pPr>
        <w:spacing w:after="150" w:line="300"/>
      </w:pPr>
      <w:r>
        <w:rPr>
          <w:sz w:val="21"/>
          <w:szCs w:val="21"/>
        </w:rPr>
        <w:t xml:space="preserve">GridSearchCV with 5-fold cross-validation, optimized for recall specifically (not accuracy), since missing an actual churner is more costly than a false alarm that triggers an unnecessary retention offer. Tuned parameters: n_estimators, learning_rate, max_depth.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600"/>
      </w:tblGrid>
      <w:tr>
        <w:trPr>
          <w:tblHeader/>
        </w:trPr>
        <w:tc>
          <w:tcPr>
            <w:tcW w:type="dxa" w:w="3400"/>
            <w:shd w:fill="44546A" w:val="clear"/>
            <w:tcMar>
              <w:top w:type="dxa" w:w="100"/>
              <w:left w:type="dxa" w:w="120"/>
              <w:bottom w:type="dxa" w:w="100"/>
              <w:right w:type="dxa" w:w="120"/>
            </w:tcMar>
          </w:tcPr>
          <w:p>
            <w:r>
              <w:rPr>
                <w:b/>
                <w:bCs/>
                <w:color w:val="FFFFFF"/>
                <w:sz w:val="19"/>
                <w:szCs w:val="19"/>
              </w:rPr>
              <w:t xml:space="preserve">Metric</w:t>
            </w:r>
          </w:p>
        </w:tc>
        <w:tc>
          <w:tcPr>
            <w:tcW w:type="dxa" w:w="3000"/>
            <w:shd w:fill="44546A" w:val="clear"/>
            <w:tcMar>
              <w:top w:type="dxa" w:w="100"/>
              <w:left w:type="dxa" w:w="120"/>
              <w:bottom w:type="dxa" w:w="100"/>
              <w:right w:type="dxa" w:w="120"/>
            </w:tcMar>
          </w:tcPr>
          <w:p>
            <w:r>
              <w:rPr>
                <w:b/>
                <w:bCs/>
                <w:color w:val="FFFFFF"/>
                <w:sz w:val="19"/>
                <w:szCs w:val="19"/>
              </w:rPr>
              <w:t xml:space="preserve">XGBoost (full features)</w:t>
            </w:r>
          </w:p>
        </w:tc>
        <w:tc>
          <w:tcPr>
            <w:tcW w:type="dxa" w:w="3600"/>
            <w:shd w:fill="44546A" w:val="clear"/>
            <w:tcMar>
              <w:top w:type="dxa" w:w="100"/>
              <w:left w:type="dxa" w:w="120"/>
              <w:bottom w:type="dxa" w:w="100"/>
              <w:right w:type="dxa" w:w="120"/>
            </w:tcMar>
          </w:tcPr>
          <w:p>
            <w:r>
              <w:rPr>
                <w:b/>
                <w:bCs/>
                <w:color w:val="FFFFFF"/>
                <w:sz w:val="19"/>
                <w:szCs w:val="19"/>
              </w:rPr>
              <w:t xml:space="preserve">XGBoost (reduced features, &gt;1% importance)</w:t>
            </w:r>
          </w:p>
        </w:tc>
      </w:tr>
      <w:tr>
        <w:tc>
          <w:tcPr>
            <w:tcW w:type="dxa" w:w="3400"/>
            <w:shd w:fill="FFFFFF" w:val="clear"/>
            <w:tcMar>
              <w:top w:type="dxa" w:w="90"/>
              <w:left w:type="dxa" w:w="120"/>
              <w:bottom w:type="dxa" w:w="90"/>
              <w:right w:type="dxa" w:w="120"/>
            </w:tcMar>
          </w:tcPr>
          <w:p>
            <w:r>
              <w:rPr>
                <w:sz w:val="19"/>
                <w:szCs w:val="19"/>
              </w:rPr>
              <w:t xml:space="preserve">Accuracy</w:t>
            </w:r>
          </w:p>
        </w:tc>
        <w:tc>
          <w:tcPr>
            <w:tcW w:type="dxa" w:w="3000"/>
            <w:shd w:fill="FFFFFF" w:val="clear"/>
            <w:tcMar>
              <w:top w:type="dxa" w:w="90"/>
              <w:left w:type="dxa" w:w="120"/>
              <w:bottom w:type="dxa" w:w="90"/>
              <w:right w:type="dxa" w:w="120"/>
            </w:tcMar>
          </w:tcPr>
          <w:p>
            <w:r>
              <w:rPr>
                <w:sz w:val="19"/>
                <w:szCs w:val="19"/>
              </w:rPr>
              <w:t xml:space="preserve">97%</w:t>
            </w:r>
          </w:p>
        </w:tc>
        <w:tc>
          <w:tcPr>
            <w:tcW w:type="dxa" w:w="3600"/>
            <w:shd w:fill="FFFFFF" w:val="clear"/>
            <w:tcMar>
              <w:top w:type="dxa" w:w="90"/>
              <w:left w:type="dxa" w:w="120"/>
              <w:bottom w:type="dxa" w:w="90"/>
              <w:right w:type="dxa" w:w="120"/>
            </w:tcMar>
          </w:tcPr>
          <w:p>
            <w:r>
              <w:rPr>
                <w:sz w:val="19"/>
                <w:szCs w:val="19"/>
              </w:rPr>
              <w:t xml:space="preserve">97%</w:t>
            </w:r>
          </w:p>
        </w:tc>
      </w:tr>
      <w:tr>
        <w:tc>
          <w:tcPr>
            <w:tcW w:type="dxa" w:w="3400"/>
            <w:shd w:fill="F2F2F2" w:val="clear"/>
            <w:tcMar>
              <w:top w:type="dxa" w:w="90"/>
              <w:left w:type="dxa" w:w="120"/>
              <w:bottom w:type="dxa" w:w="90"/>
              <w:right w:type="dxa" w:w="120"/>
            </w:tcMar>
          </w:tcPr>
          <w:p>
            <w:r>
              <w:rPr>
                <w:sz w:val="19"/>
                <w:szCs w:val="19"/>
              </w:rPr>
              <w:t xml:space="preserve">Precision (Churned)</w:t>
            </w:r>
          </w:p>
        </w:tc>
        <w:tc>
          <w:tcPr>
            <w:tcW w:type="dxa" w:w="3000"/>
            <w:shd w:fill="F2F2F2" w:val="clear"/>
            <w:tcMar>
              <w:top w:type="dxa" w:w="90"/>
              <w:left w:type="dxa" w:w="120"/>
              <w:bottom w:type="dxa" w:w="90"/>
              <w:right w:type="dxa" w:w="120"/>
            </w:tcMar>
          </w:tcPr>
          <w:p>
            <w:r>
              <w:rPr>
                <w:sz w:val="19"/>
                <w:szCs w:val="19"/>
              </w:rPr>
              <w:t xml:space="preserve">87%</w:t>
            </w:r>
          </w:p>
        </w:tc>
        <w:tc>
          <w:tcPr>
            <w:tcW w:type="dxa" w:w="3600"/>
            <w:shd w:fill="F2F2F2" w:val="clear"/>
            <w:tcMar>
              <w:top w:type="dxa" w:w="90"/>
              <w:left w:type="dxa" w:w="120"/>
              <w:bottom w:type="dxa" w:w="90"/>
              <w:right w:type="dxa" w:w="120"/>
            </w:tcMar>
          </w:tcPr>
          <w:p>
            <w:r>
              <w:rPr>
                <w:sz w:val="19"/>
                <w:szCs w:val="19"/>
              </w:rPr>
              <w:t xml:space="preserve">87%</w:t>
            </w:r>
          </w:p>
        </w:tc>
      </w:tr>
      <w:tr>
        <w:tc>
          <w:tcPr>
            <w:tcW w:type="dxa" w:w="3400"/>
            <w:shd w:fill="FFFFFF" w:val="clear"/>
            <w:tcMar>
              <w:top w:type="dxa" w:w="90"/>
              <w:left w:type="dxa" w:w="120"/>
              <w:bottom w:type="dxa" w:w="90"/>
              <w:right w:type="dxa" w:w="120"/>
            </w:tcMar>
          </w:tcPr>
          <w:p>
            <w:r>
              <w:rPr>
                <w:sz w:val="19"/>
                <w:szCs w:val="19"/>
              </w:rPr>
              <w:t xml:space="preserve">Recall (Churned)</w:t>
            </w:r>
          </w:p>
        </w:tc>
        <w:tc>
          <w:tcPr>
            <w:tcW w:type="dxa" w:w="3000"/>
            <w:shd w:fill="FFFFFF" w:val="clear"/>
            <w:tcMar>
              <w:top w:type="dxa" w:w="90"/>
              <w:left w:type="dxa" w:w="120"/>
              <w:bottom w:type="dxa" w:w="90"/>
              <w:right w:type="dxa" w:w="120"/>
            </w:tcMar>
          </w:tcPr>
          <w:p>
            <w:r>
              <w:rPr>
                <w:sz w:val="19"/>
                <w:szCs w:val="19"/>
              </w:rPr>
              <w:t xml:space="preserve">95%</w:t>
            </w:r>
          </w:p>
        </w:tc>
        <w:tc>
          <w:tcPr>
            <w:tcW w:type="dxa" w:w="3600"/>
            <w:shd w:fill="FFFFFF" w:val="clear"/>
            <w:tcMar>
              <w:top w:type="dxa" w:w="90"/>
              <w:left w:type="dxa" w:w="120"/>
              <w:bottom w:type="dxa" w:w="90"/>
              <w:right w:type="dxa" w:w="120"/>
            </w:tcMar>
          </w:tcPr>
          <w:p>
            <w:r>
              <w:rPr>
                <w:sz w:val="19"/>
                <w:szCs w:val="19"/>
              </w:rPr>
              <w:t xml:space="preserve">94%</w:t>
            </w:r>
          </w:p>
        </w:tc>
      </w:tr>
      <w:tr>
        <w:tc>
          <w:tcPr>
            <w:tcW w:type="dxa" w:w="3400"/>
            <w:shd w:fill="F2F2F2" w:val="clear"/>
            <w:tcMar>
              <w:top w:type="dxa" w:w="90"/>
              <w:left w:type="dxa" w:w="120"/>
              <w:bottom w:type="dxa" w:w="90"/>
              <w:right w:type="dxa" w:w="120"/>
            </w:tcMar>
          </w:tcPr>
          <w:p>
            <w:r>
              <w:rPr>
                <w:sz w:val="19"/>
                <w:szCs w:val="19"/>
              </w:rPr>
              <w:t xml:space="preserve">AUC-ROC</w:t>
            </w:r>
          </w:p>
        </w:tc>
        <w:tc>
          <w:tcPr>
            <w:tcW w:type="dxa" w:w="3000"/>
            <w:shd w:fill="F2F2F2" w:val="clear"/>
            <w:tcMar>
              <w:top w:type="dxa" w:w="90"/>
              <w:left w:type="dxa" w:w="120"/>
              <w:bottom w:type="dxa" w:w="90"/>
              <w:right w:type="dxa" w:w="120"/>
            </w:tcMar>
          </w:tcPr>
          <w:p>
            <w:r>
              <w:rPr>
                <w:sz w:val="19"/>
                <w:szCs w:val="19"/>
              </w:rPr>
              <w:t xml:space="preserve">0.9906</w:t>
            </w:r>
          </w:p>
        </w:tc>
        <w:tc>
          <w:tcPr>
            <w:tcW w:type="dxa" w:w="3600"/>
            <w:shd w:fill="F2F2F2" w:val="clear"/>
            <w:tcMar>
              <w:top w:type="dxa" w:w="90"/>
              <w:left w:type="dxa" w:w="120"/>
              <w:bottom w:type="dxa" w:w="90"/>
              <w:right w:type="dxa" w:w="120"/>
            </w:tcMar>
          </w:tcPr>
          <w:p>
            <w:r>
              <w:rPr>
                <w:sz w:val="19"/>
                <w:szCs w:val="19"/>
              </w:rPr>
              <w:t xml:space="preserve">0.9912</w:t>
            </w:r>
          </w:p>
        </w:tc>
      </w:tr>
    </w:tbl>
    <w:p>
      <w:pPr>
        <w:spacing w:after="150" w:line="300"/>
      </w:pPr>
      <w:r>
        <w:rPr>
          <w:sz w:val="21"/>
          <w:szCs w:val="21"/>
        </w:rPr>
        <w:t xml:space="preserve"/>
      </w:r>
    </w:p>
    <w:p>
      <w:pPr>
        <w:spacing w:after="150" w:line="300"/>
      </w:pPr>
      <w:r>
        <w:rPr>
          <w:sz w:val="21"/>
          <w:szCs w:val="21"/>
        </w:rPr>
        <w:t xml:space="preserve">The reduced-feature model (trained only on features with &gt;1% importance) performed essentially identically to the full model — confirming that a small core set of features (recency, seasonal, and consistency signals) carries nearly all the predictive power.</w:t>
      </w:r>
    </w:p>
    <w:p>
      <w:pPr>
        <w:spacing w:after="100" w:before="200"/>
      </w:pPr>
      <w:r>
        <w:rPr>
          <w:b/>
          <w:bCs/>
          <w:color w:val="C0621B"/>
          <w:sz w:val="22"/>
          <w:szCs w:val="22"/>
        </w:rPr>
        <w:t xml:space="preserve">Model comparison — why XGBoost was the final choice</w:t>
      </w:r>
    </w:p>
    <w:tbl>
      <w:tblPr>
        <w:tblW w:type="pct" w:w="100%"/>
        <w:tblBorders>
          <w:top w:val="single" w:color="FFFFFF" w:sz="4"/>
          <w:left w:val="single" w:color="C0621B" w:sz="24"/>
          <w:bottom w:val="single" w:color="FFFFFF" w:sz="4"/>
          <w:right w:val="single" w:color="FFFFFF" w:sz="4"/>
          <w:insideH w:val="single" w:color="auto" w:sz="4"/>
          <w:insideV w:val="single" w:color="auto" w:sz="4"/>
        </w:tblBorders>
      </w:tblPr>
      <w:tblGrid>
        <w:gridCol w:w="100"/>
      </w:tblGrid>
      <w:tr>
        <w:tc>
          <w:tcPr>
            <w:shd w:fill="F5F5F5" w:val="clear"/>
            <w:tcMar>
              <w:top w:type="dxa" w:w="150"/>
              <w:left w:type="dxa" w:w="250"/>
              <w:bottom w:type="dxa" w:w="150"/>
              <w:right w:type="dxa" w:w="250"/>
            </w:tcMar>
          </w:tcPr>
          <w:p>
            <w:pPr>
              <w:spacing w:after="80"/>
            </w:pPr>
            <w:r>
              <w:rPr>
                <w:b/>
                <w:bCs/>
                <w:color w:val="C0621B"/>
                <w:sz w:val="21"/>
                <w:szCs w:val="21"/>
              </w:rPr>
              <w:t xml:space="preserve">Logistic Regression vs. XGBoost</w:t>
            </w:r>
          </w:p>
          <w:p>
            <w:pPr>
              <w:spacing w:after="40"/>
            </w:pPr>
            <w:r>
              <w:rPr>
                <w:sz w:val="20"/>
                <w:szCs w:val="20"/>
              </w:rPr>
              <w:t xml:space="preserve">• Logistic Regression: higher precision (95%) but lower recall (89%) — misses more actual churners.</w:t>
            </w:r>
          </w:p>
          <w:p>
            <w:pPr>
              <w:spacing w:after="40"/>
            </w:pPr>
            <w:r>
              <w:rPr>
                <w:sz w:val="20"/>
                <w:szCs w:val="20"/>
              </w:rPr>
              <w:t xml:space="preserve">• XGBoost: lower precision (87%) but higher recall (95%) — catches more actual churners, at the cost of slightly more false alarms.</w:t>
            </w:r>
          </w:p>
          <w:p>
            <w:pPr>
              <w:spacing w:after="40"/>
            </w:pPr>
            <w:r>
              <w:rPr>
                <w:sz w:val="20"/>
                <w:szCs w:val="20"/>
              </w:rPr>
              <w:t xml:space="preserve">• Since the business priority is minimizing missed churners (a false alarm just costs an unnecessary offer; a missed churner costs a lost customer), XGBoost was selected as the final model.</w:t>
            </w:r>
          </w:p>
        </w:tc>
      </w:tr>
    </w:tbl>
    <w:p>
      <w:pPr>
        <w:spacing w:after="150" w:line="300"/>
      </w:pPr>
      <w:r>
        <w:rPr>
          <w:sz w:val="21"/>
          <w:szCs w:val="21"/>
        </w:rPr>
        <w:t xml:space="preserve"/>
      </w:r>
    </w:p>
    <w:p>
      <w:pPr>
        <w:pStyle w:val="Heading2"/>
        <w:spacing w:after="120" w:before="300"/>
      </w:pPr>
      <w:r>
        <w:rPr>
          <w:b/>
          <w:bCs/>
          <w:color w:val="0F6E56"/>
          <w:sz w:val="25"/>
          <w:szCs w:val="25"/>
        </w:rPr>
        <w:t xml:space="preserve">5.3 Feature Importance (XGBoost)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rPr>
          <w:tblHeader/>
        </w:trPr>
        <w:tc>
          <w:tcPr>
            <w:tcW w:type="dxa" w:w="5200"/>
            <w:shd w:fill="44546A" w:val="clear"/>
            <w:tcMar>
              <w:top w:type="dxa" w:w="100"/>
              <w:left w:type="dxa" w:w="120"/>
              <w:bottom w:type="dxa" w:w="100"/>
              <w:right w:type="dxa" w:w="120"/>
            </w:tcMar>
          </w:tcPr>
          <w:p>
            <w:r>
              <w:rPr>
                <w:b/>
                <w:bCs/>
                <w:color w:val="FFFFFF"/>
                <w:sz w:val="19"/>
                <w:szCs w:val="19"/>
              </w:rPr>
              <w:t xml:space="preserve">Feature</w:t>
            </w:r>
          </w:p>
        </w:tc>
        <w:tc>
          <w:tcPr>
            <w:tcW w:type="dxa" w:w="4200"/>
            <w:shd w:fill="44546A" w:val="clear"/>
            <w:tcMar>
              <w:top w:type="dxa" w:w="100"/>
              <w:left w:type="dxa" w:w="120"/>
              <w:bottom w:type="dxa" w:w="100"/>
              <w:right w:type="dxa" w:w="120"/>
            </w:tcMar>
          </w:tcPr>
          <w:p>
            <w:r>
              <w:rPr>
                <w:b/>
                <w:bCs/>
                <w:color w:val="FFFFFF"/>
                <w:sz w:val="19"/>
                <w:szCs w:val="19"/>
              </w:rPr>
              <w:t xml:space="preserve">Importance %</w:t>
            </w:r>
          </w:p>
        </w:tc>
      </w:tr>
      <w:tr>
        <w:tc>
          <w:tcPr>
            <w:tcW w:type="dxa" w:w="5200"/>
            <w:shd w:fill="FFFFFF" w:val="clear"/>
            <w:tcMar>
              <w:top w:type="dxa" w:w="90"/>
              <w:left w:type="dxa" w:w="120"/>
              <w:bottom w:type="dxa" w:w="90"/>
              <w:right w:type="dxa" w:w="120"/>
            </w:tcMar>
          </w:tcPr>
          <w:p>
            <w:r>
              <w:rPr>
                <w:sz w:val="19"/>
                <w:szCs w:val="19"/>
              </w:rPr>
              <w:t xml:space="preserve">Months_Since_Last_Flight</w:t>
            </w:r>
          </w:p>
        </w:tc>
        <w:tc>
          <w:tcPr>
            <w:tcW w:type="dxa" w:w="4200"/>
            <w:shd w:fill="FFFFFF" w:val="clear"/>
            <w:tcMar>
              <w:top w:type="dxa" w:w="90"/>
              <w:left w:type="dxa" w:w="120"/>
              <w:bottom w:type="dxa" w:w="90"/>
              <w:right w:type="dxa" w:w="120"/>
            </w:tcMar>
          </w:tcPr>
          <w:p>
            <w:r>
              <w:rPr>
                <w:sz w:val="19"/>
                <w:szCs w:val="19"/>
              </w:rPr>
              <w:t xml:space="preserve">26.6%</w:t>
            </w:r>
          </w:p>
        </w:tc>
      </w:tr>
      <w:tr>
        <w:tc>
          <w:tcPr>
            <w:tcW w:type="dxa" w:w="5200"/>
            <w:shd w:fill="F2F2F2" w:val="clear"/>
            <w:tcMar>
              <w:top w:type="dxa" w:w="90"/>
              <w:left w:type="dxa" w:w="120"/>
              <w:bottom w:type="dxa" w:w="90"/>
              <w:right w:type="dxa" w:w="120"/>
            </w:tcMar>
          </w:tcPr>
          <w:p>
            <w:r>
              <w:rPr>
                <w:sz w:val="19"/>
                <w:szCs w:val="19"/>
              </w:rPr>
              <w:t xml:space="preserve">Flights_Fall</w:t>
            </w:r>
          </w:p>
        </w:tc>
        <w:tc>
          <w:tcPr>
            <w:tcW w:type="dxa" w:w="4200"/>
            <w:shd w:fill="F2F2F2" w:val="clear"/>
            <w:tcMar>
              <w:top w:type="dxa" w:w="90"/>
              <w:left w:type="dxa" w:w="120"/>
              <w:bottom w:type="dxa" w:w="90"/>
              <w:right w:type="dxa" w:w="120"/>
            </w:tcMar>
          </w:tcPr>
          <w:p>
            <w:r>
              <w:rPr>
                <w:sz w:val="19"/>
                <w:szCs w:val="19"/>
              </w:rPr>
              <w:t xml:space="preserve">22.6%</w:t>
            </w:r>
          </w:p>
        </w:tc>
      </w:tr>
      <w:tr>
        <w:tc>
          <w:tcPr>
            <w:tcW w:type="dxa" w:w="5200"/>
            <w:shd w:fill="FFFFFF" w:val="clear"/>
            <w:tcMar>
              <w:top w:type="dxa" w:w="90"/>
              <w:left w:type="dxa" w:w="120"/>
              <w:bottom w:type="dxa" w:w="90"/>
              <w:right w:type="dxa" w:w="120"/>
            </w:tcMar>
          </w:tcPr>
          <w:p>
            <w:r>
              <w:rPr>
                <w:sz w:val="19"/>
                <w:szCs w:val="19"/>
              </w:rPr>
              <w:t xml:space="preserve">Flight_consistency_score</w:t>
            </w:r>
          </w:p>
        </w:tc>
        <w:tc>
          <w:tcPr>
            <w:tcW w:type="dxa" w:w="4200"/>
            <w:shd w:fill="FFFFFF" w:val="clear"/>
            <w:tcMar>
              <w:top w:type="dxa" w:w="90"/>
              <w:left w:type="dxa" w:w="120"/>
              <w:bottom w:type="dxa" w:w="90"/>
              <w:right w:type="dxa" w:w="120"/>
            </w:tcMar>
          </w:tcPr>
          <w:p>
            <w:r>
              <w:rPr>
                <w:sz w:val="19"/>
                <w:szCs w:val="19"/>
              </w:rPr>
              <w:t xml:space="preserve">11.3%</w:t>
            </w:r>
          </w:p>
        </w:tc>
      </w:tr>
      <w:tr>
        <w:tc>
          <w:tcPr>
            <w:tcW w:type="dxa" w:w="5200"/>
            <w:shd w:fill="F2F2F2" w:val="clear"/>
            <w:tcMar>
              <w:top w:type="dxa" w:w="90"/>
              <w:left w:type="dxa" w:w="120"/>
              <w:bottom w:type="dxa" w:w="90"/>
              <w:right w:type="dxa" w:w="120"/>
            </w:tcMar>
          </w:tcPr>
          <w:p>
            <w:r>
              <w:rPr>
                <w:sz w:val="19"/>
                <w:szCs w:val="19"/>
              </w:rPr>
              <w:t xml:space="preserve">Avg_Flights_Month</w:t>
            </w:r>
          </w:p>
        </w:tc>
        <w:tc>
          <w:tcPr>
            <w:tcW w:type="dxa" w:w="4200"/>
            <w:shd w:fill="F2F2F2" w:val="clear"/>
            <w:tcMar>
              <w:top w:type="dxa" w:w="90"/>
              <w:left w:type="dxa" w:w="120"/>
              <w:bottom w:type="dxa" w:w="90"/>
              <w:right w:type="dxa" w:w="120"/>
            </w:tcMar>
          </w:tcPr>
          <w:p>
            <w:r>
              <w:rPr>
                <w:sz w:val="19"/>
                <w:szCs w:val="19"/>
              </w:rPr>
              <w:t xml:space="preserve">6.9%</w:t>
            </w:r>
          </w:p>
        </w:tc>
      </w:tr>
      <w:tr>
        <w:tc>
          <w:tcPr>
            <w:tcW w:type="dxa" w:w="5200"/>
            <w:shd w:fill="FFFFFF" w:val="clear"/>
            <w:tcMar>
              <w:top w:type="dxa" w:w="90"/>
              <w:left w:type="dxa" w:w="120"/>
              <w:bottom w:type="dxa" w:w="90"/>
              <w:right w:type="dxa" w:w="120"/>
            </w:tcMar>
          </w:tcPr>
          <w:p>
            <w:r>
              <w:rPr>
                <w:sz w:val="19"/>
                <w:szCs w:val="19"/>
              </w:rPr>
              <w:t xml:space="preserve">Enrollment Type (Standard)</w:t>
            </w:r>
          </w:p>
        </w:tc>
        <w:tc>
          <w:tcPr>
            <w:tcW w:type="dxa" w:w="4200"/>
            <w:shd w:fill="FFFFFF" w:val="clear"/>
            <w:tcMar>
              <w:top w:type="dxa" w:w="90"/>
              <w:left w:type="dxa" w:w="120"/>
              <w:bottom w:type="dxa" w:w="90"/>
              <w:right w:type="dxa" w:w="120"/>
            </w:tcMar>
          </w:tcPr>
          <w:p>
            <w:r>
              <w:rPr>
                <w:sz w:val="19"/>
                <w:szCs w:val="19"/>
              </w:rPr>
              <w:t xml:space="preserve">6.0%</w:t>
            </w:r>
          </w:p>
        </w:tc>
      </w:tr>
      <w:tr>
        <w:tc>
          <w:tcPr>
            <w:tcW w:type="dxa" w:w="5200"/>
            <w:shd w:fill="F2F2F2" w:val="clear"/>
            <w:tcMar>
              <w:top w:type="dxa" w:w="90"/>
              <w:left w:type="dxa" w:w="120"/>
              <w:bottom w:type="dxa" w:w="90"/>
              <w:right w:type="dxa" w:w="120"/>
            </w:tcMar>
          </w:tcPr>
          <w:p>
            <w:r>
              <w:rPr>
                <w:sz w:val="19"/>
                <w:szCs w:val="19"/>
              </w:rPr>
              <w:t xml:space="preserve">Zero_Activity_Months</w:t>
            </w:r>
          </w:p>
        </w:tc>
        <w:tc>
          <w:tcPr>
            <w:tcW w:type="dxa" w:w="4200"/>
            <w:shd w:fill="F2F2F2" w:val="clear"/>
            <w:tcMar>
              <w:top w:type="dxa" w:w="90"/>
              <w:left w:type="dxa" w:w="120"/>
              <w:bottom w:type="dxa" w:w="90"/>
              <w:right w:type="dxa" w:w="120"/>
            </w:tcMar>
          </w:tcPr>
          <w:p>
            <w:r>
              <w:rPr>
                <w:sz w:val="19"/>
                <w:szCs w:val="19"/>
              </w:rPr>
              <w:t xml:space="preserve">3.5%</w:t>
            </w:r>
          </w:p>
        </w:tc>
      </w:tr>
      <w:tr>
        <w:tc>
          <w:tcPr>
            <w:tcW w:type="dxa" w:w="5200"/>
            <w:shd w:fill="FFFFFF" w:val="clear"/>
            <w:tcMar>
              <w:top w:type="dxa" w:w="90"/>
              <w:left w:type="dxa" w:w="120"/>
              <w:bottom w:type="dxa" w:w="90"/>
              <w:right w:type="dxa" w:w="120"/>
            </w:tcMar>
          </w:tcPr>
          <w:p>
            <w:r>
              <w:rPr>
                <w:sz w:val="19"/>
                <w:szCs w:val="19"/>
              </w:rPr>
              <w:t xml:space="preserve">Max_Flights_Month</w:t>
            </w:r>
          </w:p>
        </w:tc>
        <w:tc>
          <w:tcPr>
            <w:tcW w:type="dxa" w:w="4200"/>
            <w:shd w:fill="FFFFFF" w:val="clear"/>
            <w:tcMar>
              <w:top w:type="dxa" w:w="90"/>
              <w:left w:type="dxa" w:w="120"/>
              <w:bottom w:type="dxa" w:w="90"/>
              <w:right w:type="dxa" w:w="120"/>
            </w:tcMar>
          </w:tcPr>
          <w:p>
            <w:r>
              <w:rPr>
                <w:sz w:val="19"/>
                <w:szCs w:val="19"/>
              </w:rPr>
              <w:t xml:space="preserve">2.7%</w:t>
            </w:r>
          </w:p>
        </w:tc>
      </w:tr>
      <w:tr>
        <w:tc>
          <w:tcPr>
            <w:tcW w:type="dxa" w:w="5200"/>
            <w:shd w:fill="F2F2F2" w:val="clear"/>
            <w:tcMar>
              <w:top w:type="dxa" w:w="90"/>
              <w:left w:type="dxa" w:w="120"/>
              <w:bottom w:type="dxa" w:w="90"/>
              <w:right w:type="dxa" w:w="120"/>
            </w:tcMar>
          </w:tcPr>
          <w:p>
            <w:r>
              <w:rPr>
                <w:sz w:val="19"/>
                <w:szCs w:val="19"/>
              </w:rPr>
              <w:t xml:space="preserve">Flights_Winter</w:t>
            </w:r>
          </w:p>
        </w:tc>
        <w:tc>
          <w:tcPr>
            <w:tcW w:type="dxa" w:w="4200"/>
            <w:shd w:fill="F2F2F2" w:val="clear"/>
            <w:tcMar>
              <w:top w:type="dxa" w:w="90"/>
              <w:left w:type="dxa" w:w="120"/>
              <w:bottom w:type="dxa" w:w="90"/>
              <w:right w:type="dxa" w:w="120"/>
            </w:tcMar>
          </w:tcPr>
          <w:p>
            <w:r>
              <w:rPr>
                <w:sz w:val="19"/>
                <w:szCs w:val="19"/>
              </w:rPr>
              <w:t xml:space="preserve">2.6%</w:t>
            </w:r>
          </w:p>
        </w:tc>
      </w:tr>
      <w:tr>
        <w:tc>
          <w:tcPr>
            <w:tcW w:type="dxa" w:w="5200"/>
            <w:shd w:fill="FFFFFF" w:val="clear"/>
            <w:tcMar>
              <w:top w:type="dxa" w:w="90"/>
              <w:left w:type="dxa" w:w="120"/>
              <w:bottom w:type="dxa" w:w="90"/>
              <w:right w:type="dxa" w:w="120"/>
            </w:tcMar>
          </w:tcPr>
          <w:p>
            <w:r>
              <w:rPr>
                <w:sz w:val="19"/>
                <w:szCs w:val="19"/>
              </w:rPr>
              <w:t xml:space="preserve">Total_Flights</w:t>
            </w:r>
          </w:p>
        </w:tc>
        <w:tc>
          <w:tcPr>
            <w:tcW w:type="dxa" w:w="4200"/>
            <w:shd w:fill="FFFFFF" w:val="clear"/>
            <w:tcMar>
              <w:top w:type="dxa" w:w="90"/>
              <w:left w:type="dxa" w:w="120"/>
              <w:bottom w:type="dxa" w:w="90"/>
              <w:right w:type="dxa" w:w="120"/>
            </w:tcMar>
          </w:tcPr>
          <w:p>
            <w:r>
              <w:rPr>
                <w:sz w:val="19"/>
                <w:szCs w:val="19"/>
              </w:rPr>
              <w:t xml:space="preserve">2.4%</w:t>
            </w:r>
          </w:p>
        </w:tc>
      </w:tr>
      <w:tr>
        <w:tc>
          <w:tcPr>
            <w:tcW w:type="dxa" w:w="5200"/>
            <w:shd w:fill="F2F2F2" w:val="clear"/>
            <w:tcMar>
              <w:top w:type="dxa" w:w="90"/>
              <w:left w:type="dxa" w:w="120"/>
              <w:bottom w:type="dxa" w:w="90"/>
              <w:right w:type="dxa" w:w="120"/>
            </w:tcMar>
          </w:tcPr>
          <w:p>
            <w:r>
              <w:rPr>
                <w:sz w:val="19"/>
                <w:szCs w:val="19"/>
              </w:rPr>
              <w:t xml:space="preserve">Tenure_Months</w:t>
            </w:r>
          </w:p>
        </w:tc>
        <w:tc>
          <w:tcPr>
            <w:tcW w:type="dxa" w:w="4200"/>
            <w:shd w:fill="F2F2F2" w:val="clear"/>
            <w:tcMar>
              <w:top w:type="dxa" w:w="90"/>
              <w:left w:type="dxa" w:w="120"/>
              <w:bottom w:type="dxa" w:w="90"/>
              <w:right w:type="dxa" w:w="120"/>
            </w:tcMar>
          </w:tcPr>
          <w:p>
            <w:r>
              <w:rPr>
                <w:sz w:val="19"/>
                <w:szCs w:val="19"/>
              </w:rPr>
              <w:t xml:space="preserve">1.8%</w:t>
            </w:r>
          </w:p>
        </w:tc>
      </w:tr>
    </w:tbl>
    <w:p>
      <w:pPr>
        <w:spacing w:after="150" w:line="300"/>
      </w:pPr>
      <w:r>
        <w:rPr>
          <w:sz w:val="21"/>
          <w:szCs w:val="21"/>
        </w:rPr>
        <w:t xml:space="preserve"/>
      </w:r>
    </w:p>
    <w:p>
      <w:pPr>
        <w:spacing w:after="150" w:line="300"/>
      </w:pPr>
      <w:r>
        <w:rPr>
          <w:sz w:val="21"/>
          <w:szCs w:val="21"/>
        </w:rPr>
        <w:t xml:space="preserve">Recency (Months_Since_Last_Flight) is roughly the same importance as the next several features combined — confirming it as the dominant, single most actionable signal in the entire model.</w:t>
      </w:r>
    </w:p>
    <w:p>
      <w:pPr>
        <w:pStyle w:val="Heading2"/>
        <w:spacing w:after="120" w:before="300"/>
      </w:pPr>
      <w:r>
        <w:rPr>
          <w:b/>
          <w:bCs/>
          <w:color w:val="0F6E56"/>
          <w:sz w:val="25"/>
          <w:szCs w:val="25"/>
        </w:rPr>
        <w:t xml:space="preserve">5.4 Risk Tiers</w:t>
      </w:r>
    </w:p>
    <w:p>
      <w:pPr>
        <w:spacing w:after="150" w:line="300"/>
      </w:pPr>
      <w:r>
        <w:rPr>
          <w:sz w:val="21"/>
          <w:szCs w:val="21"/>
        </w:rPr>
        <w:t xml:space="preserve">Every customer was scored with a churn probability and assigned to a tier, so marketing could prioritize outreach rather than treating every customer identically.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2600"/>
      </w:tblGrid>
      <w:tr>
        <w:trPr>
          <w:tblHeader/>
        </w:trPr>
        <w:tc>
          <w:tcPr>
            <w:tcW w:type="dxa" w:w="2600"/>
            <w:shd w:fill="44546A" w:val="clear"/>
            <w:tcMar>
              <w:top w:type="dxa" w:w="100"/>
              <w:left w:type="dxa" w:w="120"/>
              <w:bottom w:type="dxa" w:w="100"/>
              <w:right w:type="dxa" w:w="120"/>
            </w:tcMar>
          </w:tcPr>
          <w:p>
            <w:r>
              <w:rPr>
                <w:b/>
                <w:bCs/>
                <w:color w:val="FFFFFF"/>
                <w:sz w:val="19"/>
                <w:szCs w:val="19"/>
              </w:rPr>
              <w:t xml:space="preserve">Tier</w:t>
            </w:r>
          </w:p>
        </w:tc>
        <w:tc>
          <w:tcPr>
            <w:tcW w:type="dxa" w:w="2400"/>
            <w:shd w:fill="44546A" w:val="clear"/>
            <w:tcMar>
              <w:top w:type="dxa" w:w="100"/>
              <w:left w:type="dxa" w:w="120"/>
              <w:bottom w:type="dxa" w:w="100"/>
              <w:right w:type="dxa" w:w="120"/>
            </w:tcMar>
          </w:tcPr>
          <w:p>
            <w:r>
              <w:rPr>
                <w:b/>
                <w:bCs/>
                <w:color w:val="FFFFFF"/>
                <w:sz w:val="19"/>
                <w:szCs w:val="19"/>
              </w:rPr>
              <w:t xml:space="preserve">Threshold</w:t>
            </w:r>
          </w:p>
        </w:tc>
        <w:tc>
          <w:tcPr>
            <w:tcW w:type="dxa" w:w="2400"/>
            <w:shd w:fill="44546A" w:val="clear"/>
            <w:tcMar>
              <w:top w:type="dxa" w:w="100"/>
              <w:left w:type="dxa" w:w="120"/>
              <w:bottom w:type="dxa" w:w="100"/>
              <w:right w:type="dxa" w:w="120"/>
            </w:tcMar>
          </w:tcPr>
          <w:p>
            <w:r>
              <w:rPr>
                <w:b/>
                <w:bCs/>
                <w:color w:val="FFFFFF"/>
                <w:sz w:val="19"/>
                <w:szCs w:val="19"/>
              </w:rPr>
              <w:t xml:space="preserve">% of Customers</w:t>
            </w:r>
          </w:p>
        </w:tc>
        <w:tc>
          <w:tcPr>
            <w:tcW w:type="dxa" w:w="2600"/>
            <w:shd w:fill="44546A" w:val="clear"/>
            <w:tcMar>
              <w:top w:type="dxa" w:w="100"/>
              <w:left w:type="dxa" w:w="120"/>
              <w:bottom w:type="dxa" w:w="100"/>
              <w:right w:type="dxa" w:w="120"/>
            </w:tcMar>
          </w:tcPr>
          <w:p>
            <w:r>
              <w:rPr>
                <w:b/>
                <w:bCs/>
                <w:color w:val="FFFFFF"/>
                <w:sz w:val="19"/>
                <w:szCs w:val="19"/>
              </w:rPr>
              <w:t xml:space="preserve">Actual Churn Rate in Tier</w:t>
            </w:r>
          </w:p>
        </w:tc>
      </w:tr>
      <w:tr>
        <w:tc>
          <w:tcPr>
            <w:tcW w:type="dxa" w:w="2600"/>
            <w:shd w:fill="FFFFFF" w:val="clear"/>
            <w:tcMar>
              <w:top w:type="dxa" w:w="90"/>
              <w:left w:type="dxa" w:w="120"/>
              <w:bottom w:type="dxa" w:w="90"/>
              <w:right w:type="dxa" w:w="120"/>
            </w:tcMar>
          </w:tcPr>
          <w:p>
            <w:r>
              <w:rPr>
                <w:sz w:val="19"/>
                <w:szCs w:val="19"/>
              </w:rPr>
              <w:t xml:space="preserve">High Risk</w:t>
            </w:r>
          </w:p>
        </w:tc>
        <w:tc>
          <w:tcPr>
            <w:tcW w:type="dxa" w:w="2400"/>
            <w:shd w:fill="FFFFFF" w:val="clear"/>
            <w:tcMar>
              <w:top w:type="dxa" w:w="90"/>
              <w:left w:type="dxa" w:w="120"/>
              <w:bottom w:type="dxa" w:w="90"/>
              <w:right w:type="dxa" w:w="120"/>
            </w:tcMar>
          </w:tcPr>
          <w:p>
            <w:r>
              <w:rPr>
                <w:sz w:val="19"/>
                <w:szCs w:val="19"/>
              </w:rPr>
              <w:t xml:space="preserve">≥ 0.5</w:t>
            </w:r>
          </w:p>
        </w:tc>
        <w:tc>
          <w:tcPr>
            <w:tcW w:type="dxa" w:w="2400"/>
            <w:shd w:fill="FFFFFF" w:val="clear"/>
            <w:tcMar>
              <w:top w:type="dxa" w:w="90"/>
              <w:left w:type="dxa" w:w="120"/>
              <w:bottom w:type="dxa" w:w="90"/>
              <w:right w:type="dxa" w:w="120"/>
            </w:tcMar>
          </w:tcPr>
          <w:p>
            <w:r>
              <w:rPr>
                <w:sz w:val="19"/>
                <w:szCs w:val="19"/>
              </w:rPr>
              <w:t xml:space="preserve">17.5%</w:t>
            </w:r>
          </w:p>
        </w:tc>
        <w:tc>
          <w:tcPr>
            <w:tcW w:type="dxa" w:w="2600"/>
            <w:shd w:fill="FFFFFF" w:val="clear"/>
            <w:tcMar>
              <w:top w:type="dxa" w:w="90"/>
              <w:left w:type="dxa" w:w="120"/>
              <w:bottom w:type="dxa" w:w="90"/>
              <w:right w:type="dxa" w:w="120"/>
            </w:tcMar>
          </w:tcPr>
          <w:p>
            <w:r>
              <w:rPr>
                <w:sz w:val="19"/>
                <w:szCs w:val="19"/>
              </w:rPr>
              <w:t xml:space="preserve">95.4%</w:t>
            </w:r>
          </w:p>
        </w:tc>
      </w:tr>
      <w:tr>
        <w:tc>
          <w:tcPr>
            <w:tcW w:type="dxa" w:w="2600"/>
            <w:shd w:fill="F2F2F2" w:val="clear"/>
            <w:tcMar>
              <w:top w:type="dxa" w:w="90"/>
              <w:left w:type="dxa" w:w="120"/>
              <w:bottom w:type="dxa" w:w="90"/>
              <w:right w:type="dxa" w:w="120"/>
            </w:tcMar>
          </w:tcPr>
          <w:p>
            <w:r>
              <w:rPr>
                <w:sz w:val="19"/>
                <w:szCs w:val="19"/>
              </w:rPr>
              <w:t xml:space="preserve">Medium Risk</w:t>
            </w:r>
          </w:p>
        </w:tc>
        <w:tc>
          <w:tcPr>
            <w:tcW w:type="dxa" w:w="2400"/>
            <w:shd w:fill="F2F2F2" w:val="clear"/>
            <w:tcMar>
              <w:top w:type="dxa" w:w="90"/>
              <w:left w:type="dxa" w:w="120"/>
              <w:bottom w:type="dxa" w:w="90"/>
              <w:right w:type="dxa" w:w="120"/>
            </w:tcMar>
          </w:tcPr>
          <w:p>
            <w:r>
              <w:rPr>
                <w:sz w:val="19"/>
                <w:szCs w:val="19"/>
              </w:rPr>
              <w:t xml:space="preserve">0.2 – 0.49</w:t>
            </w:r>
          </w:p>
        </w:tc>
        <w:tc>
          <w:tcPr>
            <w:tcW w:type="dxa" w:w="2400"/>
            <w:shd w:fill="F2F2F2" w:val="clear"/>
            <w:tcMar>
              <w:top w:type="dxa" w:w="90"/>
              <w:left w:type="dxa" w:w="120"/>
              <w:bottom w:type="dxa" w:w="90"/>
              <w:right w:type="dxa" w:w="120"/>
            </w:tcMar>
          </w:tcPr>
          <w:p>
            <w:r>
              <w:rPr>
                <w:sz w:val="19"/>
                <w:szCs w:val="19"/>
              </w:rPr>
              <w:t xml:space="preserve">4.4%</w:t>
            </w:r>
          </w:p>
        </w:tc>
        <w:tc>
          <w:tcPr>
            <w:tcW w:type="dxa" w:w="2600"/>
            <w:shd w:fill="F2F2F2" w:val="clear"/>
            <w:tcMar>
              <w:top w:type="dxa" w:w="90"/>
              <w:left w:type="dxa" w:w="120"/>
              <w:bottom w:type="dxa" w:w="90"/>
              <w:right w:type="dxa" w:w="120"/>
            </w:tcMar>
          </w:tcPr>
          <w:p>
            <w:r>
              <w:rPr>
                <w:sz w:val="19"/>
                <w:szCs w:val="19"/>
              </w:rPr>
              <w:t xml:space="preserve">2.6%</w:t>
            </w:r>
          </w:p>
        </w:tc>
      </w:tr>
      <w:tr>
        <w:tc>
          <w:tcPr>
            <w:tcW w:type="dxa" w:w="2600"/>
            <w:shd w:fill="FFFFFF" w:val="clear"/>
            <w:tcMar>
              <w:top w:type="dxa" w:w="90"/>
              <w:left w:type="dxa" w:w="120"/>
              <w:bottom w:type="dxa" w:w="90"/>
              <w:right w:type="dxa" w:w="120"/>
            </w:tcMar>
          </w:tcPr>
          <w:p>
            <w:r>
              <w:rPr>
                <w:sz w:val="19"/>
                <w:szCs w:val="19"/>
              </w:rPr>
              <w:t xml:space="preserve">Low Risk</w:t>
            </w:r>
          </w:p>
        </w:tc>
        <w:tc>
          <w:tcPr>
            <w:tcW w:type="dxa" w:w="2400"/>
            <w:shd w:fill="FFFFFF" w:val="clear"/>
            <w:tcMar>
              <w:top w:type="dxa" w:w="90"/>
              <w:left w:type="dxa" w:w="120"/>
              <w:bottom w:type="dxa" w:w="90"/>
              <w:right w:type="dxa" w:w="120"/>
            </w:tcMar>
          </w:tcPr>
          <w:p>
            <w:r>
              <w:rPr>
                <w:sz w:val="19"/>
                <w:szCs w:val="19"/>
              </w:rPr>
              <w:t xml:space="preserve">&lt; 0.2</w:t>
            </w:r>
          </w:p>
        </w:tc>
        <w:tc>
          <w:tcPr>
            <w:tcW w:type="dxa" w:w="2400"/>
            <w:shd w:fill="FFFFFF" w:val="clear"/>
            <w:tcMar>
              <w:top w:type="dxa" w:w="90"/>
              <w:left w:type="dxa" w:w="120"/>
              <w:bottom w:type="dxa" w:w="90"/>
              <w:right w:type="dxa" w:w="120"/>
            </w:tcMar>
          </w:tcPr>
          <w:p>
            <w:r>
              <w:rPr>
                <w:sz w:val="19"/>
                <w:szCs w:val="19"/>
              </w:rPr>
              <w:t xml:space="preserve">78.1%</w:t>
            </w:r>
          </w:p>
        </w:tc>
        <w:tc>
          <w:tcPr>
            <w:tcW w:type="dxa" w:w="2600"/>
            <w:shd w:fill="FFFFFF" w:val="clear"/>
            <w:tcMar>
              <w:top w:type="dxa" w:w="90"/>
              <w:left w:type="dxa" w:w="120"/>
              <w:bottom w:type="dxa" w:w="90"/>
              <w:right w:type="dxa" w:w="120"/>
            </w:tcMar>
          </w:tcPr>
          <w:p>
            <w:r>
              <w:rPr>
                <w:sz w:val="19"/>
                <w:szCs w:val="19"/>
              </w:rPr>
              <w:t xml:space="preserve">2.0%</w:t>
            </w:r>
          </w:p>
        </w:tc>
      </w:tr>
    </w:tbl>
    <w:p>
      <w:pPr>
        <w:spacing w:after="150" w:line="300"/>
      </w:pPr>
      <w:r>
        <w:rPr>
          <w:sz w:val="21"/>
          <w:szCs w:val="21"/>
        </w:rPr>
        <w:t xml:space="preserve"/>
      </w:r>
    </w:p>
    <w:p>
      <w:pPr>
        <w:spacing w:after="150" w:line="300"/>
      </w:pPr>
      <w:r>
        <w:rPr>
          <w:sz w:val="21"/>
          <w:szCs w:val="21"/>
        </w:rPr>
        <w:t xml:space="preserve">This confirms the model isn't just statistically strong — it's operationally useful. The High Risk tier, despite being under a fifth of all customers, contains the overwhelming majority of people who actually churn.</w:t>
      </w:r>
    </w:p>
    <w:p>
      <w:r>
        <w:br w:type="page"/>
      </w:r>
    </w:p>
    <w:p>
      <w:pPr>
        <w:pStyle w:val="Heading1"/>
        <w:pBdr>
          <w:bottom w:val="single" w:color="1F3864" w:sz="8" w:space="4"/>
        </w:pBdr>
        <w:spacing w:after="200" w:before="400"/>
      </w:pPr>
      <w:r>
        <w:rPr>
          <w:b/>
          <w:bCs/>
          <w:color w:val="1F3864"/>
          <w:sz w:val="30"/>
          <w:szCs w:val="30"/>
        </w:rPr>
        <w:t xml:space="preserve">6. Customer Segmentation (K-Means)</w:t>
      </w:r>
    </w:p>
    <w:p>
      <w:pPr>
        <w:spacing w:after="150" w:line="300"/>
      </w:pPr>
      <w:r>
        <w:rPr>
          <w:sz w:val="21"/>
          <w:szCs w:val="21"/>
        </w:rPr>
        <w:t xml:space="preserve">Where churn prediction asks 'will this person leave,' segmentation asks a different question: 'what natural, distinct types of customers exist in this base, based on behavior.' K-Means was chosen for this — an unsupervised method that finds groupings without being told the answer in advance.</w:t>
      </w:r>
    </w:p>
    <w:p>
      <w:pPr>
        <w:pStyle w:val="Heading2"/>
        <w:spacing w:after="120" w:before="300"/>
      </w:pPr>
      <w:r>
        <w:rPr>
          <w:b/>
          <w:bCs/>
          <w:color w:val="0F6E56"/>
          <w:sz w:val="25"/>
          <w:szCs w:val="25"/>
        </w:rPr>
        <w:t xml:space="preserve">6.1 Why K-Means Over DBSCAN or Hierarchical Clustering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44546A" w:val="clear"/>
            <w:tcMar>
              <w:top w:type="dxa" w:w="100"/>
              <w:left w:type="dxa" w:w="120"/>
              <w:bottom w:type="dxa" w:w="100"/>
              <w:right w:type="dxa" w:w="120"/>
            </w:tcMar>
          </w:tcPr>
          <w:p>
            <w:r>
              <w:rPr>
                <w:b/>
                <w:bCs/>
                <w:color w:val="FFFFFF"/>
                <w:sz w:val="19"/>
                <w:szCs w:val="19"/>
              </w:rPr>
              <w:t xml:space="preserve">Method</w:t>
            </w:r>
          </w:p>
        </w:tc>
        <w:tc>
          <w:tcPr>
            <w:tcW w:type="dxa" w:w="6800"/>
            <w:shd w:fill="44546A" w:val="clear"/>
            <w:tcMar>
              <w:top w:type="dxa" w:w="100"/>
              <w:left w:type="dxa" w:w="120"/>
              <w:bottom w:type="dxa" w:w="100"/>
              <w:right w:type="dxa" w:w="120"/>
            </w:tcMar>
          </w:tcPr>
          <w:p>
            <w:r>
              <w:rPr>
                <w:b/>
                <w:bCs/>
                <w:color w:val="FFFFFF"/>
                <w:sz w:val="19"/>
                <w:szCs w:val="19"/>
              </w:rPr>
              <w:t xml:space="preserve">Why it wasn't chosen</w:t>
            </w:r>
          </w:p>
        </w:tc>
      </w:tr>
      <w:tr>
        <w:tc>
          <w:tcPr>
            <w:tcW w:type="dxa" w:w="2600"/>
            <w:shd w:fill="FFFFFF" w:val="clear"/>
            <w:tcMar>
              <w:top w:type="dxa" w:w="90"/>
              <w:left w:type="dxa" w:w="120"/>
              <w:bottom w:type="dxa" w:w="90"/>
              <w:right w:type="dxa" w:w="120"/>
            </w:tcMar>
          </w:tcPr>
          <w:p>
            <w:r>
              <w:rPr>
                <w:sz w:val="19"/>
                <w:szCs w:val="19"/>
              </w:rPr>
              <w:t xml:space="preserve">DBSCAN</w:t>
            </w:r>
          </w:p>
        </w:tc>
        <w:tc>
          <w:tcPr>
            <w:tcW w:type="dxa" w:w="6800"/>
            <w:shd w:fill="FFFFFF" w:val="clear"/>
            <w:tcMar>
              <w:top w:type="dxa" w:w="90"/>
              <w:left w:type="dxa" w:w="120"/>
              <w:bottom w:type="dxa" w:w="90"/>
              <w:right w:type="dxa" w:w="120"/>
            </w:tcMar>
          </w:tcPr>
          <w:p>
            <w:r>
              <w:rPr>
                <w:sz w:val="19"/>
                <w:szCs w:val="19"/>
              </w:rPr>
              <w:t xml:space="preserve">Suited to irregular cluster shapes and noisy outliers; behavioral metrics here form fairly natural, compact groupings instead. DBSCAN also doesn't guarantee every point gets a cluster — a problem when every customer needs a segment for marketing to act on.</w:t>
            </w:r>
          </w:p>
        </w:tc>
      </w:tr>
      <w:tr>
        <w:tc>
          <w:tcPr>
            <w:tcW w:type="dxa" w:w="2600"/>
            <w:shd w:fill="F2F2F2" w:val="clear"/>
            <w:tcMar>
              <w:top w:type="dxa" w:w="90"/>
              <w:left w:type="dxa" w:w="120"/>
              <w:bottom w:type="dxa" w:w="90"/>
              <w:right w:type="dxa" w:w="120"/>
            </w:tcMar>
          </w:tcPr>
          <w:p>
            <w:r>
              <w:rPr>
                <w:sz w:val="19"/>
                <w:szCs w:val="19"/>
              </w:rPr>
              <w:t xml:space="preserve">Hierarchical Clustering</w:t>
            </w:r>
          </w:p>
        </w:tc>
        <w:tc>
          <w:tcPr>
            <w:tcW w:type="dxa" w:w="6800"/>
            <w:shd w:fill="F2F2F2" w:val="clear"/>
            <w:tcMar>
              <w:top w:type="dxa" w:w="90"/>
              <w:left w:type="dxa" w:w="120"/>
              <w:bottom w:type="dxa" w:w="90"/>
              <w:right w:type="dxa" w:w="120"/>
            </w:tcMar>
          </w:tcPr>
          <w:p>
            <w:r>
              <w:rPr>
                <w:sz w:val="19"/>
                <w:szCs w:val="19"/>
              </w:rPr>
              <w:t xml:space="preserve">Computationally expensive at this scale (16,700+ customers) since it compares every point to every other point; more practical for datasets of a few hundred to low thousands.</w:t>
            </w:r>
          </w:p>
        </w:tc>
      </w:tr>
      <w:tr>
        <w:tc>
          <w:tcPr>
            <w:tcW w:type="dxa" w:w="2600"/>
            <w:shd w:fill="FFFFFF" w:val="clear"/>
            <w:tcMar>
              <w:top w:type="dxa" w:w="90"/>
              <w:left w:type="dxa" w:w="120"/>
              <w:bottom w:type="dxa" w:w="90"/>
              <w:right w:type="dxa" w:w="120"/>
            </w:tcMar>
          </w:tcPr>
          <w:p>
            <w:r>
              <w:rPr>
                <w:sz w:val="19"/>
                <w:szCs w:val="19"/>
              </w:rPr>
              <w:t xml:space="preserve">K-Means (chosen)</w:t>
            </w:r>
          </w:p>
        </w:tc>
        <w:tc>
          <w:tcPr>
            <w:tcW w:type="dxa" w:w="6800"/>
            <w:shd w:fill="FFFFFF" w:val="clear"/>
            <w:tcMar>
              <w:top w:type="dxa" w:w="90"/>
              <w:left w:type="dxa" w:w="120"/>
              <w:bottom w:type="dxa" w:w="90"/>
              <w:right w:type="dxa" w:w="120"/>
            </w:tcMar>
          </w:tcPr>
          <w:p>
            <w:r>
              <w:rPr>
                <w:sz w:val="19"/>
                <w:szCs w:val="19"/>
              </w:rPr>
              <w:t xml:space="preserve">Fast and scalable to this dataset size, works well when groups are reasonably compact and distinct, and guarantees every customer is assigned to exactly one segment.</w:t>
            </w:r>
          </w:p>
        </w:tc>
      </w:tr>
    </w:tbl>
    <w:p>
      <w:pPr>
        <w:spacing w:after="150" w:line="300"/>
      </w:pPr>
      <w:r>
        <w:rPr>
          <w:sz w:val="21"/>
          <w:szCs w:val="21"/>
        </w:rPr>
        <w:t xml:space="preserve"/>
      </w:r>
    </w:p>
    <w:p>
      <w:pPr>
        <w:pStyle w:val="Heading2"/>
        <w:spacing w:after="120" w:before="300"/>
      </w:pPr>
      <w:r>
        <w:rPr>
          <w:b/>
          <w:bCs/>
          <w:color w:val="0F6E56"/>
          <w:sz w:val="25"/>
          <w:szCs w:val="25"/>
        </w:rPr>
        <w:t xml:space="preserve">6.2 Choosing k — Elbow Method + Silhouette Score</w:t>
      </w:r>
    </w:p>
    <w:p>
      <w:pPr>
        <w:spacing w:after="150" w:line="300"/>
      </w:pPr>
      <w:r>
        <w:rPr>
          <w:sz w:val="21"/>
          <w:szCs w:val="21"/>
        </w:rPr>
        <w:t xml:space="preserve">k was tested from 2 to 8. Two methods were used together: the elbow method (looking for where adding more clusters stops meaningfully reducing inertia) and the silhouette score (measuring how well-separated clusters are; range -1 to +1, higher is better).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rPr>
          <w:tblHeader/>
        </w:trPr>
        <w:tc>
          <w:tcPr>
            <w:tcW w:type="dxa" w:w="1800"/>
            <w:shd w:fill="44546A" w:val="clear"/>
            <w:tcMar>
              <w:top w:type="dxa" w:w="100"/>
              <w:left w:type="dxa" w:w="120"/>
              <w:bottom w:type="dxa" w:w="100"/>
              <w:right w:type="dxa" w:w="120"/>
            </w:tcMar>
          </w:tcPr>
          <w:p>
            <w:r>
              <w:rPr>
                <w:b/>
                <w:bCs/>
                <w:color w:val="FFFFFF"/>
                <w:sz w:val="19"/>
                <w:szCs w:val="19"/>
              </w:rPr>
              <w:t xml:space="preserve">k</w:t>
            </w:r>
          </w:p>
        </w:tc>
        <w:tc>
          <w:tcPr>
            <w:tcW w:type="dxa" w:w="3800"/>
            <w:shd w:fill="44546A" w:val="clear"/>
            <w:tcMar>
              <w:top w:type="dxa" w:w="100"/>
              <w:left w:type="dxa" w:w="120"/>
              <w:bottom w:type="dxa" w:w="100"/>
              <w:right w:type="dxa" w:w="120"/>
            </w:tcMar>
          </w:tcPr>
          <w:p>
            <w:r>
              <w:rPr>
                <w:b/>
                <w:bCs/>
                <w:color w:val="FFFFFF"/>
                <w:sz w:val="19"/>
                <w:szCs w:val="19"/>
              </w:rPr>
              <w:t xml:space="preserve">Inertia</w:t>
            </w:r>
          </w:p>
        </w:tc>
        <w:tc>
          <w:tcPr>
            <w:tcW w:type="dxa" w:w="3800"/>
            <w:shd w:fill="44546A" w:val="clear"/>
            <w:tcMar>
              <w:top w:type="dxa" w:w="100"/>
              <w:left w:type="dxa" w:w="120"/>
              <w:bottom w:type="dxa" w:w="100"/>
              <w:right w:type="dxa" w:w="120"/>
            </w:tcMar>
          </w:tcPr>
          <w:p>
            <w:r>
              <w:rPr>
                <w:b/>
                <w:bCs/>
                <w:color w:val="FFFFFF"/>
                <w:sz w:val="19"/>
                <w:szCs w:val="19"/>
              </w:rPr>
              <w:t xml:space="preserve">Silhouette Score</w:t>
            </w:r>
          </w:p>
        </w:tc>
      </w:tr>
      <w:tr>
        <w:tc>
          <w:tcPr>
            <w:tcW w:type="dxa" w:w="1800"/>
            <w:shd w:fill="FFFFFF" w:val="clear"/>
            <w:tcMar>
              <w:top w:type="dxa" w:w="90"/>
              <w:left w:type="dxa" w:w="120"/>
              <w:bottom w:type="dxa" w:w="90"/>
              <w:right w:type="dxa" w:w="120"/>
            </w:tcMar>
          </w:tcPr>
          <w:p>
            <w:r>
              <w:rPr>
                <w:sz w:val="19"/>
                <w:szCs w:val="19"/>
              </w:rPr>
              <w:t xml:space="preserve">2</w:t>
            </w:r>
          </w:p>
        </w:tc>
        <w:tc>
          <w:tcPr>
            <w:tcW w:type="dxa" w:w="3800"/>
            <w:shd w:fill="FFFFFF" w:val="clear"/>
            <w:tcMar>
              <w:top w:type="dxa" w:w="90"/>
              <w:left w:type="dxa" w:w="120"/>
              <w:bottom w:type="dxa" w:w="90"/>
              <w:right w:type="dxa" w:w="120"/>
            </w:tcMar>
          </w:tcPr>
          <w:p>
            <w:r>
              <w:rPr>
                <w:sz w:val="19"/>
                <w:szCs w:val="19"/>
              </w:rPr>
              <w:t xml:space="preserve">381,743</w:t>
            </w:r>
          </w:p>
        </w:tc>
        <w:tc>
          <w:tcPr>
            <w:tcW w:type="dxa" w:w="3800"/>
            <w:shd w:fill="FFFFFF" w:val="clear"/>
            <w:tcMar>
              <w:top w:type="dxa" w:w="90"/>
              <w:left w:type="dxa" w:w="120"/>
              <w:bottom w:type="dxa" w:w="90"/>
              <w:right w:type="dxa" w:w="120"/>
            </w:tcMar>
          </w:tcPr>
          <w:p>
            <w:r>
              <w:rPr>
                <w:sz w:val="19"/>
                <w:szCs w:val="19"/>
              </w:rPr>
              <w:t xml:space="preserve">0.278</w:t>
            </w:r>
          </w:p>
        </w:tc>
      </w:tr>
      <w:tr>
        <w:tc>
          <w:tcPr>
            <w:tcW w:type="dxa" w:w="1800"/>
            <w:shd w:fill="F2F2F2" w:val="clear"/>
            <w:tcMar>
              <w:top w:type="dxa" w:w="90"/>
              <w:left w:type="dxa" w:w="120"/>
              <w:bottom w:type="dxa" w:w="90"/>
              <w:right w:type="dxa" w:w="120"/>
            </w:tcMar>
          </w:tcPr>
          <w:p>
            <w:r>
              <w:rPr>
                <w:sz w:val="19"/>
                <w:szCs w:val="19"/>
              </w:rPr>
              <w:t xml:space="preserve">3</w:t>
            </w:r>
          </w:p>
        </w:tc>
        <w:tc>
          <w:tcPr>
            <w:tcW w:type="dxa" w:w="3800"/>
            <w:shd w:fill="F2F2F2" w:val="clear"/>
            <w:tcMar>
              <w:top w:type="dxa" w:w="90"/>
              <w:left w:type="dxa" w:w="120"/>
              <w:bottom w:type="dxa" w:w="90"/>
              <w:right w:type="dxa" w:w="120"/>
            </w:tcMar>
          </w:tcPr>
          <w:p>
            <w:r>
              <w:rPr>
                <w:sz w:val="19"/>
                <w:szCs w:val="19"/>
              </w:rPr>
              <w:t xml:space="preserve">328,601</w:t>
            </w:r>
          </w:p>
        </w:tc>
        <w:tc>
          <w:tcPr>
            <w:tcW w:type="dxa" w:w="3800"/>
            <w:shd w:fill="F2F2F2" w:val="clear"/>
            <w:tcMar>
              <w:top w:type="dxa" w:w="90"/>
              <w:left w:type="dxa" w:w="120"/>
              <w:bottom w:type="dxa" w:w="90"/>
              <w:right w:type="dxa" w:w="120"/>
            </w:tcMar>
          </w:tcPr>
          <w:p>
            <w:r>
              <w:rPr>
                <w:sz w:val="19"/>
                <w:szCs w:val="19"/>
              </w:rPr>
              <w:t xml:space="preserve">0.302 (highest)</w:t>
            </w:r>
          </w:p>
        </w:tc>
      </w:tr>
      <w:tr>
        <w:tc>
          <w:tcPr>
            <w:tcW w:type="dxa" w:w="1800"/>
            <w:shd w:fill="FFFFFF" w:val="clear"/>
            <w:tcMar>
              <w:top w:type="dxa" w:w="90"/>
              <w:left w:type="dxa" w:w="120"/>
              <w:bottom w:type="dxa" w:w="90"/>
              <w:right w:type="dxa" w:w="120"/>
            </w:tcMar>
          </w:tcPr>
          <w:p>
            <w:r>
              <w:rPr>
                <w:sz w:val="19"/>
                <w:szCs w:val="19"/>
              </w:rPr>
              <w:t xml:space="preserve">4</w:t>
            </w:r>
          </w:p>
        </w:tc>
        <w:tc>
          <w:tcPr>
            <w:tcW w:type="dxa" w:w="3800"/>
            <w:shd w:fill="FFFFFF" w:val="clear"/>
            <w:tcMar>
              <w:top w:type="dxa" w:w="90"/>
              <w:left w:type="dxa" w:w="120"/>
              <w:bottom w:type="dxa" w:w="90"/>
              <w:right w:type="dxa" w:w="120"/>
            </w:tcMar>
          </w:tcPr>
          <w:p>
            <w:r>
              <w:rPr>
                <w:sz w:val="19"/>
                <w:szCs w:val="19"/>
              </w:rPr>
              <w:t xml:space="preserve">295,849</w:t>
            </w:r>
          </w:p>
        </w:tc>
        <w:tc>
          <w:tcPr>
            <w:tcW w:type="dxa" w:w="3800"/>
            <w:shd w:fill="FFFFFF" w:val="clear"/>
            <w:tcMar>
              <w:top w:type="dxa" w:w="90"/>
              <w:left w:type="dxa" w:w="120"/>
              <w:bottom w:type="dxa" w:w="90"/>
              <w:right w:type="dxa" w:w="120"/>
            </w:tcMar>
          </w:tcPr>
          <w:p>
            <w:r>
              <w:rPr>
                <w:sz w:val="19"/>
                <w:szCs w:val="19"/>
              </w:rPr>
              <w:t xml:space="preserve">0.211</w:t>
            </w:r>
          </w:p>
        </w:tc>
      </w:tr>
      <w:tr>
        <w:tc>
          <w:tcPr>
            <w:tcW w:type="dxa" w:w="1800"/>
            <w:shd w:fill="F2F2F2" w:val="clear"/>
            <w:tcMar>
              <w:top w:type="dxa" w:w="90"/>
              <w:left w:type="dxa" w:w="120"/>
              <w:bottom w:type="dxa" w:w="90"/>
              <w:right w:type="dxa" w:w="120"/>
            </w:tcMar>
          </w:tcPr>
          <w:p>
            <w:r>
              <w:rPr>
                <w:sz w:val="19"/>
                <w:szCs w:val="19"/>
              </w:rPr>
              <w:t xml:space="preserve">5</w:t>
            </w:r>
          </w:p>
        </w:tc>
        <w:tc>
          <w:tcPr>
            <w:tcW w:type="dxa" w:w="3800"/>
            <w:shd w:fill="F2F2F2" w:val="clear"/>
            <w:tcMar>
              <w:top w:type="dxa" w:w="90"/>
              <w:left w:type="dxa" w:w="120"/>
              <w:bottom w:type="dxa" w:w="90"/>
              <w:right w:type="dxa" w:w="120"/>
            </w:tcMar>
          </w:tcPr>
          <w:p>
            <w:r>
              <w:rPr>
                <w:sz w:val="19"/>
                <w:szCs w:val="19"/>
              </w:rPr>
              <w:t xml:space="preserve">277,120</w:t>
            </w:r>
          </w:p>
        </w:tc>
        <w:tc>
          <w:tcPr>
            <w:tcW w:type="dxa" w:w="3800"/>
            <w:shd w:fill="F2F2F2" w:val="clear"/>
            <w:tcMar>
              <w:top w:type="dxa" w:w="90"/>
              <w:left w:type="dxa" w:w="120"/>
              <w:bottom w:type="dxa" w:w="90"/>
              <w:right w:type="dxa" w:w="120"/>
            </w:tcMar>
          </w:tcPr>
          <w:p>
            <w:r>
              <w:rPr>
                <w:sz w:val="19"/>
                <w:szCs w:val="19"/>
              </w:rPr>
              <w:t xml:space="preserve">0.166</w:t>
            </w:r>
          </w:p>
        </w:tc>
      </w:tr>
      <w:tr>
        <w:tc>
          <w:tcPr>
            <w:tcW w:type="dxa" w:w="1800"/>
            <w:shd w:fill="FFFFFF" w:val="clear"/>
            <w:tcMar>
              <w:top w:type="dxa" w:w="90"/>
              <w:left w:type="dxa" w:w="120"/>
              <w:bottom w:type="dxa" w:w="90"/>
              <w:right w:type="dxa" w:w="120"/>
            </w:tcMar>
          </w:tcPr>
          <w:p>
            <w:r>
              <w:rPr>
                <w:sz w:val="19"/>
                <w:szCs w:val="19"/>
              </w:rPr>
              <w:t xml:space="preserve">6</w:t>
            </w:r>
          </w:p>
        </w:tc>
        <w:tc>
          <w:tcPr>
            <w:tcW w:type="dxa" w:w="3800"/>
            <w:shd w:fill="FFFFFF" w:val="clear"/>
            <w:tcMar>
              <w:top w:type="dxa" w:w="90"/>
              <w:left w:type="dxa" w:w="120"/>
              <w:bottom w:type="dxa" w:w="90"/>
              <w:right w:type="dxa" w:w="120"/>
            </w:tcMar>
          </w:tcPr>
          <w:p>
            <w:r>
              <w:rPr>
                <w:sz w:val="19"/>
                <w:szCs w:val="19"/>
              </w:rPr>
              <w:t xml:space="preserve">260,736</w:t>
            </w:r>
          </w:p>
        </w:tc>
        <w:tc>
          <w:tcPr>
            <w:tcW w:type="dxa" w:w="3800"/>
            <w:shd w:fill="FFFFFF" w:val="clear"/>
            <w:tcMar>
              <w:top w:type="dxa" w:w="90"/>
              <w:left w:type="dxa" w:w="120"/>
              <w:bottom w:type="dxa" w:w="90"/>
              <w:right w:type="dxa" w:w="120"/>
            </w:tcMar>
          </w:tcPr>
          <w:p>
            <w:r>
              <w:rPr>
                <w:sz w:val="19"/>
                <w:szCs w:val="19"/>
              </w:rPr>
              <w:t xml:space="preserve">0.168</w:t>
            </w:r>
          </w:p>
        </w:tc>
      </w:tr>
      <w:tr>
        <w:tc>
          <w:tcPr>
            <w:tcW w:type="dxa" w:w="1800"/>
            <w:shd w:fill="F2F2F2" w:val="clear"/>
            <w:tcMar>
              <w:top w:type="dxa" w:w="90"/>
              <w:left w:type="dxa" w:w="120"/>
              <w:bottom w:type="dxa" w:w="90"/>
              <w:right w:type="dxa" w:w="120"/>
            </w:tcMar>
          </w:tcPr>
          <w:p>
            <w:r>
              <w:rPr>
                <w:sz w:val="19"/>
                <w:szCs w:val="19"/>
              </w:rPr>
              <w:t xml:space="preserve">7</w:t>
            </w:r>
          </w:p>
        </w:tc>
        <w:tc>
          <w:tcPr>
            <w:tcW w:type="dxa" w:w="3800"/>
            <w:shd w:fill="F2F2F2" w:val="clear"/>
            <w:tcMar>
              <w:top w:type="dxa" w:w="90"/>
              <w:left w:type="dxa" w:w="120"/>
              <w:bottom w:type="dxa" w:w="90"/>
              <w:right w:type="dxa" w:w="120"/>
            </w:tcMar>
          </w:tcPr>
          <w:p>
            <w:r>
              <w:rPr>
                <w:sz w:val="19"/>
                <w:szCs w:val="19"/>
              </w:rPr>
              <w:t xml:space="preserve">249,086</w:t>
            </w:r>
          </w:p>
        </w:tc>
        <w:tc>
          <w:tcPr>
            <w:tcW w:type="dxa" w:w="3800"/>
            <w:shd w:fill="F2F2F2" w:val="clear"/>
            <w:tcMar>
              <w:top w:type="dxa" w:w="90"/>
              <w:left w:type="dxa" w:w="120"/>
              <w:bottom w:type="dxa" w:w="90"/>
              <w:right w:type="dxa" w:w="120"/>
            </w:tcMar>
          </w:tcPr>
          <w:p>
            <w:r>
              <w:rPr>
                <w:sz w:val="19"/>
                <w:szCs w:val="19"/>
              </w:rPr>
              <w:t xml:space="preserve">0.146</w:t>
            </w:r>
          </w:p>
        </w:tc>
      </w:tr>
      <w:tr>
        <w:tc>
          <w:tcPr>
            <w:tcW w:type="dxa" w:w="1800"/>
            <w:shd w:fill="FFFFFF" w:val="clear"/>
            <w:tcMar>
              <w:top w:type="dxa" w:w="90"/>
              <w:left w:type="dxa" w:w="120"/>
              <w:bottom w:type="dxa" w:w="90"/>
              <w:right w:type="dxa" w:w="120"/>
            </w:tcMar>
          </w:tcPr>
          <w:p>
            <w:r>
              <w:rPr>
                <w:sz w:val="19"/>
                <w:szCs w:val="19"/>
              </w:rPr>
              <w:t xml:space="preserve">8</w:t>
            </w:r>
          </w:p>
        </w:tc>
        <w:tc>
          <w:tcPr>
            <w:tcW w:type="dxa" w:w="3800"/>
            <w:shd w:fill="FFFFFF" w:val="clear"/>
            <w:tcMar>
              <w:top w:type="dxa" w:w="90"/>
              <w:left w:type="dxa" w:w="120"/>
              <w:bottom w:type="dxa" w:w="90"/>
              <w:right w:type="dxa" w:w="120"/>
            </w:tcMar>
          </w:tcPr>
          <w:p>
            <w:r>
              <w:rPr>
                <w:sz w:val="19"/>
                <w:szCs w:val="19"/>
              </w:rPr>
              <w:t xml:space="preserve">238,678</w:t>
            </w:r>
          </w:p>
        </w:tc>
        <w:tc>
          <w:tcPr>
            <w:tcW w:type="dxa" w:w="3800"/>
            <w:shd w:fill="FFFFFF" w:val="clear"/>
            <w:tcMar>
              <w:top w:type="dxa" w:w="90"/>
              <w:left w:type="dxa" w:w="120"/>
              <w:bottom w:type="dxa" w:w="90"/>
              <w:right w:type="dxa" w:w="120"/>
            </w:tcMar>
          </w:tcPr>
          <w:p>
            <w:r>
              <w:rPr>
                <w:sz w:val="19"/>
                <w:szCs w:val="19"/>
              </w:rPr>
              <w:t xml:space="preserve">0.145</w:t>
            </w:r>
          </w:p>
        </w:tc>
      </w:tr>
    </w:tbl>
    <w:p>
      <w:pPr>
        <w:spacing w:after="150" w:line="300"/>
      </w:pPr>
      <w:r>
        <w:rPr>
          <w:sz w:val="21"/>
          <w:szCs w:val="21"/>
        </w:rPr>
        <w:t xml:space="preserve"/>
      </w:r>
    </w:p>
    <w:p>
      <w:pPr>
        <w:spacing w:after="150" w:line="300"/>
      </w:pPr>
      <w:r>
        <w:rPr>
          <w:sz w:val="21"/>
          <w:szCs w:val="21"/>
        </w:rPr>
        <w:t xml:space="preserve">k=3 was selected — it produced the clearest elbow drop and the highest silhouette score among all tested values, and three segments is also a practical, interpretable number for a marketing team to act on (too many clusters loses actionable meaning).</w:t>
      </w:r>
    </w:p>
    <w:p>
      <w:pPr>
        <w:pStyle w:val="Heading2"/>
        <w:spacing w:after="120" w:before="300"/>
      </w:pPr>
      <w:r>
        <w:rPr>
          <w:b/>
          <w:bCs/>
          <w:color w:val="0F6E56"/>
          <w:sz w:val="25"/>
          <w:szCs w:val="25"/>
        </w:rPr>
        <w:t xml:space="preserve">6.3 Design Decision — Excluding Churn Signal from Clustering</w:t>
      </w:r>
    </w:p>
    <w:p>
      <w:pPr>
        <w:spacing w:after="150" w:line="300"/>
      </w:pPr>
      <w:r>
        <w:rPr>
          <w:sz w:val="21"/>
          <w:szCs w:val="21"/>
        </w:rPr>
        <w:t xml:space="preserve">The churn label was deliberately excluded from the features used for clustering. Including it would have caused the segments to simply mirror churn status, rather than reveal genuinely independent behavioral patterns — defeating the purpose of building a second, complementary lens on the customer base.</w:t>
      </w:r>
    </w:p>
    <w:p>
      <w:pPr>
        <w:pStyle w:val="Heading2"/>
        <w:spacing w:after="120" w:before="300"/>
      </w:pPr>
      <w:r>
        <w:rPr>
          <w:b/>
          <w:bCs/>
          <w:color w:val="0F6E56"/>
          <w:sz w:val="25"/>
          <w:szCs w:val="25"/>
        </w:rPr>
        <w:t xml:space="preserve">6.4 The Three Segments</w:t>
      </w:r>
    </w:p>
    <w:p>
      <w:pPr>
        <w:spacing w:after="150" w:line="300"/>
      </w:pPr>
      <w:r>
        <w:rPr>
          <w:sz w:val="21"/>
          <w:szCs w:val="21"/>
        </w:rPr>
        <w:t xml:space="preserve">StandardScaler was applied before clustering, since K-Means is distance-based and would otherwise let high-magnitude features like Salary dominate the distance calculation. Segments were then profiled and named using original, unscaled values, since a scaled value like 'Salary = 0.87' isn't interpretable on its 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600"/>
        <w:gridCol w:w="1600"/>
        <w:gridCol w:w="1600"/>
      </w:tblGrid>
      <w:tr>
        <w:trPr>
          <w:tblHeader/>
        </w:trPr>
        <w:tc>
          <w:tcPr>
            <w:tcW w:type="dxa" w:w="2600"/>
            <w:shd w:fill="44546A" w:val="clear"/>
            <w:tcMar>
              <w:top w:type="dxa" w:w="100"/>
              <w:left w:type="dxa" w:w="120"/>
              <w:bottom w:type="dxa" w:w="100"/>
              <w:right w:type="dxa" w:w="120"/>
            </w:tcMar>
          </w:tcPr>
          <w:p>
            <w:r>
              <w:rPr>
                <w:b/>
                <w:bCs/>
                <w:color w:val="FFFFFF"/>
                <w:sz w:val="19"/>
                <w:szCs w:val="19"/>
              </w:rPr>
              <w:t xml:space="preserve">Segment</w:t>
            </w:r>
          </w:p>
        </w:tc>
        <w:tc>
          <w:tcPr>
            <w:tcW w:type="dxa" w:w="2000"/>
            <w:shd w:fill="44546A" w:val="clear"/>
            <w:tcMar>
              <w:top w:type="dxa" w:w="100"/>
              <w:left w:type="dxa" w:w="120"/>
              <w:bottom w:type="dxa" w:w="100"/>
              <w:right w:type="dxa" w:w="120"/>
            </w:tcMar>
          </w:tcPr>
          <w:p>
            <w:r>
              <w:rPr>
                <w:b/>
                <w:bCs/>
                <w:color w:val="FFFFFF"/>
                <w:sz w:val="19"/>
                <w:szCs w:val="19"/>
              </w:rPr>
              <w:t xml:space="preserve">Size</w:t>
            </w:r>
          </w:p>
        </w:tc>
        <w:tc>
          <w:tcPr>
            <w:tcW w:type="dxa" w:w="1600"/>
            <w:shd w:fill="44546A" w:val="clear"/>
            <w:tcMar>
              <w:top w:type="dxa" w:w="100"/>
              <w:left w:type="dxa" w:w="120"/>
              <w:bottom w:type="dxa" w:w="100"/>
              <w:right w:type="dxa" w:w="120"/>
            </w:tcMar>
          </w:tcPr>
          <w:p>
            <w:r>
              <w:rPr>
                <w:b/>
                <w:bCs/>
                <w:color w:val="FFFFFF"/>
                <w:sz w:val="19"/>
                <w:szCs w:val="19"/>
              </w:rPr>
              <w:t xml:space="preserve">Churn Rate</w:t>
            </w:r>
          </w:p>
        </w:tc>
        <w:tc>
          <w:tcPr>
            <w:tcW w:type="dxa" w:w="1600"/>
            <w:shd w:fill="44546A" w:val="clear"/>
            <w:tcMar>
              <w:top w:type="dxa" w:w="100"/>
              <w:left w:type="dxa" w:w="120"/>
              <w:bottom w:type="dxa" w:w="100"/>
              <w:right w:type="dxa" w:w="120"/>
            </w:tcMar>
          </w:tcPr>
          <w:p>
            <w:r>
              <w:rPr>
                <w:b/>
                <w:bCs/>
                <w:color w:val="FFFFFF"/>
                <w:sz w:val="19"/>
                <w:szCs w:val="19"/>
              </w:rPr>
              <w:t xml:space="preserve">Avg Tenure</w:t>
            </w:r>
          </w:p>
        </w:tc>
        <w:tc>
          <w:tcPr>
            <w:tcW w:type="dxa" w:w="1600"/>
            <w:shd w:fill="44546A" w:val="clear"/>
            <w:tcMar>
              <w:top w:type="dxa" w:w="100"/>
              <w:left w:type="dxa" w:w="120"/>
              <w:bottom w:type="dxa" w:w="100"/>
              <w:right w:type="dxa" w:w="120"/>
            </w:tcMar>
          </w:tcPr>
          <w:p>
            <w:r>
              <w:rPr>
                <w:b/>
                <w:bCs/>
                <w:color w:val="FFFFFF"/>
                <w:sz w:val="19"/>
                <w:szCs w:val="19"/>
              </w:rPr>
              <w:t xml:space="preserve">Profile</w:t>
            </w:r>
          </w:p>
        </w:tc>
      </w:tr>
      <w:tr>
        <w:tc>
          <w:tcPr>
            <w:tcW w:type="dxa" w:w="2600"/>
            <w:shd w:fill="FFFFFF" w:val="clear"/>
            <w:tcMar>
              <w:top w:type="dxa" w:w="90"/>
              <w:left w:type="dxa" w:w="120"/>
              <w:bottom w:type="dxa" w:w="90"/>
              <w:right w:type="dxa" w:w="120"/>
            </w:tcMar>
          </w:tcPr>
          <w:p>
            <w:r>
              <w:rPr>
                <w:sz w:val="19"/>
                <w:szCs w:val="19"/>
              </w:rPr>
              <w:t xml:space="preserve">Loyal Core Members</w:t>
            </w:r>
          </w:p>
        </w:tc>
        <w:tc>
          <w:tcPr>
            <w:tcW w:type="dxa" w:w="2000"/>
            <w:shd w:fill="FFFFFF" w:val="clear"/>
            <w:tcMar>
              <w:top w:type="dxa" w:w="90"/>
              <w:left w:type="dxa" w:w="120"/>
              <w:bottom w:type="dxa" w:w="90"/>
              <w:right w:type="dxa" w:w="120"/>
            </w:tcMar>
          </w:tcPr>
          <w:p>
            <w:r>
              <w:rPr>
                <w:sz w:val="19"/>
                <w:szCs w:val="19"/>
              </w:rPr>
              <w:t xml:space="preserve">11,482 (68.6%)</w:t>
            </w:r>
          </w:p>
        </w:tc>
        <w:tc>
          <w:tcPr>
            <w:tcW w:type="dxa" w:w="1600"/>
            <w:shd w:fill="FFFFFF" w:val="clear"/>
            <w:tcMar>
              <w:top w:type="dxa" w:w="90"/>
              <w:left w:type="dxa" w:w="120"/>
              <w:bottom w:type="dxa" w:w="90"/>
              <w:right w:type="dxa" w:w="120"/>
            </w:tcMar>
          </w:tcPr>
          <w:p>
            <w:r>
              <w:rPr>
                <w:sz w:val="19"/>
                <w:szCs w:val="19"/>
              </w:rPr>
              <w:t xml:space="preserve">2.0%</w:t>
            </w:r>
          </w:p>
        </w:tc>
        <w:tc>
          <w:tcPr>
            <w:tcW w:type="dxa" w:w="1600"/>
            <w:shd w:fill="FFFFFF" w:val="clear"/>
            <w:tcMar>
              <w:top w:type="dxa" w:w="90"/>
              <w:left w:type="dxa" w:w="120"/>
              <w:bottom w:type="dxa" w:w="90"/>
              <w:right w:type="dxa" w:w="120"/>
            </w:tcMar>
          </w:tcPr>
          <w:p>
            <w:r>
              <w:rPr>
                <w:sz w:val="19"/>
                <w:szCs w:val="19"/>
              </w:rPr>
              <w:t xml:space="preserve">45.7 months</w:t>
            </w:r>
          </w:p>
        </w:tc>
        <w:tc>
          <w:tcPr>
            <w:tcW w:type="dxa" w:w="1600"/>
            <w:shd w:fill="FFFFFF" w:val="clear"/>
            <w:tcMar>
              <w:top w:type="dxa" w:w="90"/>
              <w:left w:type="dxa" w:w="120"/>
              <w:bottom w:type="dxa" w:w="90"/>
              <w:right w:type="dxa" w:w="120"/>
            </w:tcMar>
          </w:tcPr>
          <w:p>
            <w:r>
              <w:rPr>
                <w:sz w:val="19"/>
                <w:szCs w:val="19"/>
              </w:rPr>
              <w:t xml:space="preserve">Long tenure, steady flyers — the stable backbone of the program</w:t>
            </w:r>
          </w:p>
        </w:tc>
      </w:tr>
      <w:tr>
        <w:tc>
          <w:tcPr>
            <w:tcW w:type="dxa" w:w="2600"/>
            <w:shd w:fill="F2F2F2" w:val="clear"/>
            <w:tcMar>
              <w:top w:type="dxa" w:w="90"/>
              <w:left w:type="dxa" w:w="120"/>
              <w:bottom w:type="dxa" w:w="90"/>
              <w:right w:type="dxa" w:w="120"/>
            </w:tcMar>
          </w:tcPr>
          <w:p>
            <w:r>
              <w:rPr>
                <w:sz w:val="19"/>
                <w:szCs w:val="19"/>
              </w:rPr>
              <w:t xml:space="preserve">Disengaged At-Risk Members</w:t>
            </w:r>
          </w:p>
        </w:tc>
        <w:tc>
          <w:tcPr>
            <w:tcW w:type="dxa" w:w="2000"/>
            <w:shd w:fill="F2F2F2" w:val="clear"/>
            <w:tcMar>
              <w:top w:type="dxa" w:w="90"/>
              <w:left w:type="dxa" w:w="120"/>
              <w:bottom w:type="dxa" w:w="90"/>
              <w:right w:type="dxa" w:w="120"/>
            </w:tcMar>
          </w:tcPr>
          <w:p>
            <w:r>
              <w:rPr>
                <w:sz w:val="19"/>
                <w:szCs w:val="19"/>
              </w:rPr>
              <w:t xml:space="preserve">4,420 (26.4%)</w:t>
            </w:r>
          </w:p>
        </w:tc>
        <w:tc>
          <w:tcPr>
            <w:tcW w:type="dxa" w:w="1600"/>
            <w:shd w:fill="F2F2F2" w:val="clear"/>
            <w:tcMar>
              <w:top w:type="dxa" w:w="90"/>
              <w:left w:type="dxa" w:w="120"/>
              <w:bottom w:type="dxa" w:w="90"/>
              <w:right w:type="dxa" w:w="120"/>
            </w:tcMar>
          </w:tcPr>
          <w:p>
            <w:r>
              <w:rPr>
                <w:sz w:val="19"/>
                <w:szCs w:val="19"/>
              </w:rPr>
              <w:t xml:space="preserve">53.4%</w:t>
            </w:r>
          </w:p>
        </w:tc>
        <w:tc>
          <w:tcPr>
            <w:tcW w:type="dxa" w:w="1600"/>
            <w:shd w:fill="F2F2F2" w:val="clear"/>
            <w:tcMar>
              <w:top w:type="dxa" w:w="90"/>
              <w:left w:type="dxa" w:w="120"/>
              <w:bottom w:type="dxa" w:w="90"/>
              <w:right w:type="dxa" w:w="120"/>
            </w:tcMar>
          </w:tcPr>
          <w:p>
            <w:r>
              <w:rPr>
                <w:sz w:val="19"/>
                <w:szCs w:val="19"/>
              </w:rPr>
              <w:t xml:space="preserve">24.6 months</w:t>
            </w:r>
          </w:p>
        </w:tc>
        <w:tc>
          <w:tcPr>
            <w:tcW w:type="dxa" w:w="1600"/>
            <w:shd w:fill="F2F2F2" w:val="clear"/>
            <w:tcMar>
              <w:top w:type="dxa" w:w="90"/>
              <w:left w:type="dxa" w:w="120"/>
              <w:bottom w:type="dxa" w:w="90"/>
              <w:right w:type="dxa" w:w="120"/>
            </w:tcMar>
          </w:tcPr>
          <w:p>
            <w:r>
              <w:rPr>
                <w:sz w:val="19"/>
                <w:szCs w:val="19"/>
              </w:rPr>
              <w:t xml:space="preserve">Inactive ~21 of 24 months; redemption rate ≈0.97 — cashing out before leaving</w:t>
            </w:r>
          </w:p>
        </w:tc>
      </w:tr>
      <w:tr>
        <w:tc>
          <w:tcPr>
            <w:tcW w:type="dxa" w:w="2600"/>
            <w:shd w:fill="FFFFFF" w:val="clear"/>
            <w:tcMar>
              <w:top w:type="dxa" w:w="90"/>
              <w:left w:type="dxa" w:w="120"/>
              <w:bottom w:type="dxa" w:w="90"/>
              <w:right w:type="dxa" w:w="120"/>
            </w:tcMar>
          </w:tcPr>
          <w:p>
            <w:r>
              <w:rPr>
                <w:sz w:val="19"/>
                <w:szCs w:val="19"/>
              </w:rPr>
              <w:t xml:space="preserve">High-Frequency New Flyers</w:t>
            </w:r>
          </w:p>
        </w:tc>
        <w:tc>
          <w:tcPr>
            <w:tcW w:type="dxa" w:w="2000"/>
            <w:shd w:fill="FFFFFF" w:val="clear"/>
            <w:tcMar>
              <w:top w:type="dxa" w:w="90"/>
              <w:left w:type="dxa" w:w="120"/>
              <w:bottom w:type="dxa" w:w="90"/>
              <w:right w:type="dxa" w:w="120"/>
            </w:tcMar>
          </w:tcPr>
          <w:p>
            <w:r>
              <w:rPr>
                <w:sz w:val="19"/>
                <w:szCs w:val="19"/>
              </w:rPr>
              <w:t xml:space="preserve">835 (5.0%)</w:t>
            </w:r>
          </w:p>
        </w:tc>
        <w:tc>
          <w:tcPr>
            <w:tcW w:type="dxa" w:w="1600"/>
            <w:shd w:fill="FFFFFF" w:val="clear"/>
            <w:tcMar>
              <w:top w:type="dxa" w:w="90"/>
              <w:left w:type="dxa" w:w="120"/>
              <w:bottom w:type="dxa" w:w="90"/>
              <w:right w:type="dxa" w:w="120"/>
            </w:tcMar>
          </w:tcPr>
          <w:p>
            <w:r>
              <w:rPr>
                <w:sz w:val="19"/>
                <w:szCs w:val="19"/>
              </w:rPr>
              <w:t xml:space="preserve">11.3%</w:t>
            </w:r>
          </w:p>
        </w:tc>
        <w:tc>
          <w:tcPr>
            <w:tcW w:type="dxa" w:w="1600"/>
            <w:shd w:fill="FFFFFF" w:val="clear"/>
            <w:tcMar>
              <w:top w:type="dxa" w:w="90"/>
              <w:left w:type="dxa" w:w="120"/>
              <w:bottom w:type="dxa" w:w="90"/>
              <w:right w:type="dxa" w:w="120"/>
            </w:tcMar>
          </w:tcPr>
          <w:p>
            <w:r>
              <w:rPr>
                <w:sz w:val="19"/>
                <w:szCs w:val="19"/>
              </w:rPr>
              <w:t xml:space="preserve">9.0 months</w:t>
            </w:r>
          </w:p>
        </w:tc>
        <w:tc>
          <w:tcPr>
            <w:tcW w:type="dxa" w:w="1600"/>
            <w:shd w:fill="FFFFFF" w:val="clear"/>
            <w:tcMar>
              <w:top w:type="dxa" w:w="90"/>
              <w:left w:type="dxa" w:w="120"/>
              <w:bottom w:type="dxa" w:w="90"/>
              <w:right w:type="dxa" w:w="120"/>
            </w:tcMar>
          </w:tcPr>
          <w:p>
            <w:r>
              <w:rPr>
                <w:sz w:val="19"/>
                <w:szCs w:val="19"/>
              </w:rPr>
              <w:t xml:space="preserve">New members, highest flight frequency, but redemption rate ≈0.00 — never engaged with rewards</w:t>
            </w:r>
          </w:p>
        </w:tc>
      </w:tr>
    </w:tbl>
    <w:p>
      <w:pPr>
        <w:spacing w:after="150" w:line="300"/>
      </w:pPr>
      <w:r>
        <w:rPr>
          <w:sz w:val="21"/>
          <w:szCs w:val="21"/>
        </w:rPr>
        <w:t xml:space="preserve"/>
      </w:r>
    </w:p>
    <w:p>
      <w:pPr>
        <w:pStyle w:val="Heading2"/>
        <w:spacing w:after="120" w:before="300"/>
      </w:pPr>
      <w:r>
        <w:rPr>
          <w:b/>
          <w:bCs/>
          <w:color w:val="0F6E56"/>
          <w:sz w:val="25"/>
          <w:szCs w:val="25"/>
        </w:rPr>
        <w:t xml:space="preserve">6.5 Key Segmentation Insight — Tier Doesn't Predict Risk</w:t>
      </w:r>
    </w:p>
    <w:tbl>
      <w:tblPr>
        <w:tblW w:type="pct" w:w="100%"/>
        <w:tblBorders>
          <w:top w:val="single" w:color="FFFFFF" w:sz="4"/>
          <w:left w:val="single" w:color="0F6E56" w:sz="24"/>
          <w:bottom w:val="single" w:color="FFFFFF" w:sz="4"/>
          <w:right w:val="single" w:color="FFFFFF" w:sz="4"/>
          <w:insideH w:val="single" w:color="auto" w:sz="4"/>
          <w:insideV w:val="single" w:color="auto" w:sz="4"/>
        </w:tblBorders>
      </w:tblPr>
      <w:tblGrid>
        <w:gridCol w:w="100"/>
      </w:tblGrid>
      <w:tr>
        <w:tc>
          <w:tcPr>
            <w:shd w:fill="F5F5F5" w:val="clear"/>
            <w:tcMar>
              <w:top w:type="dxa" w:w="150"/>
              <w:left w:type="dxa" w:w="250"/>
              <w:bottom w:type="dxa" w:w="150"/>
              <w:right w:type="dxa" w:w="250"/>
            </w:tcMar>
          </w:tcPr>
          <w:p>
            <w:pPr>
              <w:spacing w:after="80"/>
            </w:pPr>
            <w:r>
              <w:rPr>
                <w:b/>
                <w:bCs/>
                <w:color w:val="0F6E56"/>
                <w:sz w:val="21"/>
                <w:szCs w:val="21"/>
              </w:rPr>
              <w:t xml:space="preserve">Loyalty Card Tier is not a reliable risk signal</w:t>
            </w:r>
          </w:p>
          <w:p>
            <w:pPr>
              <w:spacing w:after="40"/>
            </w:pPr>
            <w:r>
              <w:rPr>
                <w:sz w:val="20"/>
                <w:szCs w:val="20"/>
              </w:rPr>
              <w:t xml:space="preserve">• Star, Nova, and Aurora tiers are distributed almost identically across all three segments.</w:t>
            </w:r>
          </w:p>
          <w:p>
            <w:pPr>
              <w:spacing w:after="40"/>
            </w:pPr>
            <w:r>
              <w:rPr>
                <w:sz w:val="20"/>
                <w:szCs w:val="20"/>
              </w:rPr>
              <w:t xml:space="preserve">• A high-tier card does not mean a customer is safe from churning, and a low-tier card does not mean a customer is disengaged.</w:t>
            </w:r>
          </w:p>
          <w:p>
            <w:pPr>
              <w:spacing w:after="40"/>
            </w:pPr>
            <w:r>
              <w:rPr>
                <w:sz w:val="20"/>
                <w:szCs w:val="20"/>
              </w:rPr>
              <w:t xml:space="preserve">• Behavior — recency, redemption pattern, consistency — predicts risk far better than the card tier the company already uses to differentiate customers.</w:t>
            </w:r>
          </w:p>
        </w:tc>
      </w:tr>
    </w:tbl>
    <w:p>
      <w:pPr>
        <w:spacing w:after="150" w:line="300"/>
      </w:pPr>
      <w:r>
        <w:rPr>
          <w:sz w:val="21"/>
          <w:szCs w:val="21"/>
        </w:rPr>
        <w:t xml:space="preserve"/>
      </w:r>
    </w:p>
    <w:p>
      <w:pPr>
        <w:pStyle w:val="Heading2"/>
        <w:spacing w:after="120" w:before="300"/>
      </w:pPr>
      <w:r>
        <w:rPr>
          <w:b/>
          <w:bCs/>
          <w:color w:val="0F6E56"/>
          <w:sz w:val="25"/>
          <w:szCs w:val="25"/>
        </w:rPr>
        <w:t xml:space="preserve">6.6 Segment × Risk Tier Cross-Tab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00"/>
      </w:tblGrid>
      <w:tr>
        <w:trPr>
          <w:tblHeader/>
        </w:trPr>
        <w:tc>
          <w:tcPr>
            <w:tcW w:type="dxa" w:w="3400"/>
            <w:shd w:fill="44546A" w:val="clear"/>
            <w:tcMar>
              <w:top w:type="dxa" w:w="100"/>
              <w:left w:type="dxa" w:w="120"/>
              <w:bottom w:type="dxa" w:w="100"/>
              <w:right w:type="dxa" w:w="120"/>
            </w:tcMar>
          </w:tcPr>
          <w:p>
            <w:r>
              <w:rPr>
                <w:b/>
                <w:bCs/>
                <w:color w:val="FFFFFF"/>
                <w:sz w:val="19"/>
                <w:szCs w:val="19"/>
              </w:rPr>
              <w:t xml:space="preserve">Segment</w:t>
            </w:r>
          </w:p>
        </w:tc>
        <w:tc>
          <w:tcPr>
            <w:tcW w:type="dxa" w:w="2200"/>
            <w:shd w:fill="44546A" w:val="clear"/>
            <w:tcMar>
              <w:top w:type="dxa" w:w="100"/>
              <w:left w:type="dxa" w:w="120"/>
              <w:bottom w:type="dxa" w:w="100"/>
              <w:right w:type="dxa" w:w="120"/>
            </w:tcMar>
          </w:tcPr>
          <w:p>
            <w:r>
              <w:rPr>
                <w:b/>
                <w:bCs/>
                <w:color w:val="FFFFFF"/>
                <w:sz w:val="19"/>
                <w:szCs w:val="19"/>
              </w:rPr>
              <w:t xml:space="preserve">High Risk %</w:t>
            </w:r>
          </w:p>
        </w:tc>
        <w:tc>
          <w:tcPr>
            <w:tcW w:type="dxa" w:w="3400"/>
            <w:shd w:fill="44546A" w:val="clear"/>
            <w:tcMar>
              <w:top w:type="dxa" w:w="100"/>
              <w:left w:type="dxa" w:w="120"/>
              <w:bottom w:type="dxa" w:w="100"/>
              <w:right w:type="dxa" w:w="120"/>
            </w:tcMar>
          </w:tcPr>
          <w:p>
            <w:r>
              <w:rPr>
                <w:b/>
                <w:bCs/>
                <w:color w:val="FFFFFF"/>
                <w:sz w:val="19"/>
                <w:szCs w:val="19"/>
              </w:rPr>
              <w:t xml:space="preserve">Interpretation</w:t>
            </w:r>
          </w:p>
        </w:tc>
      </w:tr>
      <w:tr>
        <w:tc>
          <w:tcPr>
            <w:tcW w:type="dxa" w:w="3400"/>
            <w:shd w:fill="FFFFFF" w:val="clear"/>
            <w:tcMar>
              <w:top w:type="dxa" w:w="90"/>
              <w:left w:type="dxa" w:w="120"/>
              <w:bottom w:type="dxa" w:w="90"/>
              <w:right w:type="dxa" w:w="120"/>
            </w:tcMar>
          </w:tcPr>
          <w:p>
            <w:r>
              <w:rPr>
                <w:sz w:val="19"/>
                <w:szCs w:val="19"/>
              </w:rPr>
              <w:t xml:space="preserve">Disengaged At-Risk</w:t>
            </w:r>
          </w:p>
        </w:tc>
        <w:tc>
          <w:tcPr>
            <w:tcW w:type="dxa" w:w="2200"/>
            <w:shd w:fill="FFFFFF" w:val="clear"/>
            <w:tcMar>
              <w:top w:type="dxa" w:w="90"/>
              <w:left w:type="dxa" w:w="120"/>
              <w:bottom w:type="dxa" w:w="90"/>
              <w:right w:type="dxa" w:w="120"/>
            </w:tcMar>
          </w:tcPr>
          <w:p>
            <w:r>
              <w:rPr>
                <w:sz w:val="19"/>
                <w:szCs w:val="19"/>
              </w:rPr>
              <w:t xml:space="preserve">54.5%</w:t>
            </w:r>
          </w:p>
        </w:tc>
        <w:tc>
          <w:tcPr>
            <w:tcW w:type="dxa" w:w="3400"/>
            <w:shd w:fill="FFFFFF" w:val="clear"/>
            <w:tcMar>
              <w:top w:type="dxa" w:w="90"/>
              <w:left w:type="dxa" w:w="120"/>
              <w:bottom w:type="dxa" w:w="90"/>
              <w:right w:type="dxa" w:w="120"/>
            </w:tcMar>
          </w:tcPr>
          <w:p>
            <w:r>
              <w:rPr>
                <w:sz w:val="19"/>
                <w:szCs w:val="19"/>
              </w:rPr>
              <w:t xml:space="preserve">Over half already high risk — needs immediate action</w:t>
            </w:r>
          </w:p>
        </w:tc>
      </w:tr>
      <w:tr>
        <w:tc>
          <w:tcPr>
            <w:tcW w:type="dxa" w:w="3400"/>
            <w:shd w:fill="F2F2F2" w:val="clear"/>
            <w:tcMar>
              <w:top w:type="dxa" w:w="90"/>
              <w:left w:type="dxa" w:w="120"/>
              <w:bottom w:type="dxa" w:w="90"/>
              <w:right w:type="dxa" w:w="120"/>
            </w:tcMar>
          </w:tcPr>
          <w:p>
            <w:r>
              <w:rPr>
                <w:sz w:val="19"/>
                <w:szCs w:val="19"/>
              </w:rPr>
              <w:t xml:space="preserve">High-Frequency New Flyers</w:t>
            </w:r>
          </w:p>
        </w:tc>
        <w:tc>
          <w:tcPr>
            <w:tcW w:type="dxa" w:w="2200"/>
            <w:shd w:fill="F2F2F2" w:val="clear"/>
            <w:tcMar>
              <w:top w:type="dxa" w:w="90"/>
              <w:left w:type="dxa" w:w="120"/>
              <w:bottom w:type="dxa" w:w="90"/>
              <w:right w:type="dxa" w:w="120"/>
            </w:tcMar>
          </w:tcPr>
          <w:p>
            <w:r>
              <w:rPr>
                <w:sz w:val="19"/>
                <w:szCs w:val="19"/>
              </w:rPr>
              <w:t xml:space="preserve">19.0%</w:t>
            </w:r>
          </w:p>
        </w:tc>
        <w:tc>
          <w:tcPr>
            <w:tcW w:type="dxa" w:w="3400"/>
            <w:shd w:fill="F2F2F2" w:val="clear"/>
            <w:tcMar>
              <w:top w:type="dxa" w:w="90"/>
              <w:left w:type="dxa" w:w="120"/>
              <w:bottom w:type="dxa" w:w="90"/>
              <w:right w:type="dxa" w:w="120"/>
            </w:tcMar>
          </w:tcPr>
          <w:p>
            <w:r>
              <w:rPr>
                <w:sz w:val="19"/>
                <w:szCs w:val="19"/>
              </w:rPr>
              <w:t xml:space="preserve">Frequent flying ≠ loyalty — needs early intervention before month 6</w:t>
            </w:r>
          </w:p>
        </w:tc>
      </w:tr>
      <w:tr>
        <w:tc>
          <w:tcPr>
            <w:tcW w:type="dxa" w:w="3400"/>
            <w:shd w:fill="FFFFFF" w:val="clear"/>
            <w:tcMar>
              <w:top w:type="dxa" w:w="90"/>
              <w:left w:type="dxa" w:w="120"/>
              <w:bottom w:type="dxa" w:w="90"/>
              <w:right w:type="dxa" w:w="120"/>
            </w:tcMar>
          </w:tcPr>
          <w:p>
            <w:r>
              <w:rPr>
                <w:sz w:val="19"/>
                <w:szCs w:val="19"/>
              </w:rPr>
              <w:t xml:space="preserve">Loyal Core</w:t>
            </w:r>
          </w:p>
        </w:tc>
        <w:tc>
          <w:tcPr>
            <w:tcW w:type="dxa" w:w="2200"/>
            <w:shd w:fill="FFFFFF" w:val="clear"/>
            <w:tcMar>
              <w:top w:type="dxa" w:w="90"/>
              <w:left w:type="dxa" w:w="120"/>
              <w:bottom w:type="dxa" w:w="90"/>
              <w:right w:type="dxa" w:w="120"/>
            </w:tcMar>
          </w:tcPr>
          <w:p>
            <w:r>
              <w:rPr>
                <w:sz w:val="19"/>
                <w:szCs w:val="19"/>
              </w:rPr>
              <w:t xml:space="preserve">2.3%</w:t>
            </w:r>
          </w:p>
        </w:tc>
        <w:tc>
          <w:tcPr>
            <w:tcW w:type="dxa" w:w="3400"/>
            <w:shd w:fill="FFFFFF" w:val="clear"/>
            <w:tcMar>
              <w:top w:type="dxa" w:w="90"/>
              <w:left w:type="dxa" w:w="120"/>
              <w:bottom w:type="dxa" w:w="90"/>
              <w:right w:type="dxa" w:w="120"/>
            </w:tcMar>
          </w:tcPr>
          <w:p>
            <w:r>
              <w:rPr>
                <w:sz w:val="19"/>
                <w:szCs w:val="19"/>
              </w:rPr>
              <w:t xml:space="preserve">Very stable — monitor only, don't over-invest reactively</w:t>
            </w:r>
          </w:p>
        </w:tc>
      </w:tr>
    </w:tbl>
    <w:p>
      <w:r>
        <w:br w:type="page"/>
      </w:r>
    </w:p>
    <w:p>
      <w:pPr>
        <w:pStyle w:val="Heading1"/>
        <w:pBdr>
          <w:bottom w:val="single" w:color="1F3864" w:sz="8" w:space="4"/>
        </w:pBdr>
        <w:spacing w:after="200" w:before="400"/>
      </w:pPr>
      <w:r>
        <w:rPr>
          <w:b/>
          <w:bCs/>
          <w:color w:val="1F3864"/>
          <w:sz w:val="30"/>
          <w:szCs w:val="30"/>
        </w:rPr>
        <w:t xml:space="preserve">7. Business Recommendations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400"/>
        <w:gridCol w:w="1800"/>
      </w:tblGrid>
      <w:tr>
        <w:trPr>
          <w:tblHeader/>
        </w:trPr>
        <w:tc>
          <w:tcPr>
            <w:tcW w:type="dxa" w:w="500"/>
            <w:shd w:fill="44546A" w:val="clear"/>
            <w:tcMar>
              <w:top w:type="dxa" w:w="100"/>
              <w:left w:type="dxa" w:w="120"/>
              <w:bottom w:type="dxa" w:w="100"/>
              <w:right w:type="dxa" w:w="120"/>
            </w:tcMar>
          </w:tcPr>
          <w:p>
            <w:r>
              <w:rPr>
                <w:b/>
                <w:bCs/>
                <w:color w:val="FFFFFF"/>
                <w:sz w:val="19"/>
                <w:szCs w:val="19"/>
              </w:rPr>
              <w:t xml:space="preserve">#</w:t>
            </w:r>
          </w:p>
        </w:tc>
        <w:tc>
          <w:tcPr>
            <w:tcW w:type="dxa" w:w="4500"/>
            <w:shd w:fill="44546A" w:val="clear"/>
            <w:tcMar>
              <w:top w:type="dxa" w:w="100"/>
              <w:left w:type="dxa" w:w="120"/>
              <w:bottom w:type="dxa" w:w="100"/>
              <w:right w:type="dxa" w:w="120"/>
            </w:tcMar>
          </w:tcPr>
          <w:p>
            <w:r>
              <w:rPr>
                <w:b/>
                <w:bCs/>
                <w:color w:val="FFFFFF"/>
                <w:sz w:val="19"/>
                <w:szCs w:val="19"/>
              </w:rPr>
              <w:t xml:space="preserve">Recommendation</w:t>
            </w:r>
          </w:p>
        </w:tc>
        <w:tc>
          <w:tcPr>
            <w:tcW w:type="dxa" w:w="2400"/>
            <w:shd w:fill="44546A" w:val="clear"/>
            <w:tcMar>
              <w:top w:type="dxa" w:w="100"/>
              <w:left w:type="dxa" w:w="120"/>
              <w:bottom w:type="dxa" w:w="100"/>
              <w:right w:type="dxa" w:w="120"/>
            </w:tcMar>
          </w:tcPr>
          <w:p>
            <w:r>
              <w:rPr>
                <w:b/>
                <w:bCs/>
                <w:color w:val="FFFFFF"/>
                <w:sz w:val="19"/>
                <w:szCs w:val="19"/>
              </w:rPr>
              <w:t xml:space="preserve">Target Segment</w:t>
            </w:r>
          </w:p>
        </w:tc>
        <w:tc>
          <w:tcPr>
            <w:tcW w:type="dxa" w:w="1800"/>
            <w:shd w:fill="44546A" w:val="clear"/>
            <w:tcMar>
              <w:top w:type="dxa" w:w="100"/>
              <w:left w:type="dxa" w:w="120"/>
              <w:bottom w:type="dxa" w:w="100"/>
              <w:right w:type="dxa" w:w="120"/>
            </w:tcMar>
          </w:tcPr>
          <w:p>
            <w:r>
              <w:rPr>
                <w:b/>
                <w:bCs/>
                <w:color w:val="FFFFFF"/>
                <w:sz w:val="19"/>
                <w:szCs w:val="19"/>
              </w:rPr>
              <w:t xml:space="preserve">Owner</w:t>
            </w:r>
          </w:p>
        </w:tc>
      </w:tr>
      <w:tr>
        <w:tc>
          <w:tcPr>
            <w:tcW w:type="dxa" w:w="500"/>
            <w:shd w:fill="FFFFFF" w:val="clear"/>
            <w:tcMar>
              <w:top w:type="dxa" w:w="90"/>
              <w:left w:type="dxa" w:w="120"/>
              <w:bottom w:type="dxa" w:w="90"/>
              <w:right w:type="dxa" w:w="120"/>
            </w:tcMar>
          </w:tcPr>
          <w:p>
            <w:r>
              <w:rPr>
                <w:sz w:val="19"/>
                <w:szCs w:val="19"/>
              </w:rPr>
              <w:t xml:space="preserve">1</w:t>
            </w:r>
          </w:p>
        </w:tc>
        <w:tc>
          <w:tcPr>
            <w:tcW w:type="dxa" w:w="4500"/>
            <w:shd w:fill="FFFFFF" w:val="clear"/>
            <w:tcMar>
              <w:top w:type="dxa" w:w="90"/>
              <w:left w:type="dxa" w:w="120"/>
              <w:bottom w:type="dxa" w:w="90"/>
              <w:right w:type="dxa" w:w="120"/>
            </w:tcMar>
          </w:tcPr>
          <w:p>
            <w:r>
              <w:rPr>
                <w:sz w:val="19"/>
                <w:szCs w:val="19"/>
              </w:rPr>
              <w:t xml:space="preserve">90-day inactivity trigger in the CRM to automatically flag and re-engage members before they cross the 12-month churn threshold</w:t>
            </w:r>
          </w:p>
        </w:tc>
        <w:tc>
          <w:tcPr>
            <w:tcW w:type="dxa" w:w="2400"/>
            <w:shd w:fill="FFFFFF" w:val="clear"/>
            <w:tcMar>
              <w:top w:type="dxa" w:w="90"/>
              <w:left w:type="dxa" w:w="120"/>
              <w:bottom w:type="dxa" w:w="90"/>
              <w:right w:type="dxa" w:w="120"/>
            </w:tcMar>
          </w:tcPr>
          <w:p>
            <w:r>
              <w:rPr>
                <w:sz w:val="19"/>
                <w:szCs w:val="19"/>
              </w:rPr>
              <w:t xml:space="preserve">Disengaged At-Risk</w:t>
            </w:r>
          </w:p>
        </w:tc>
        <w:tc>
          <w:tcPr>
            <w:tcW w:type="dxa" w:w="1800"/>
            <w:shd w:fill="FFFFFF" w:val="clear"/>
            <w:tcMar>
              <w:top w:type="dxa" w:w="90"/>
              <w:left w:type="dxa" w:w="120"/>
              <w:bottom w:type="dxa" w:w="90"/>
              <w:right w:type="dxa" w:w="120"/>
            </w:tcMar>
          </w:tcPr>
          <w:p>
            <w:r>
              <w:rPr>
                <w:sz w:val="19"/>
                <w:szCs w:val="19"/>
              </w:rPr>
              <w:t xml:space="preserve">CMO</w:t>
            </w:r>
          </w:p>
        </w:tc>
      </w:tr>
      <w:tr>
        <w:tc>
          <w:tcPr>
            <w:tcW w:type="dxa" w:w="500"/>
            <w:shd w:fill="F2F2F2" w:val="clear"/>
            <w:tcMar>
              <w:top w:type="dxa" w:w="90"/>
              <w:left w:type="dxa" w:w="120"/>
              <w:bottom w:type="dxa" w:w="90"/>
              <w:right w:type="dxa" w:w="120"/>
            </w:tcMar>
          </w:tcPr>
          <w:p>
            <w:r>
              <w:rPr>
                <w:sz w:val="19"/>
                <w:szCs w:val="19"/>
              </w:rPr>
              <w:t xml:space="preserve">2</w:t>
            </w:r>
          </w:p>
        </w:tc>
        <w:tc>
          <w:tcPr>
            <w:tcW w:type="dxa" w:w="4500"/>
            <w:shd w:fill="F2F2F2" w:val="clear"/>
            <w:tcMar>
              <w:top w:type="dxa" w:w="90"/>
              <w:left w:type="dxa" w:w="120"/>
              <w:bottom w:type="dxa" w:w="90"/>
              <w:right w:type="dxa" w:w="120"/>
            </w:tcMar>
          </w:tcPr>
          <w:p>
            <w:r>
              <w:rPr>
                <w:sz w:val="19"/>
                <w:szCs w:val="19"/>
              </w:rPr>
              <w:t xml:space="preserve">'First Redemption' campaign nudging new flyers to redeem their first reward before month 6, to build engagement with the rewards loop itself, not just with flying</w:t>
            </w:r>
          </w:p>
        </w:tc>
        <w:tc>
          <w:tcPr>
            <w:tcW w:type="dxa" w:w="2400"/>
            <w:shd w:fill="F2F2F2" w:val="clear"/>
            <w:tcMar>
              <w:top w:type="dxa" w:w="90"/>
              <w:left w:type="dxa" w:w="120"/>
              <w:bottom w:type="dxa" w:w="90"/>
              <w:right w:type="dxa" w:w="120"/>
            </w:tcMar>
          </w:tcPr>
          <w:p>
            <w:r>
              <w:rPr>
                <w:sz w:val="19"/>
                <w:szCs w:val="19"/>
              </w:rPr>
              <w:t xml:space="preserve">High-Frequency New Flyers</w:t>
            </w:r>
          </w:p>
        </w:tc>
        <w:tc>
          <w:tcPr>
            <w:tcW w:type="dxa" w:w="1800"/>
            <w:shd w:fill="F2F2F2" w:val="clear"/>
            <w:tcMar>
              <w:top w:type="dxa" w:w="90"/>
              <w:left w:type="dxa" w:w="120"/>
              <w:bottom w:type="dxa" w:w="90"/>
              <w:right w:type="dxa" w:w="120"/>
            </w:tcMar>
          </w:tcPr>
          <w:p>
            <w:r>
              <w:rPr>
                <w:sz w:val="19"/>
                <w:szCs w:val="19"/>
              </w:rPr>
              <w:t xml:space="preserve">Marketing</w:t>
            </w:r>
          </w:p>
        </w:tc>
      </w:tr>
      <w:tr>
        <w:tc>
          <w:tcPr>
            <w:tcW w:type="dxa" w:w="500"/>
            <w:shd w:fill="FFFFFF" w:val="clear"/>
            <w:tcMar>
              <w:top w:type="dxa" w:w="90"/>
              <w:left w:type="dxa" w:w="120"/>
              <w:bottom w:type="dxa" w:w="90"/>
              <w:right w:type="dxa" w:w="120"/>
            </w:tcMar>
          </w:tcPr>
          <w:p>
            <w:r>
              <w:rPr>
                <w:sz w:val="19"/>
                <w:szCs w:val="19"/>
              </w:rPr>
              <w:t xml:space="preserve">3</w:t>
            </w:r>
          </w:p>
        </w:tc>
        <w:tc>
          <w:tcPr>
            <w:tcW w:type="dxa" w:w="4500"/>
            <w:shd w:fill="FFFFFF" w:val="clear"/>
            <w:tcMar>
              <w:top w:type="dxa" w:w="90"/>
              <w:left w:type="dxa" w:w="120"/>
              <w:bottom w:type="dxa" w:w="90"/>
              <w:right w:type="dxa" w:w="120"/>
            </w:tcMar>
          </w:tcPr>
          <w:p>
            <w:r>
              <w:rPr>
                <w:sz w:val="19"/>
                <w:szCs w:val="19"/>
              </w:rPr>
              <w:t xml:space="preserve">Proactive, unprompted investment (recognition, small perks) before any risk signal appears, since loyalty that's never reinforced can quietly erode</w:t>
            </w:r>
          </w:p>
        </w:tc>
        <w:tc>
          <w:tcPr>
            <w:tcW w:type="dxa" w:w="2400"/>
            <w:shd w:fill="FFFFFF" w:val="clear"/>
            <w:tcMar>
              <w:top w:type="dxa" w:w="90"/>
              <w:left w:type="dxa" w:w="120"/>
              <w:bottom w:type="dxa" w:w="90"/>
              <w:right w:type="dxa" w:w="120"/>
            </w:tcMar>
          </w:tcPr>
          <w:p>
            <w:r>
              <w:rPr>
                <w:sz w:val="19"/>
                <w:szCs w:val="19"/>
              </w:rPr>
              <w:t xml:space="preserve">Loyal Core</w:t>
            </w:r>
          </w:p>
        </w:tc>
        <w:tc>
          <w:tcPr>
            <w:tcW w:type="dxa" w:w="1800"/>
            <w:shd w:fill="FFFFFF" w:val="clear"/>
            <w:tcMar>
              <w:top w:type="dxa" w:w="90"/>
              <w:left w:type="dxa" w:w="120"/>
              <w:bottom w:type="dxa" w:w="90"/>
              <w:right w:type="dxa" w:w="120"/>
            </w:tcMar>
          </w:tcPr>
          <w:p>
            <w:r>
              <w:rPr>
                <w:sz w:val="19"/>
                <w:szCs w:val="19"/>
              </w:rPr>
              <w:t xml:space="preserve">CMO + CFO</w:t>
            </w:r>
          </w:p>
        </w:tc>
      </w:tr>
    </w:tbl>
    <w:p>
      <w:pPr>
        <w:spacing w:after="150" w:line="300"/>
      </w:pPr>
      <w:r>
        <w:rPr>
          <w:sz w:val="21"/>
          <w:szCs w:val="21"/>
        </w:rPr>
        <w:t xml:space="preserve"/>
      </w:r>
    </w:p>
    <w:p>
      <w:pPr>
        <w:pStyle w:val="Heading1"/>
        <w:pBdr>
          <w:bottom w:val="single" w:color="1F3864" w:sz="8" w:space="4"/>
        </w:pBdr>
        <w:spacing w:after="200" w:before="400"/>
      </w:pPr>
      <w:r>
        <w:rPr>
          <w:b/>
          <w:bCs/>
          <w:color w:val="1F3864"/>
          <w:sz w:val="30"/>
          <w:szCs w:val="30"/>
        </w:rPr>
        <w:t xml:space="preserve">8. Conclusion — The Core Narrative</w:t>
      </w:r>
    </w:p>
    <w:p>
      <w:pPr>
        <w:pStyle w:val="ListParagraph"/>
        <w:numPr>
          <w:ilvl w:val="0"/>
          <w:numId w:val="1"/>
        </w:numPr>
        <w:spacing w:after="90" w:line="290"/>
      </w:pPr>
      <w:r>
        <w:rPr>
          <w:sz w:val="21"/>
          <w:szCs w:val="21"/>
        </w:rPr>
        <w:t xml:space="preserve">Real churn hides in silence, not in a cancel button — formal cancellation alone captured only 12.3% of churn, while a behaviorally-grounded definition surfaced 16.3%.</w:t>
      </w:r>
    </w:p>
    <w:p>
      <w:pPr>
        <w:pStyle w:val="ListParagraph"/>
        <w:numPr>
          <w:ilvl w:val="0"/>
          <w:numId w:val="1"/>
        </w:numPr>
        <w:spacing w:after="90" w:line="290"/>
      </w:pPr>
      <w:r>
        <w:rPr>
          <w:sz w:val="21"/>
          <w:szCs w:val="21"/>
        </w:rPr>
        <w:t xml:space="preserve">Recency (how long since a customer last flew) was the single loudest, most actionable signal in the entire dataset — nearly 27% of the churn model's total predictive power on its own.</w:t>
      </w:r>
    </w:p>
    <w:p>
      <w:pPr>
        <w:pStyle w:val="ListParagraph"/>
        <w:numPr>
          <w:ilvl w:val="0"/>
          <w:numId w:val="1"/>
        </w:numPr>
        <w:spacing w:after="90" w:line="290"/>
      </w:pPr>
      <w:r>
        <w:rPr>
          <w:sz w:val="21"/>
          <w:szCs w:val="21"/>
        </w:rPr>
        <w:t xml:space="preserve">Loyalty card tier does not predict customer value or risk — behavior does. This directly challenges how many programs implicitly segment and treat their customers.</w:t>
      </w:r>
    </w:p>
    <w:p>
      <w:pPr>
        <w:pStyle w:val="ListParagraph"/>
        <w:numPr>
          <w:ilvl w:val="0"/>
          <w:numId w:val="1"/>
        </w:numPr>
        <w:spacing w:after="90" w:line="290"/>
      </w:pPr>
      <w:r>
        <w:rPr>
          <w:sz w:val="21"/>
          <w:szCs w:val="21"/>
        </w:rPr>
        <w:t xml:space="preserve">Each of the three behavioral segments needs a fundamentally different intervention — treating them identically wastes both retention budget and opportunity.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Airline Loyalty Churn &amp; Segmentation — Interview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2026-09-02T20:07:27.707Z</dcterms:created>
  <dcterms:modified xsi:type="dcterms:W3CDTF">2026-09-02T20:07:27.718Z</dcterms:modified>
</cp:coreProperties>
</file>

<file path=docProps/custom.xml><?xml version="1.0" encoding="utf-8"?>
<Properties xmlns="http://schemas.openxmlformats.org/officeDocument/2006/custom-properties" xmlns:vt="http://schemas.openxmlformats.org/officeDocument/2006/docPropsVTypes"/>
</file>