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534AB7"/>
          <w:sz w:val="26"/>
          <w:szCs w:val="26"/>
        </w:rPr>
        <w:t xml:space="preserve">PROJECT DETAIL REPORT</w:t>
      </w:r>
    </w:p>
    <w:p>
      <w:pPr>
        <w:spacing w:after="300"/>
        <w:jc w:val="center"/>
      </w:pPr>
      <w:r>
        <w:rPr>
          <w:b/>
          <w:bCs/>
          <w:color w:val="1F2A44"/>
          <w:sz w:val="46"/>
          <w:szCs w:val="46"/>
        </w:rPr>
        <w:t xml:space="preserve">Unlocking Behavioral Intelligence</w:t>
      </w:r>
    </w:p>
    <w:p>
      <w:pPr>
        <w:spacing w:after="500"/>
        <w:jc w:val="center"/>
      </w:pPr>
      <w:r>
        <w:rPr>
          <w:b/>
          <w:bCs/>
          <w:color w:val="1F2A44"/>
          <w:sz w:val="46"/>
          <w:szCs w:val="46"/>
        </w:rPr>
        <w:t xml:space="preserve">in Airline Loyalty Programs</w:t>
      </w:r>
    </w:p>
    <w:p>
      <w:pPr>
        <w:spacing w:after="100"/>
        <w:jc w:val="center"/>
      </w:pPr>
      <w:r>
        <w:rPr>
          <w:i/>
          <w:iCs/>
          <w:color w:val="5B6472"/>
          <w:sz w:val="22"/>
          <w:szCs w:val="22"/>
        </w:rPr>
        <w:t xml:space="preserve">A complete walkthrough of the data, the reasoning, and the statistics behind every phase</w:t>
      </w:r>
    </w:p>
    <w:p>
      <w:pPr>
        <w:spacing w:before="1200"/>
      </w:pPr>
    </w:p>
    <w:tbl>
      <w:tblPr>
        <w:tblW w:type="pct" w:w="100%"/>
        <w:tblBorders>
          <w:top w:val="single" w:color="534AB7" w:sz="4"/>
          <w:left w:val="single" w:color="534AB7" w:sz="24"/>
          <w:bottom w:val="single" w:color="534AB7"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Consulting &amp; Analytics Club, IIT Guwahati  |  Summer Projects 2026
Dataset: 16,737 Canadian loyalty members  |  392,936 monthly flight records  |  2017–2018</w:t>
            </w:r>
          </w:p>
        </w:tc>
      </w:tr>
    </w:tbl>
    <w:p>
      <w:pPr>
        <w:spacing w:before="1600"/>
      </w:pPr>
    </w:p>
    <w:p>
      <w:pPr>
        <w:jc w:val="center"/>
      </w:pPr>
      <w:r>
        <w:rPr>
          <w:i/>
          <w:iCs/>
          <w:color w:val="5B6472"/>
          <w:sz w:val="19"/>
          <w:szCs w:val="19"/>
        </w:rPr>
        <w:t xml:space="preserve">Prepared as a study reference covering: data sources, cleaning decisions, feature engineering, model choices, statistical results, customer segments, and business recommendations.</w:t>
      </w:r>
    </w:p>
    <w:p>
      <w:pPr>
        <w:sectPr>
          <w:pgSz w:w="12240" w:h="15840" w:orient="portrait"/>
          <w:pgMar w:top="1440" w:right="1350" w:bottom="1440" w:left="1350" w:header="708" w:footer="708" w:gutter="0"/>
          <w:pgNumType/>
          <w:docGrid w:linePitch="360"/>
        </w:sectPr>
      </w:pPr>
    </w:p>
    <w:p>
      <w:pPr>
        <w:pStyle w:val="Heading1"/>
        <w:pBdr>
          <w:bottom w:val="single" w:color="534AB7" w:sz="8" w:space="4"/>
        </w:pBdr>
        <w:spacing w:after="200" w:before="420"/>
      </w:pPr>
      <w:r>
        <w:rPr>
          <w:b/>
          <w:bCs/>
          <w:color w:val="1F2A44"/>
          <w:sz w:val="30"/>
          <w:szCs w:val="30"/>
        </w:rPr>
        <w:t xml:space="preserve">Contents</w:t>
      </w:r>
    </w:p>
    <w:p>
      <w:pPr>
        <w:spacing w:after="160" w:line="300"/>
      </w:pPr>
      <w:r>
        <w:rPr>
          <w:i w:val="false"/>
          <w:iCs w:val="false"/>
          <w:color w:val="2B2B2B"/>
          <w:sz w:val="21"/>
          <w:szCs w:val="21"/>
        </w:rPr>
        <w:t xml:space="preserve">1. Project Overview &amp; Objectives</w:t>
      </w:r>
    </w:p>
    <w:p>
      <w:pPr>
        <w:spacing w:after="160" w:line="300"/>
      </w:pPr>
      <w:r>
        <w:rPr>
          <w:i w:val="false"/>
          <w:iCs w:val="false"/>
          <w:color w:val="2B2B2B"/>
          <w:sz w:val="21"/>
          <w:szCs w:val="21"/>
        </w:rPr>
        <w:t xml:space="preserve">2. The Data — Sources, Size, and Structure</w:t>
      </w:r>
    </w:p>
    <w:p>
      <w:pPr>
        <w:spacing w:after="160" w:line="300"/>
      </w:pPr>
      <w:r>
        <w:rPr>
          <w:i w:val="false"/>
          <w:iCs w:val="false"/>
          <w:color w:val="2B2B2B"/>
          <w:sz w:val="21"/>
          <w:szCs w:val="21"/>
        </w:rPr>
        <w:t xml:space="preserve">3. Phase 1 — Data Understanding &amp; Exploration</w:t>
      </w:r>
    </w:p>
    <w:p>
      <w:pPr>
        <w:spacing w:after="160" w:line="300"/>
      </w:pPr>
      <w:r>
        <w:rPr>
          <w:i w:val="false"/>
          <w:iCs w:val="false"/>
          <w:color w:val="2B2B2B"/>
          <w:sz w:val="21"/>
          <w:szCs w:val="21"/>
        </w:rPr>
        <w:t xml:space="preserve">4. Phase 2 — Feature Engineering &amp; Churn Label</w:t>
      </w:r>
    </w:p>
    <w:p>
      <w:pPr>
        <w:spacing w:after="160" w:line="300"/>
      </w:pPr>
      <w:r>
        <w:rPr>
          <w:i w:val="false"/>
          <w:iCs w:val="false"/>
          <w:color w:val="2B2B2B"/>
          <w:sz w:val="21"/>
          <w:szCs w:val="21"/>
        </w:rPr>
        <w:t xml:space="preserve">5. Phase 3 — Machine Learning Modelling</w:t>
      </w:r>
    </w:p>
    <w:p>
      <w:pPr>
        <w:spacing w:after="160" w:line="300"/>
      </w:pPr>
      <w:r>
        <w:rPr>
          <w:i w:val="false"/>
          <w:iCs w:val="false"/>
          <w:color w:val="2B2B2B"/>
          <w:sz w:val="21"/>
          <w:szCs w:val="21"/>
        </w:rPr>
        <w:t xml:space="preserve">   5.1 Task A — Churn Prediction Model (XGBoost)</w:t>
      </w:r>
    </w:p>
    <w:p>
      <w:pPr>
        <w:spacing w:after="160" w:line="300"/>
      </w:pPr>
      <w:r>
        <w:rPr>
          <w:i w:val="false"/>
          <w:iCs w:val="false"/>
          <w:color w:val="2B2B2B"/>
          <w:sz w:val="21"/>
          <w:szCs w:val="21"/>
        </w:rPr>
        <w:t xml:space="preserve">   5.2 Task B — Customer Segmentation (K-Means)</w:t>
      </w:r>
    </w:p>
    <w:p>
      <w:pPr>
        <w:spacing w:after="160" w:line="300"/>
      </w:pPr>
      <w:r>
        <w:rPr>
          <w:i w:val="false"/>
          <w:iCs w:val="false"/>
          <w:color w:val="2B2B2B"/>
          <w:sz w:val="21"/>
          <w:szCs w:val="21"/>
        </w:rPr>
        <w:t xml:space="preserve">6. The Three Customer Segments</w:t>
      </w:r>
    </w:p>
    <w:p>
      <w:pPr>
        <w:spacing w:after="160" w:line="300"/>
      </w:pPr>
      <w:r>
        <w:rPr>
          <w:i w:val="false"/>
          <w:iCs w:val="false"/>
          <w:color w:val="2B2B2B"/>
          <w:sz w:val="21"/>
          <w:szCs w:val="21"/>
        </w:rPr>
        <w:t xml:space="preserve">7. Key Findings</w:t>
      </w:r>
    </w:p>
    <w:p>
      <w:pPr>
        <w:spacing w:after="160" w:line="300"/>
      </w:pPr>
      <w:r>
        <w:rPr>
          <w:i w:val="false"/>
          <w:iCs w:val="false"/>
          <w:color w:val="2B2B2B"/>
          <w:sz w:val="21"/>
          <w:szCs w:val="21"/>
        </w:rPr>
        <w:t xml:space="preserve">8. Business Recommendations</w:t>
      </w:r>
    </w:p>
    <w:p>
      <w:pPr>
        <w:spacing w:after="160" w:line="300"/>
      </w:pPr>
      <w:r>
        <w:rPr>
          <w:i w:val="false"/>
          <w:iCs w:val="false"/>
          <w:color w:val="2B2B2B"/>
          <w:sz w:val="21"/>
          <w:szCs w:val="21"/>
        </w:rPr>
        <w:t xml:space="preserve">9. Deliverables &amp; Tools</w:t>
      </w:r>
    </w:p>
    <w:p>
      <w:pPr>
        <w:spacing w:after="160" w:line="300"/>
      </w:pPr>
      <w:r>
        <w:rPr>
          <w:i w:val="false"/>
          <w:iCs w:val="false"/>
          <w:color w:val="2B2B2B"/>
          <w:sz w:val="21"/>
          <w:szCs w:val="21"/>
        </w:rPr>
        <w:t xml:space="preserve">10. Glossary of Terms Used</w:t>
      </w:r>
    </w:p>
    <w:p>
      <w:r>
        <w:br w:type="page"/>
      </w:r>
    </w:p>
    <w:p>
      <w:pPr>
        <w:pStyle w:val="Heading1"/>
        <w:pBdr>
          <w:bottom w:val="single" w:color="534AB7" w:sz="8" w:space="4"/>
        </w:pBdr>
        <w:spacing w:after="200" w:before="420"/>
      </w:pPr>
      <w:r>
        <w:rPr>
          <w:b/>
          <w:bCs/>
          <w:color w:val="1F2A44"/>
          <w:sz w:val="30"/>
          <w:szCs w:val="30"/>
        </w:rPr>
        <w:t xml:space="preserve">1. Project Overview &amp; Objectives</w:t>
      </w:r>
    </w:p>
    <w:p>
      <w:pPr>
        <w:spacing w:after="160" w:line="300"/>
      </w:pPr>
      <w:r>
        <w:rPr>
          <w:i w:val="false"/>
          <w:iCs w:val="false"/>
          <w:color w:val="2B2B2B"/>
          <w:sz w:val="21"/>
          <w:szCs w:val="21"/>
        </w:rPr>
        <w:t xml:space="preserve">Every airline loyalty programme faces a quiet, expensive problem: members stop flying but never formally cancel. They keep receiving emails, keep costing money to service, and one day they're simply gone — with no alarm ever raised. The marketing team suspected disengagement was happening but had no systematic way to identify who was at risk, how urgent the risk was, or what to actually do about it.</w:t>
      </w:r>
    </w:p>
    <w:p>
      <w:pPr>
        <w:spacing w:after="160" w:line="300"/>
      </w:pPr>
      <w:r>
        <w:rPr>
          <w:i w:val="false"/>
          <w:iCs w:val="false"/>
          <w:color w:val="2B2B2B"/>
          <w:sz w:val="21"/>
          <w:szCs w:val="21"/>
        </w:rPr>
        <w:t xml:space="preserve">This project was built to answer three specific business questions using real customer and flight data:</w:t>
      </w:r>
    </w:p>
    <w:p>
      <w:pPr>
        <w:pStyle w:val="ListParagraph"/>
        <w:numPr>
          <w:ilvl w:val="0"/>
          <w:numId w:val="1"/>
        </w:numPr>
        <w:spacing w:after="90" w:line="290"/>
      </w:pPr>
      <w:r>
        <w:rPr>
          <w:color w:val="2B2B2B"/>
          <w:sz w:val="21"/>
          <w:szCs w:val="21"/>
        </w:rPr>
        <w:t xml:space="preserve">Which customers are most likely to disengage — before it's too late to act?</w:t>
      </w:r>
    </w:p>
    <w:p>
      <w:pPr>
        <w:pStyle w:val="ListParagraph"/>
        <w:numPr>
          <w:ilvl w:val="0"/>
          <w:numId w:val="1"/>
        </w:numPr>
        <w:spacing w:after="90" w:line="290"/>
      </w:pPr>
      <w:r>
        <w:rPr>
          <w:color w:val="2B2B2B"/>
          <w:sz w:val="21"/>
          <w:szCs w:val="21"/>
        </w:rPr>
        <w:t xml:space="preserve">Which members are genuinely valuable, and which just look valuable on paper (e.g. because of their card tier)?</w:t>
      </w:r>
    </w:p>
    <w:p>
      <w:pPr>
        <w:pStyle w:val="ListParagraph"/>
        <w:numPr>
          <w:ilvl w:val="0"/>
          <w:numId w:val="1"/>
        </w:numPr>
        <w:spacing w:after="90" w:line="290"/>
      </w:pPr>
      <w:r>
        <w:rPr>
          <w:color w:val="2B2B2B"/>
          <w:sz w:val="21"/>
          <w:szCs w:val="21"/>
        </w:rPr>
        <w:t xml:space="preserve">What should the airline actually do differently for each type of customer?</w:t>
      </w:r>
    </w:p>
    <w:p>
      <w:pPr>
        <w:spacing w:after="160" w:line="300"/>
      </w:pPr>
      <w:r>
        <w:rPr>
          <w:i w:val="false"/>
          <w:iCs w:val="false"/>
          <w:color w:val="2B2B2B"/>
          <w:sz w:val="21"/>
          <w:szCs w:val="21"/>
        </w:rPr>
        <w:t xml:space="preserve">To answer these, the project was split into three phases, each with a clear objective and a clear output:</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1600"/>
        <w:gridCol w:w="5250"/>
        <w:gridCol w:w="2500"/>
      </w:tblGrid>
      <w:tr>
        <w:trPr>
          <w:tblHeader/>
        </w:trPr>
        <w:tc>
          <w:tcPr>
            <w:tcW w:type="dxa" w:w="1600"/>
            <w:shd w:fill="1F2A44" w:val="clear"/>
            <w:tcMar>
              <w:top w:type="dxa" w:w="100"/>
              <w:left w:type="dxa" w:w="120"/>
              <w:bottom w:type="dxa" w:w="100"/>
              <w:right w:type="dxa" w:w="120"/>
            </w:tcMar>
            <w:vAlign w:val="center"/>
          </w:tcPr>
          <w:p>
            <w:r>
              <w:rPr>
                <w:b/>
                <w:bCs/>
                <w:color w:val="FFFFFF"/>
                <w:sz w:val="19"/>
                <w:szCs w:val="19"/>
              </w:rPr>
              <w:t xml:space="preserve">Phase</w:t>
            </w:r>
          </w:p>
        </w:tc>
        <w:tc>
          <w:tcPr>
            <w:tcW w:type="dxa" w:w="5250"/>
            <w:shd w:fill="1F2A44" w:val="clear"/>
            <w:tcMar>
              <w:top w:type="dxa" w:w="100"/>
              <w:left w:type="dxa" w:w="120"/>
              <w:bottom w:type="dxa" w:w="100"/>
              <w:right w:type="dxa" w:w="120"/>
            </w:tcMar>
            <w:vAlign w:val="center"/>
          </w:tcPr>
          <w:p>
            <w:r>
              <w:rPr>
                <w:b/>
                <w:bCs/>
                <w:color w:val="FFFFFF"/>
                <w:sz w:val="19"/>
                <w:szCs w:val="19"/>
              </w:rPr>
              <w:t xml:space="preserve">Objective</w:t>
            </w:r>
          </w:p>
        </w:tc>
        <w:tc>
          <w:tcPr>
            <w:tcW w:type="dxa" w:w="2500"/>
            <w:shd w:fill="1F2A44" w:val="clear"/>
            <w:tcMar>
              <w:top w:type="dxa" w:w="100"/>
              <w:left w:type="dxa" w:w="120"/>
              <w:bottom w:type="dxa" w:w="100"/>
              <w:right w:type="dxa" w:w="120"/>
            </w:tcMar>
            <w:vAlign w:val="center"/>
          </w:tcPr>
          <w:p>
            <w:r>
              <w:rPr>
                <w:b/>
                <w:bCs/>
                <w:color w:val="FFFFFF"/>
                <w:sz w:val="19"/>
                <w:szCs w:val="19"/>
              </w:rPr>
              <w:t xml:space="preserve">Output</w:t>
            </w:r>
          </w:p>
        </w:tc>
      </w:tr>
      <w:tr>
        <w:tc>
          <w:tcPr>
            <w:tcW w:type="dxa" w:w="1600"/>
            <w:shd w:fill="FFFFFF" w:val="clear"/>
            <w:tcMar>
              <w:top w:type="dxa" w:w="90"/>
              <w:left w:type="dxa" w:w="120"/>
              <w:bottom w:type="dxa" w:w="90"/>
              <w:right w:type="dxa" w:w="120"/>
            </w:tcMar>
            <w:vAlign w:val="center"/>
          </w:tcPr>
          <w:p>
            <w:r>
              <w:rPr>
                <w:color w:val="2B2B2B"/>
                <w:sz w:val="19"/>
                <w:szCs w:val="19"/>
              </w:rPr>
              <w:t xml:space="preserve">Phase 1</w:t>
            </w:r>
          </w:p>
        </w:tc>
        <w:tc>
          <w:tcPr>
            <w:tcW w:type="dxa" w:w="5250"/>
            <w:shd w:fill="FFFFFF" w:val="clear"/>
            <w:tcMar>
              <w:top w:type="dxa" w:w="90"/>
              <w:left w:type="dxa" w:w="120"/>
              <w:bottom w:type="dxa" w:w="90"/>
              <w:right w:type="dxa" w:w="120"/>
            </w:tcMar>
            <w:vAlign w:val="center"/>
          </w:tcPr>
          <w:p>
            <w:r>
              <w:rPr>
                <w:color w:val="2B2B2B"/>
                <w:sz w:val="19"/>
                <w:szCs w:val="19"/>
              </w:rPr>
              <w:t xml:space="preserve">Understand the raw data and find every quality issue, without changing anything yet.</w:t>
            </w:r>
          </w:p>
        </w:tc>
        <w:tc>
          <w:tcPr>
            <w:tcW w:type="dxa" w:w="2500"/>
            <w:shd w:fill="FFFFFF" w:val="clear"/>
            <w:tcMar>
              <w:top w:type="dxa" w:w="90"/>
              <w:left w:type="dxa" w:w="120"/>
              <w:bottom w:type="dxa" w:w="90"/>
              <w:right w:type="dxa" w:w="120"/>
            </w:tcMar>
            <w:vAlign w:val="center"/>
          </w:tcPr>
          <w:p>
            <w:r>
              <w:rPr>
                <w:color w:val="2B2B2B"/>
                <w:sz w:val="19"/>
                <w:szCs w:val="19"/>
              </w:rPr>
              <w:t xml:space="preserve">Cleaning log + documented findings</w:t>
            </w:r>
          </w:p>
        </w:tc>
      </w:tr>
      <w:tr>
        <w:tc>
          <w:tcPr>
            <w:tcW w:type="dxa" w:w="1600"/>
            <w:shd w:fill="F4F5F7" w:val="clear"/>
            <w:tcMar>
              <w:top w:type="dxa" w:w="90"/>
              <w:left w:type="dxa" w:w="120"/>
              <w:bottom w:type="dxa" w:w="90"/>
              <w:right w:type="dxa" w:w="120"/>
            </w:tcMar>
            <w:vAlign w:val="center"/>
          </w:tcPr>
          <w:p>
            <w:r>
              <w:rPr>
                <w:color w:val="2B2B2B"/>
                <w:sz w:val="19"/>
                <w:szCs w:val="19"/>
              </w:rPr>
              <w:t xml:space="preserve">Phase 2</w:t>
            </w:r>
          </w:p>
        </w:tc>
        <w:tc>
          <w:tcPr>
            <w:tcW w:type="dxa" w:w="5250"/>
            <w:shd w:fill="F4F5F7" w:val="clear"/>
            <w:tcMar>
              <w:top w:type="dxa" w:w="90"/>
              <w:left w:type="dxa" w:w="120"/>
              <w:bottom w:type="dxa" w:w="90"/>
              <w:right w:type="dxa" w:w="120"/>
            </w:tcMar>
            <w:vAlign w:val="center"/>
          </w:tcPr>
          <w:p>
            <w:r>
              <w:rPr>
                <w:color w:val="2B2B2B"/>
                <w:sz w:val="19"/>
                <w:szCs w:val="19"/>
              </w:rPr>
              <w:t xml:space="preserve">Turn 392,936 monthly rows into one clean, feature-rich row per customer with a churn label.</w:t>
            </w:r>
          </w:p>
        </w:tc>
        <w:tc>
          <w:tcPr>
            <w:tcW w:type="dxa" w:w="2500"/>
            <w:shd w:fill="F4F5F7" w:val="clear"/>
            <w:tcMar>
              <w:top w:type="dxa" w:w="90"/>
              <w:left w:type="dxa" w:w="120"/>
              <w:bottom w:type="dxa" w:w="90"/>
              <w:right w:type="dxa" w:w="120"/>
            </w:tcMar>
            <w:vAlign w:val="center"/>
          </w:tcPr>
          <w:p>
            <w:r>
              <w:rPr>
                <w:color w:val="2B2B2B"/>
                <w:sz w:val="19"/>
                <w:szCs w:val="19"/>
              </w:rPr>
              <w:t xml:space="preserve">modelling2.csv (16,737 × 33)</w:t>
            </w:r>
          </w:p>
        </w:tc>
      </w:tr>
      <w:tr>
        <w:tc>
          <w:tcPr>
            <w:tcW w:type="dxa" w:w="1600"/>
            <w:shd w:fill="FFFFFF" w:val="clear"/>
            <w:tcMar>
              <w:top w:type="dxa" w:w="90"/>
              <w:left w:type="dxa" w:w="120"/>
              <w:bottom w:type="dxa" w:w="90"/>
              <w:right w:type="dxa" w:w="120"/>
            </w:tcMar>
            <w:vAlign w:val="center"/>
          </w:tcPr>
          <w:p>
            <w:r>
              <w:rPr>
                <w:color w:val="2B2B2B"/>
                <w:sz w:val="19"/>
                <w:szCs w:val="19"/>
              </w:rPr>
              <w:t xml:space="preserve">Phase 3</w:t>
            </w:r>
          </w:p>
        </w:tc>
        <w:tc>
          <w:tcPr>
            <w:tcW w:type="dxa" w:w="5250"/>
            <w:shd w:fill="FFFFFF" w:val="clear"/>
            <w:tcMar>
              <w:top w:type="dxa" w:w="90"/>
              <w:left w:type="dxa" w:w="120"/>
              <w:bottom w:type="dxa" w:w="90"/>
              <w:right w:type="dxa" w:w="120"/>
            </w:tcMar>
            <w:vAlign w:val="center"/>
          </w:tcPr>
          <w:p>
            <w:r>
              <w:rPr>
                <w:color w:val="2B2B2B"/>
                <w:sz w:val="19"/>
                <w:szCs w:val="19"/>
              </w:rPr>
              <w:t xml:space="preserve">Build a churn prediction model and a customer segmentation model.</w:t>
            </w:r>
          </w:p>
        </w:tc>
        <w:tc>
          <w:tcPr>
            <w:tcW w:type="dxa" w:w="2500"/>
            <w:shd w:fill="FFFFFF" w:val="clear"/>
            <w:tcMar>
              <w:top w:type="dxa" w:w="90"/>
              <w:left w:type="dxa" w:w="120"/>
              <w:bottom w:type="dxa" w:w="90"/>
              <w:right w:type="dxa" w:w="120"/>
            </w:tcMar>
            <w:vAlign w:val="center"/>
          </w:tcPr>
          <w:p>
            <w:r>
              <w:rPr>
                <w:color w:val="2B2B2B"/>
                <w:sz w:val="19"/>
                <w:szCs w:val="19"/>
              </w:rPr>
              <w:t xml:space="preserve">final_customer_segments.csv</w:t>
            </w:r>
          </w:p>
        </w:tc>
      </w:tr>
    </w:tbl>
    <w:p>
      <w:pPr>
        <w:spacing w:after="100"/>
      </w:pPr>
    </w:p>
    <w:p>
      <w:pPr>
        <w:spacing w:after="100" w:before="220"/>
      </w:pPr>
      <w:r>
        <w:rPr>
          <w:b/>
          <w:bCs/>
          <w:color w:val="1F2A44"/>
          <w:sz w:val="22"/>
          <w:szCs w:val="22"/>
        </w:rPr>
        <w:t xml:space="preserve">Why this structure matters</w:t>
      </w:r>
    </w:p>
    <w:p>
      <w:pPr>
        <w:spacing w:after="160" w:line="300"/>
      </w:pPr>
      <w:r>
        <w:rPr>
          <w:i w:val="false"/>
          <w:iCs w:val="false"/>
          <w:color w:val="2B2B2B"/>
          <w:sz w:val="21"/>
          <w:szCs w:val="21"/>
        </w:rPr>
        <w:t xml:space="preserve">Separating 'observe' (Phase 1) from 'fix' (Phase 2) from 'model' (Phase 3) is a deliberate discipline. It prevents a common mistake in data projects — silently fixing something before fully understanding whether it's actually broken, or why. Every cleaning decision in Phase 2 traces back to a specific finding documented in Phase 1.</w:t>
      </w:r>
    </w:p>
    <w:p>
      <w:pPr>
        <w:pStyle w:val="Heading1"/>
        <w:pBdr>
          <w:bottom w:val="single" w:color="534AB7" w:sz="8" w:space="4"/>
        </w:pBdr>
        <w:spacing w:after="200" w:before="420"/>
      </w:pPr>
      <w:r>
        <w:rPr>
          <w:b/>
          <w:bCs/>
          <w:color w:val="1F2A44"/>
          <w:sz w:val="30"/>
          <w:szCs w:val="30"/>
        </w:rPr>
        <w:t xml:space="preserve">2. The Data — Sources, Size, and Structure</w:t>
      </w:r>
    </w:p>
    <w:p>
      <w:pPr>
        <w:spacing w:after="160" w:line="300"/>
      </w:pPr>
      <w:r>
        <w:rPr>
          <w:i w:val="false"/>
          <w:iCs w:val="false"/>
          <w:color w:val="2B2B2B"/>
          <w:sz w:val="21"/>
          <w:szCs w:val="21"/>
        </w:rPr>
        <w:t xml:space="preserve">Three raw files were provided, at different levels of granularity:</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000"/>
        <w:gridCol w:w="1700"/>
        <w:gridCol w:w="2100"/>
        <w:gridCol w:w="2550"/>
      </w:tblGrid>
      <w:tr>
        <w:trPr>
          <w:tblHeader/>
        </w:trPr>
        <w:tc>
          <w:tcPr>
            <w:tcW w:type="dxa" w:w="3000"/>
            <w:shd w:fill="1F2A44" w:val="clear"/>
            <w:tcMar>
              <w:top w:type="dxa" w:w="100"/>
              <w:left w:type="dxa" w:w="120"/>
              <w:bottom w:type="dxa" w:w="100"/>
              <w:right w:type="dxa" w:w="120"/>
            </w:tcMar>
            <w:vAlign w:val="center"/>
          </w:tcPr>
          <w:p>
            <w:r>
              <w:rPr>
                <w:b/>
                <w:bCs/>
                <w:color w:val="FFFFFF"/>
                <w:sz w:val="19"/>
                <w:szCs w:val="19"/>
              </w:rPr>
              <w:t xml:space="preserve">File</w:t>
            </w:r>
          </w:p>
        </w:tc>
        <w:tc>
          <w:tcPr>
            <w:tcW w:type="dxa" w:w="1700"/>
            <w:shd w:fill="1F2A44" w:val="clear"/>
            <w:tcMar>
              <w:top w:type="dxa" w:w="100"/>
              <w:left w:type="dxa" w:w="120"/>
              <w:bottom w:type="dxa" w:w="100"/>
              <w:right w:type="dxa" w:w="120"/>
            </w:tcMar>
            <w:vAlign w:val="center"/>
          </w:tcPr>
          <w:p>
            <w:r>
              <w:rPr>
                <w:b/>
                <w:bCs/>
                <w:color w:val="FFFFFF"/>
                <w:sz w:val="19"/>
                <w:szCs w:val="19"/>
              </w:rPr>
              <w:t xml:space="preserve">Rows × Columns</w:t>
            </w:r>
          </w:p>
        </w:tc>
        <w:tc>
          <w:tcPr>
            <w:tcW w:type="dxa" w:w="2100"/>
            <w:shd w:fill="1F2A44" w:val="clear"/>
            <w:tcMar>
              <w:top w:type="dxa" w:w="100"/>
              <w:left w:type="dxa" w:w="120"/>
              <w:bottom w:type="dxa" w:w="100"/>
              <w:right w:type="dxa" w:w="120"/>
            </w:tcMar>
            <w:vAlign w:val="center"/>
          </w:tcPr>
          <w:p>
            <w:r>
              <w:rPr>
                <w:b/>
                <w:bCs/>
                <w:color w:val="FFFFFF"/>
                <w:sz w:val="19"/>
                <w:szCs w:val="19"/>
              </w:rPr>
              <w:t xml:space="preserve">Grain</w:t>
            </w:r>
          </w:p>
        </w:tc>
        <w:tc>
          <w:tcPr>
            <w:tcW w:type="dxa" w:w="2550"/>
            <w:shd w:fill="1F2A44" w:val="clear"/>
            <w:tcMar>
              <w:top w:type="dxa" w:w="100"/>
              <w:left w:type="dxa" w:w="120"/>
              <w:bottom w:type="dxa" w:w="100"/>
              <w:right w:type="dxa" w:w="120"/>
            </w:tcMar>
            <w:vAlign w:val="center"/>
          </w:tcPr>
          <w:p>
            <w:r>
              <w:rPr>
                <w:b/>
                <w:bCs/>
                <w:color w:val="FFFFFF"/>
                <w:sz w:val="19"/>
                <w:szCs w:val="19"/>
              </w:rPr>
              <w:t xml:space="preserve">Contains</w:t>
            </w:r>
          </w:p>
        </w:tc>
      </w:tr>
      <w:tr>
        <w:tc>
          <w:tcPr>
            <w:tcW w:type="dxa" w:w="3000"/>
            <w:shd w:fill="FFFFFF" w:val="clear"/>
            <w:tcMar>
              <w:top w:type="dxa" w:w="90"/>
              <w:left w:type="dxa" w:w="120"/>
              <w:bottom w:type="dxa" w:w="90"/>
              <w:right w:type="dxa" w:w="120"/>
            </w:tcMar>
            <w:vAlign w:val="center"/>
          </w:tcPr>
          <w:p>
            <w:r>
              <w:rPr>
                <w:color w:val="2B2B2B"/>
                <w:sz w:val="19"/>
                <w:szCs w:val="19"/>
              </w:rPr>
              <w:t xml:space="preserve">Customer Loyalty History.csv</w:t>
            </w:r>
          </w:p>
        </w:tc>
        <w:tc>
          <w:tcPr>
            <w:tcW w:type="dxa" w:w="1700"/>
            <w:shd w:fill="FFFFFF" w:val="clear"/>
            <w:tcMar>
              <w:top w:type="dxa" w:w="90"/>
              <w:left w:type="dxa" w:w="120"/>
              <w:bottom w:type="dxa" w:w="90"/>
              <w:right w:type="dxa" w:w="120"/>
            </w:tcMar>
            <w:vAlign w:val="center"/>
          </w:tcPr>
          <w:p>
            <w:r>
              <w:rPr>
                <w:color w:val="2B2B2B"/>
                <w:sz w:val="19"/>
                <w:szCs w:val="19"/>
              </w:rPr>
              <w:t xml:space="preserve">16,737 × 16</w:t>
            </w:r>
          </w:p>
        </w:tc>
        <w:tc>
          <w:tcPr>
            <w:tcW w:type="dxa" w:w="2100"/>
            <w:shd w:fill="FFFFFF" w:val="clear"/>
            <w:tcMar>
              <w:top w:type="dxa" w:w="90"/>
              <w:left w:type="dxa" w:w="120"/>
              <w:bottom w:type="dxa" w:w="90"/>
              <w:right w:type="dxa" w:w="120"/>
            </w:tcMar>
            <w:vAlign w:val="center"/>
          </w:tcPr>
          <w:p>
            <w:r>
              <w:rPr>
                <w:color w:val="2B2B2B"/>
                <w:sz w:val="19"/>
                <w:szCs w:val="19"/>
              </w:rPr>
              <w:t xml:space="preserve">One row per customer</w:t>
            </w:r>
          </w:p>
        </w:tc>
        <w:tc>
          <w:tcPr>
            <w:tcW w:type="dxa" w:w="2550"/>
            <w:shd w:fill="FFFFFF" w:val="clear"/>
            <w:tcMar>
              <w:top w:type="dxa" w:w="90"/>
              <w:left w:type="dxa" w:w="120"/>
              <w:bottom w:type="dxa" w:w="90"/>
              <w:right w:type="dxa" w:w="120"/>
            </w:tcMar>
            <w:vAlign w:val="center"/>
          </w:tcPr>
          <w:p>
            <w:r>
              <w:rPr>
                <w:color w:val="2B2B2B"/>
                <w:sz w:val="19"/>
                <w:szCs w:val="19"/>
              </w:rPr>
              <w:t xml:space="preserve">Demographics, card tier, CLV, enrolment date, cancellation date</w:t>
            </w:r>
          </w:p>
        </w:tc>
      </w:tr>
      <w:tr>
        <w:tc>
          <w:tcPr>
            <w:tcW w:type="dxa" w:w="3000"/>
            <w:shd w:fill="F4F5F7" w:val="clear"/>
            <w:tcMar>
              <w:top w:type="dxa" w:w="90"/>
              <w:left w:type="dxa" w:w="120"/>
              <w:bottom w:type="dxa" w:w="90"/>
              <w:right w:type="dxa" w:w="120"/>
            </w:tcMar>
            <w:vAlign w:val="center"/>
          </w:tcPr>
          <w:p>
            <w:r>
              <w:rPr>
                <w:color w:val="2B2B2B"/>
                <w:sz w:val="19"/>
                <w:szCs w:val="19"/>
              </w:rPr>
              <w:t xml:space="preserve">Customer Flight Activity.csv</w:t>
            </w:r>
          </w:p>
        </w:tc>
        <w:tc>
          <w:tcPr>
            <w:tcW w:type="dxa" w:w="1700"/>
            <w:shd w:fill="F4F5F7" w:val="clear"/>
            <w:tcMar>
              <w:top w:type="dxa" w:w="90"/>
              <w:left w:type="dxa" w:w="120"/>
              <w:bottom w:type="dxa" w:w="90"/>
              <w:right w:type="dxa" w:w="120"/>
            </w:tcMar>
            <w:vAlign w:val="center"/>
          </w:tcPr>
          <w:p>
            <w:r>
              <w:rPr>
                <w:color w:val="2B2B2B"/>
                <w:sz w:val="19"/>
                <w:szCs w:val="19"/>
              </w:rPr>
              <w:t xml:space="preserve">392,936 × 8</w:t>
            </w:r>
          </w:p>
        </w:tc>
        <w:tc>
          <w:tcPr>
            <w:tcW w:type="dxa" w:w="2100"/>
            <w:shd w:fill="F4F5F7" w:val="clear"/>
            <w:tcMar>
              <w:top w:type="dxa" w:w="90"/>
              <w:left w:type="dxa" w:w="120"/>
              <w:bottom w:type="dxa" w:w="90"/>
              <w:right w:type="dxa" w:w="120"/>
            </w:tcMar>
            <w:vAlign w:val="center"/>
          </w:tcPr>
          <w:p>
            <w:r>
              <w:rPr>
                <w:color w:val="2B2B2B"/>
                <w:sz w:val="19"/>
                <w:szCs w:val="19"/>
              </w:rPr>
              <w:t xml:space="preserve">One row per customer per month</w:t>
            </w:r>
          </w:p>
        </w:tc>
        <w:tc>
          <w:tcPr>
            <w:tcW w:type="dxa" w:w="2550"/>
            <w:shd w:fill="F4F5F7" w:val="clear"/>
            <w:tcMar>
              <w:top w:type="dxa" w:w="90"/>
              <w:left w:type="dxa" w:w="120"/>
              <w:bottom w:type="dxa" w:w="90"/>
              <w:right w:type="dxa" w:w="120"/>
            </w:tcMar>
            <w:vAlign w:val="center"/>
          </w:tcPr>
          <w:p>
            <w:r>
              <w:rPr>
                <w:color w:val="2B2B2B"/>
                <w:sz w:val="19"/>
                <w:szCs w:val="19"/>
              </w:rPr>
              <w:t xml:space="preserve">Flights, distance flown, points earned/redeemed</w:t>
            </w:r>
          </w:p>
        </w:tc>
      </w:tr>
      <w:tr>
        <w:tc>
          <w:tcPr>
            <w:tcW w:type="dxa" w:w="3000"/>
            <w:shd w:fill="FFFFFF" w:val="clear"/>
            <w:tcMar>
              <w:top w:type="dxa" w:w="90"/>
              <w:left w:type="dxa" w:w="120"/>
              <w:bottom w:type="dxa" w:w="90"/>
              <w:right w:type="dxa" w:w="120"/>
            </w:tcMar>
            <w:vAlign w:val="center"/>
          </w:tcPr>
          <w:p>
            <w:r>
              <w:rPr>
                <w:color w:val="2B2B2B"/>
                <w:sz w:val="19"/>
                <w:szCs w:val="19"/>
              </w:rPr>
              <w:t xml:space="preserve">Calendar.csv</w:t>
            </w:r>
          </w:p>
        </w:tc>
        <w:tc>
          <w:tcPr>
            <w:tcW w:type="dxa" w:w="1700"/>
            <w:shd w:fill="FFFFFF" w:val="clear"/>
            <w:tcMar>
              <w:top w:type="dxa" w:w="90"/>
              <w:left w:type="dxa" w:w="120"/>
              <w:bottom w:type="dxa" w:w="90"/>
              <w:right w:type="dxa" w:w="120"/>
            </w:tcMar>
            <w:vAlign w:val="center"/>
          </w:tcPr>
          <w:p>
            <w:r>
              <w:rPr>
                <w:color w:val="2B2B2B"/>
                <w:sz w:val="19"/>
                <w:szCs w:val="19"/>
              </w:rPr>
              <w:t xml:space="preserve">2,557 × 4</w:t>
            </w:r>
          </w:p>
        </w:tc>
        <w:tc>
          <w:tcPr>
            <w:tcW w:type="dxa" w:w="2100"/>
            <w:shd w:fill="FFFFFF" w:val="clear"/>
            <w:tcMar>
              <w:top w:type="dxa" w:w="90"/>
              <w:left w:type="dxa" w:w="120"/>
              <w:bottom w:type="dxa" w:w="90"/>
              <w:right w:type="dxa" w:w="120"/>
            </w:tcMar>
            <w:vAlign w:val="center"/>
          </w:tcPr>
          <w:p>
            <w:r>
              <w:rPr>
                <w:color w:val="2B2B2B"/>
                <w:sz w:val="19"/>
                <w:szCs w:val="19"/>
              </w:rPr>
              <w:t xml:space="preserve">One row per calendar day/month</w:t>
            </w:r>
          </w:p>
        </w:tc>
        <w:tc>
          <w:tcPr>
            <w:tcW w:type="dxa" w:w="2550"/>
            <w:shd w:fill="FFFFFF" w:val="clear"/>
            <w:tcMar>
              <w:top w:type="dxa" w:w="90"/>
              <w:left w:type="dxa" w:w="120"/>
              <w:bottom w:type="dxa" w:w="90"/>
              <w:right w:type="dxa" w:w="120"/>
            </w:tcMar>
            <w:vAlign w:val="center"/>
          </w:tcPr>
          <w:p>
            <w:r>
              <w:rPr>
                <w:color w:val="2B2B2B"/>
                <w:sz w:val="19"/>
                <w:szCs w:val="19"/>
              </w:rPr>
              <w:t xml:space="preserve">Date reference table (ultimately not needed — see Phase 2)</w:t>
            </w:r>
          </w:p>
        </w:tc>
      </w:tr>
    </w:tbl>
    <w:p>
      <w:pPr>
        <w:spacing w:after="100"/>
      </w:pPr>
    </w:p>
    <w:p>
      <w:pPr>
        <w:spacing w:after="160" w:line="300"/>
      </w:pPr>
      <w:r>
        <w:rPr>
          <w:i w:val="false"/>
          <w:iCs w:val="false"/>
          <w:color w:val="2B2B2B"/>
          <w:sz w:val="21"/>
          <w:szCs w:val="21"/>
        </w:rPr>
        <w:t xml:space="preserve">The observation window covers January 2017 through December 2018 — 24 months of flight activity per customer. After cleaning and feature engineering (Phase 2), the final model-ready dataset was 16,737 customers × 28–33 behavioural and demographic signals, with zero missing values.</w:t>
      </w:r>
    </w:p>
    <w:p>
      <w:pPr>
        <w:spacing w:after="100" w:before="220"/>
      </w:pPr>
      <w:r>
        <w:rPr>
          <w:b/>
          <w:bCs/>
          <w:color w:val="1F2A44"/>
          <w:sz w:val="22"/>
          <w:szCs w:val="22"/>
        </w:rPr>
        <w:t xml:space="preserve">Why the two files are at different grains</w:t>
      </w:r>
    </w:p>
    <w:p>
      <w:pPr>
        <w:spacing w:after="160" w:line="300"/>
      </w:pPr>
      <w:r>
        <w:rPr>
          <w:i w:val="false"/>
          <w:iCs w:val="false"/>
          <w:color w:val="2B2B2B"/>
          <w:sz w:val="21"/>
          <w:szCs w:val="21"/>
        </w:rPr>
        <w:t xml:space="preserve">The loyalty history file is static — one snapshot per customer. The flight activity file is a time series — one row per customer per month. Machine learning models need one row per entity, so a central task of Phase 2 is aggregating the 392,936 monthly rows down into behavioural summary statistics attached to each of the 16,737 customers (see Section 4).</w:t>
      </w:r>
    </w:p>
    <w:p>
      <w:r>
        <w:br w:type="page"/>
      </w:r>
    </w:p>
    <w:p>
      <w:pPr>
        <w:pStyle w:val="Heading1"/>
        <w:pBdr>
          <w:bottom w:val="single" w:color="534AB7" w:sz="8" w:space="4"/>
        </w:pBdr>
        <w:spacing w:after="200" w:before="420"/>
      </w:pPr>
      <w:r>
        <w:rPr>
          <w:b/>
          <w:bCs/>
          <w:color w:val="1F2A44"/>
          <w:sz w:val="30"/>
          <w:szCs w:val="30"/>
        </w:rPr>
        <w:t xml:space="preserve">3. Phase 1 — Data Understanding &amp; Exploration</w:t>
      </w:r>
    </w:p>
    <w:p>
      <w:pPr>
        <w:spacing w:after="160" w:line="300"/>
      </w:pPr>
      <w:r>
        <w:rPr>
          <w:i w:val="false"/>
          <w:iCs w:val="false"/>
          <w:color w:val="2B2B2B"/>
          <w:sz w:val="21"/>
          <w:szCs w:val="21"/>
        </w:rPr>
        <w:t xml:space="preserve">Rule for this phase: observe everything, fix nothing, document everything found. The goal was to build a complete picture of data quality before making a single change, so that every later decision in Phase 2 could be justified by evidence gathered here.</w:t>
      </w:r>
    </w:p>
    <w:p>
      <w:pPr>
        <w:pStyle w:val="Heading2"/>
        <w:spacing w:after="140" w:before="320"/>
      </w:pPr>
      <w:r>
        <w:rPr>
          <w:b/>
          <w:bCs/>
          <w:color w:val="534AB7"/>
          <w:sz w:val="24"/>
          <w:szCs w:val="24"/>
        </w:rPr>
        <w:t xml:space="preserve">3.1 Schema &amp; Null Analysis</w:t>
      </w:r>
    </w:p>
    <w:p>
      <w:pPr>
        <w:spacing w:after="160" w:line="300"/>
      </w:pPr>
      <w:r>
        <w:rPr>
          <w:i w:val="false"/>
          <w:iCs w:val="false"/>
          <w:color w:val="2B2B2B"/>
          <w:sz w:val="21"/>
          <w:szCs w:val="21"/>
        </w:rPr>
        <w:t xml:space="preserve">Every column's data type, null count, and number of unique values was inspected for both files. This matters because pandas silently loads a numeric column as text ("object") if even one stray character is present — a mistake that would silently break later calculations if not caught early.</w:t>
      </w:r>
    </w:p>
    <w:p>
      <w:pPr>
        <w:spacing w:after="160" w:line="300"/>
      </w:pPr>
      <w:r>
        <w:rPr>
          <w:i w:val="false"/>
          <w:iCs w:val="false"/>
          <w:color w:val="2B2B2B"/>
          <w:sz w:val="21"/>
          <w:szCs w:val="21"/>
        </w:rPr>
        <w:t xml:space="preserve">The null scan immediately flagged two columns needing a decision, each requiring a different treatment:</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600"/>
        <w:gridCol w:w="2200"/>
        <w:gridCol w:w="4550"/>
      </w:tblGrid>
      <w:tr>
        <w:trPr>
          <w:tblHeader/>
        </w:trPr>
        <w:tc>
          <w:tcPr>
            <w:tcW w:type="dxa" w:w="2600"/>
            <w:shd w:fill="1F2A44" w:val="clear"/>
            <w:tcMar>
              <w:top w:type="dxa" w:w="100"/>
              <w:left w:type="dxa" w:w="120"/>
              <w:bottom w:type="dxa" w:w="100"/>
              <w:right w:type="dxa" w:w="120"/>
            </w:tcMar>
            <w:vAlign w:val="center"/>
          </w:tcPr>
          <w:p>
            <w:r>
              <w:rPr>
                <w:b/>
                <w:bCs/>
                <w:color w:val="FFFFFF"/>
                <w:sz w:val="19"/>
                <w:szCs w:val="19"/>
              </w:rPr>
              <w:t xml:space="preserve">Column</w:t>
            </w:r>
          </w:p>
        </w:tc>
        <w:tc>
          <w:tcPr>
            <w:tcW w:type="dxa" w:w="2200"/>
            <w:shd w:fill="1F2A44" w:val="clear"/>
            <w:tcMar>
              <w:top w:type="dxa" w:w="100"/>
              <w:left w:type="dxa" w:w="120"/>
              <w:bottom w:type="dxa" w:w="100"/>
              <w:right w:type="dxa" w:w="120"/>
            </w:tcMar>
            <w:vAlign w:val="center"/>
          </w:tcPr>
          <w:p>
            <w:r>
              <w:rPr>
                <w:b/>
                <w:bCs/>
                <w:color w:val="FFFFFF"/>
                <w:sz w:val="19"/>
                <w:szCs w:val="19"/>
              </w:rPr>
              <w:t xml:space="preserve">Missing</w:t>
            </w:r>
          </w:p>
        </w:tc>
        <w:tc>
          <w:tcPr>
            <w:tcW w:type="dxa" w:w="4550"/>
            <w:shd w:fill="1F2A44" w:val="clear"/>
            <w:tcMar>
              <w:top w:type="dxa" w:w="100"/>
              <w:left w:type="dxa" w:w="120"/>
              <w:bottom w:type="dxa" w:w="100"/>
              <w:right w:type="dxa" w:w="120"/>
            </w:tcMar>
            <w:vAlign w:val="center"/>
          </w:tcPr>
          <w:p>
            <w:r>
              <w:rPr>
                <w:b/>
                <w:bCs/>
                <w:color w:val="FFFFFF"/>
                <w:sz w:val="19"/>
                <w:szCs w:val="19"/>
              </w:rPr>
              <w:t xml:space="preserve">What it turned out to mean</w:t>
            </w:r>
          </w:p>
        </w:tc>
      </w:tr>
      <w:tr>
        <w:tc>
          <w:tcPr>
            <w:tcW w:type="dxa" w:w="2600"/>
            <w:shd w:fill="FFFFFF" w:val="clear"/>
            <w:tcMar>
              <w:top w:type="dxa" w:w="90"/>
              <w:left w:type="dxa" w:w="120"/>
              <w:bottom w:type="dxa" w:w="90"/>
              <w:right w:type="dxa" w:w="120"/>
            </w:tcMar>
            <w:vAlign w:val="center"/>
          </w:tcPr>
          <w:p>
            <w:r>
              <w:rPr>
                <w:color w:val="2B2B2B"/>
                <w:sz w:val="19"/>
                <w:szCs w:val="19"/>
              </w:rPr>
              <w:t xml:space="preserve">Salary</w:t>
            </w:r>
          </w:p>
        </w:tc>
        <w:tc>
          <w:tcPr>
            <w:tcW w:type="dxa" w:w="2200"/>
            <w:shd w:fill="FFFFFF" w:val="clear"/>
            <w:tcMar>
              <w:top w:type="dxa" w:w="90"/>
              <w:left w:type="dxa" w:w="120"/>
              <w:bottom w:type="dxa" w:w="90"/>
              <w:right w:type="dxa" w:w="120"/>
            </w:tcMar>
            <w:vAlign w:val="center"/>
          </w:tcPr>
          <w:p>
            <w:r>
              <w:rPr>
                <w:color w:val="2B2B2B"/>
                <w:sz w:val="19"/>
                <w:szCs w:val="19"/>
              </w:rPr>
              <w:t xml:space="preserve">25% of members (4,238 rows)</w:t>
            </w:r>
          </w:p>
        </w:tc>
        <w:tc>
          <w:tcPr>
            <w:tcW w:type="dxa" w:w="4550"/>
            <w:shd w:fill="FFFFFF" w:val="clear"/>
            <w:tcMar>
              <w:top w:type="dxa" w:w="90"/>
              <w:left w:type="dxa" w:w="120"/>
              <w:bottom w:type="dxa" w:w="90"/>
              <w:right w:type="dxa" w:w="120"/>
            </w:tcMar>
            <w:vAlign w:val="center"/>
          </w:tcPr>
          <w:p>
            <w:r>
              <w:rPr>
                <w:color w:val="2B2B2B"/>
                <w:sz w:val="19"/>
                <w:szCs w:val="19"/>
              </w:rPr>
              <w:t xml:space="preserve">Every single one of these members was a College student — they simply have no income yet. This is not missing data; it's a structural zero.</w:t>
            </w:r>
          </w:p>
        </w:tc>
      </w:tr>
      <w:tr>
        <w:tc>
          <w:tcPr>
            <w:tcW w:type="dxa" w:w="2600"/>
            <w:shd w:fill="F4F5F7" w:val="clear"/>
            <w:tcMar>
              <w:top w:type="dxa" w:w="90"/>
              <w:left w:type="dxa" w:w="120"/>
              <w:bottom w:type="dxa" w:w="90"/>
              <w:right w:type="dxa" w:w="120"/>
            </w:tcMar>
            <w:vAlign w:val="center"/>
          </w:tcPr>
          <w:p>
            <w:r>
              <w:rPr>
                <w:color w:val="2B2B2B"/>
                <w:sz w:val="19"/>
                <w:szCs w:val="19"/>
              </w:rPr>
              <w:t xml:space="preserve">Cancellation Year / Month</w:t>
            </w:r>
          </w:p>
        </w:tc>
        <w:tc>
          <w:tcPr>
            <w:tcW w:type="dxa" w:w="2200"/>
            <w:shd w:fill="F4F5F7" w:val="clear"/>
            <w:tcMar>
              <w:top w:type="dxa" w:w="90"/>
              <w:left w:type="dxa" w:w="120"/>
              <w:bottom w:type="dxa" w:w="90"/>
              <w:right w:type="dxa" w:w="120"/>
            </w:tcMar>
            <w:vAlign w:val="center"/>
          </w:tcPr>
          <w:p>
            <w:r>
              <w:rPr>
                <w:color w:val="2B2B2B"/>
                <w:sz w:val="19"/>
                <w:szCs w:val="19"/>
              </w:rPr>
              <w:t xml:space="preserve">87.7% of members (14,670 rows)</w:t>
            </w:r>
          </w:p>
        </w:tc>
        <w:tc>
          <w:tcPr>
            <w:tcW w:type="dxa" w:w="4550"/>
            <w:shd w:fill="F4F5F7" w:val="clear"/>
            <w:tcMar>
              <w:top w:type="dxa" w:w="90"/>
              <w:left w:type="dxa" w:w="120"/>
              <w:bottom w:type="dxa" w:w="90"/>
              <w:right w:type="dxa" w:w="120"/>
            </w:tcMar>
            <w:vAlign w:val="center"/>
          </w:tcPr>
          <w:p>
            <w:r>
              <w:rPr>
                <w:color w:val="2B2B2B"/>
                <w:sz w:val="19"/>
                <w:szCs w:val="19"/>
              </w:rPr>
              <w:t xml:space="preserve">NaN correctly means 'never cancelled' — i.e. still an active member. This is not missing data either.</w:t>
            </w:r>
          </w:p>
        </w:tc>
      </w:tr>
    </w:tbl>
    <w:p>
      <w:pPr>
        <w:spacing w:after="100"/>
      </w:pPr>
    </w:p>
    <w:tbl>
      <w:tblPr>
        <w:tblW w:type="pct" w:w="100%"/>
        <w:tblBorders>
          <w:top w:val="single" w:color="1D9E75" w:sz="4"/>
          <w:left w:val="single" w:color="1D9E75" w:sz="24"/>
          <w:bottom w:val="single" w:color="1D9E75"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Key distinction carried into Phase 2: a NaN is not automatically 'missing data' to be imputed. Investigating why a value is null often reveals it's actually a meaningful zero or a meaningful category. Blind imputation (mean-fill, row-drop) would have distorted both of these columns.</w:t>
            </w:r>
          </w:p>
        </w:tc>
      </w:tr>
    </w:tbl>
    <w:p>
      <w:pPr>
        <w:spacing w:after="100"/>
      </w:pPr>
    </w:p>
    <w:p>
      <w:pPr>
        <w:pStyle w:val="Heading2"/>
        <w:spacing w:after="140" w:before="320"/>
      </w:pPr>
      <w:r>
        <w:rPr>
          <w:b/>
          <w:bCs/>
          <w:color w:val="534AB7"/>
          <w:sz w:val="24"/>
          <w:szCs w:val="24"/>
        </w:rPr>
        <w:t xml:space="preserve">3.2 Cancellation Status — Why It's Not Enough on Its Own</w:t>
      </w:r>
    </w:p>
    <w:p>
      <w:pPr>
        <w:spacing w:after="160" w:line="300"/>
      </w:pPr>
      <w:r>
        <w:rPr>
          <w:i w:val="false"/>
          <w:iCs w:val="false"/>
          <w:color w:val="2B2B2B"/>
          <w:sz w:val="21"/>
          <w:szCs w:val="21"/>
        </w:rPr>
        <w:t xml:space="preserve">Only 12.3% of the 16,737 members had ever formally cancelled their membership. On its own, that number would suggest a healthy, low-churn programme. But 87.7% never cancelling does not mean 87.7% are still actively flying — it only means they never clicked the 'cancel' button. This single observation is the reason the project could not rely on the cancellation field alone and needed a behavioural definition of churn, built in Phase 2.</w:t>
      </w:r>
    </w:p>
    <w:p>
      <w:pPr>
        <w:pStyle w:val="Heading2"/>
        <w:spacing w:after="140" w:before="320"/>
      </w:pPr>
      <w:r>
        <w:rPr>
          <w:b/>
          <w:bCs/>
          <w:color w:val="534AB7"/>
          <w:sz w:val="24"/>
          <w:szCs w:val="24"/>
        </w:rPr>
        <w:t xml:space="preserve">3.3 Salary Anomaly Check</w:t>
      </w:r>
    </w:p>
    <w:p>
      <w:pPr>
        <w:spacing w:after="160" w:line="300"/>
      </w:pPr>
      <w:r>
        <w:rPr>
          <w:i w:val="false"/>
          <w:iCs w:val="false"/>
          <w:color w:val="2B2B2B"/>
          <w:sz w:val="21"/>
          <w:szCs w:val="21"/>
        </w:rPr>
        <w:t xml:space="preserve">A sanity check for impossible values found 20 negative salary entries, spread across mixed education levels (not concentrated in one group). Because the negative values appeared as simple sign errors — the magnitude of each number looked otherwise reasonable for that person's education level — they were classified as data-entry typos rather than genuine anomalies, to be corrected (not dropped) in Phase 2.</w:t>
      </w:r>
    </w:p>
    <w:p>
      <w:pPr>
        <w:pStyle w:val="Heading2"/>
        <w:spacing w:after="140" w:before="320"/>
      </w:pPr>
      <w:r>
        <w:rPr>
          <w:b/>
          <w:bCs/>
          <w:color w:val="534AB7"/>
          <w:sz w:val="24"/>
          <w:szCs w:val="24"/>
        </w:rPr>
        <w:t xml:space="preserve">3.4 Zero-Activity Check — Setting Up the Churn Threshold</w:t>
      </w:r>
    </w:p>
    <w:p>
      <w:pPr>
        <w:spacing w:after="160" w:line="300"/>
      </w:pPr>
      <w:r>
        <w:rPr>
          <w:i w:val="false"/>
          <w:iCs w:val="false"/>
          <w:color w:val="2B2B2B"/>
          <w:sz w:val="21"/>
          <w:szCs w:val="21"/>
        </w:rPr>
        <w:t xml:space="preserve">54.5% of all monthly flight records show zero flights in that month. This is important context: single-month inactivity is completely normal (people don't fly every month), so a one-month gap cannot be used as a churn signal on its own.</w:t>
      </w:r>
    </w:p>
    <w:p>
      <w:pPr>
        <w:spacing w:after="160" w:line="300"/>
      </w:pPr>
      <w:r>
        <w:rPr>
          <w:i w:val="false"/>
          <w:iCs w:val="false"/>
          <w:color w:val="2B2B2B"/>
          <w:sz w:val="21"/>
          <w:szCs w:val="21"/>
        </w:rPr>
        <w:t xml:space="preserve">But at the customer level — summing all 24 months together — the median customer booked 34 flights across the full observation window. A customer with zero total flights across the entire two-year period is therefore a genuine outlier, several standard deviations below the median, not just someone having a quiet month. This finding directly shaped the churn definition used in Phase 2.</w:t>
      </w:r>
    </w:p>
    <w:p>
      <w:pPr>
        <w:pStyle w:val="Heading2"/>
        <w:spacing w:after="140" w:before="320"/>
      </w:pPr>
      <w:r>
        <w:rPr>
          <w:b/>
          <w:bCs/>
          <w:color w:val="534AB7"/>
          <w:sz w:val="24"/>
          <w:szCs w:val="24"/>
        </w:rPr>
        <w:t xml:space="preserve">3.5 Join Integrity Check</w:t>
      </w:r>
    </w:p>
    <w:p>
      <w:pPr>
        <w:spacing w:after="160" w:line="300"/>
      </w:pPr>
      <w:r>
        <w:rPr>
          <w:i w:val="false"/>
          <w:iCs w:val="false"/>
          <w:color w:val="2B2B2B"/>
          <w:sz w:val="21"/>
          <w:szCs w:val="21"/>
        </w:rPr>
        <w:t xml:space="preserve">Before merging the two files, their keys were cross-checked to make sure no customers or flight records would be silently dropped or duplicated. The result was a perfectly clean join: all 16,737 loyalty members had matching flight records, and zero flight records existed without a corresponding loyalty profile. This confirmed an inner join in Phase 2 would produce zero data loss.</w:t>
      </w:r>
    </w:p>
    <w:p>
      <w:pPr>
        <w:pStyle w:val="Heading2"/>
        <w:spacing w:after="140" w:before="320"/>
      </w:pPr>
      <w:r>
        <w:rPr>
          <w:b/>
          <w:bCs/>
          <w:color w:val="534AB7"/>
          <w:sz w:val="24"/>
          <w:szCs w:val="24"/>
        </w:rPr>
        <w:t xml:space="preserve">3.6 CLV (Customer Lifetime Value) Distribution</w:t>
      </w:r>
    </w:p>
    <w:p>
      <w:pPr>
        <w:spacing w:after="160" w:line="300"/>
      </w:pPr>
      <w:r>
        <w:rPr>
          <w:i w:val="false"/>
          <w:iCs w:val="false"/>
          <w:color w:val="2B2B2B"/>
          <w:sz w:val="21"/>
          <w:szCs w:val="21"/>
        </w:rPr>
        <w:t xml:space="preserve">Median CLV was 5,780, but the distribution was heavily right-skewed — a small number of members have very high lifetime value, pulling the mean far above the median. No negative CLV values were found. Because K-Means clustering (Phase 3) uses raw distance and is sensitive to skew and outliers, this finding flagged the need for a log transformation of CLV before it could be used in modelling.</w:t>
      </w:r>
    </w:p>
    <w:p>
      <w:pPr>
        <w:pStyle w:val="Heading2"/>
        <w:spacing w:after="140" w:before="320"/>
      </w:pPr>
      <w:r>
        <w:rPr>
          <w:b/>
          <w:bCs/>
          <w:color w:val="534AB7"/>
          <w:sz w:val="24"/>
          <w:szCs w:val="24"/>
        </w:rPr>
        <w:t xml:space="preserve">3.7 Demographic Composition</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600"/>
        <w:gridCol w:w="6750"/>
      </w:tblGrid>
      <w:tr>
        <w:trPr>
          <w:tblHeader/>
        </w:trPr>
        <w:tc>
          <w:tcPr>
            <w:tcW w:type="dxa" w:w="2600"/>
            <w:shd w:fill="1F2A44" w:val="clear"/>
            <w:tcMar>
              <w:top w:type="dxa" w:w="100"/>
              <w:left w:type="dxa" w:w="120"/>
              <w:bottom w:type="dxa" w:w="100"/>
              <w:right w:type="dxa" w:w="120"/>
            </w:tcMar>
            <w:vAlign w:val="center"/>
          </w:tcPr>
          <w:p>
            <w:r>
              <w:rPr>
                <w:b/>
                <w:bCs/>
                <w:color w:val="FFFFFF"/>
                <w:sz w:val="19"/>
                <w:szCs w:val="19"/>
              </w:rPr>
              <w:t xml:space="preserve">Attribute</w:t>
            </w:r>
          </w:p>
        </w:tc>
        <w:tc>
          <w:tcPr>
            <w:tcW w:type="dxa" w:w="6750"/>
            <w:shd w:fill="1F2A44" w:val="clear"/>
            <w:tcMar>
              <w:top w:type="dxa" w:w="100"/>
              <w:left w:type="dxa" w:w="120"/>
              <w:bottom w:type="dxa" w:w="100"/>
              <w:right w:type="dxa" w:w="120"/>
            </w:tcMar>
            <w:vAlign w:val="center"/>
          </w:tcPr>
          <w:p>
            <w:r>
              <w:rPr>
                <w:b/>
                <w:bCs/>
                <w:color w:val="FFFFFF"/>
                <w:sz w:val="19"/>
                <w:szCs w:val="19"/>
              </w:rPr>
              <w:t xml:space="preserve">Distribution</w:t>
            </w:r>
          </w:p>
        </w:tc>
      </w:tr>
      <w:tr>
        <w:tc>
          <w:tcPr>
            <w:tcW w:type="dxa" w:w="2600"/>
            <w:shd w:fill="FFFFFF" w:val="clear"/>
            <w:tcMar>
              <w:top w:type="dxa" w:w="90"/>
              <w:left w:type="dxa" w:w="120"/>
              <w:bottom w:type="dxa" w:w="90"/>
              <w:right w:type="dxa" w:w="120"/>
            </w:tcMar>
            <w:vAlign w:val="center"/>
          </w:tcPr>
          <w:p>
            <w:r>
              <w:rPr>
                <w:color w:val="2B2B2B"/>
                <w:sz w:val="19"/>
                <w:szCs w:val="19"/>
              </w:rPr>
              <w:t xml:space="preserve">Loyalty card tier</w:t>
            </w:r>
          </w:p>
        </w:tc>
        <w:tc>
          <w:tcPr>
            <w:tcW w:type="dxa" w:w="6750"/>
            <w:shd w:fill="FFFFFF" w:val="clear"/>
            <w:tcMar>
              <w:top w:type="dxa" w:w="90"/>
              <w:left w:type="dxa" w:w="120"/>
              <w:bottom w:type="dxa" w:w="90"/>
              <w:right w:type="dxa" w:w="120"/>
            </w:tcMar>
            <w:vAlign w:val="center"/>
          </w:tcPr>
          <w:p>
            <w:r>
              <w:rPr>
                <w:color w:val="2B2B2B"/>
                <w:sz w:val="19"/>
                <w:szCs w:val="19"/>
              </w:rPr>
              <w:t xml:space="preserve">Star 45.6% · Nova 33.9% · Aurora 20.5% — a healthy pyramid structure</w:t>
            </w:r>
          </w:p>
        </w:tc>
      </w:tr>
      <w:tr>
        <w:tc>
          <w:tcPr>
            <w:tcW w:type="dxa" w:w="2600"/>
            <w:shd w:fill="F4F5F7" w:val="clear"/>
            <w:tcMar>
              <w:top w:type="dxa" w:w="90"/>
              <w:left w:type="dxa" w:w="120"/>
              <w:bottom w:type="dxa" w:w="90"/>
              <w:right w:type="dxa" w:w="120"/>
            </w:tcMar>
            <w:vAlign w:val="center"/>
          </w:tcPr>
          <w:p>
            <w:r>
              <w:rPr>
                <w:color w:val="2B2B2B"/>
                <w:sz w:val="19"/>
                <w:szCs w:val="19"/>
              </w:rPr>
              <w:t xml:space="preserve">Education</w:t>
            </w:r>
          </w:p>
        </w:tc>
        <w:tc>
          <w:tcPr>
            <w:tcW w:type="dxa" w:w="6750"/>
            <w:shd w:fill="F4F5F7" w:val="clear"/>
            <w:tcMar>
              <w:top w:type="dxa" w:w="90"/>
              <w:left w:type="dxa" w:w="120"/>
              <w:bottom w:type="dxa" w:w="90"/>
              <w:right w:type="dxa" w:w="120"/>
            </w:tcMar>
            <w:vAlign w:val="center"/>
          </w:tcPr>
          <w:p>
            <w:r>
              <w:rPr>
                <w:color w:val="2B2B2B"/>
                <w:sz w:val="19"/>
                <w:szCs w:val="19"/>
              </w:rPr>
              <w:t xml:space="preserve">Bachelor 62.6% (dominant) · College 25.3% — explains the salary-null pattern above</w:t>
            </w:r>
          </w:p>
        </w:tc>
      </w:tr>
      <w:tr>
        <w:tc>
          <w:tcPr>
            <w:tcW w:type="dxa" w:w="2600"/>
            <w:shd w:fill="FFFFFF" w:val="clear"/>
            <w:tcMar>
              <w:top w:type="dxa" w:w="90"/>
              <w:left w:type="dxa" w:w="120"/>
              <w:bottom w:type="dxa" w:w="90"/>
              <w:right w:type="dxa" w:w="120"/>
            </w:tcMar>
            <w:vAlign w:val="center"/>
          </w:tcPr>
          <w:p>
            <w:r>
              <w:rPr>
                <w:color w:val="2B2B2B"/>
                <w:sz w:val="19"/>
                <w:szCs w:val="19"/>
              </w:rPr>
              <w:t xml:space="preserve">Gender</w:t>
            </w:r>
          </w:p>
        </w:tc>
        <w:tc>
          <w:tcPr>
            <w:tcW w:type="dxa" w:w="6750"/>
            <w:shd w:fill="FFFFFF" w:val="clear"/>
            <w:tcMar>
              <w:top w:type="dxa" w:w="90"/>
              <w:left w:type="dxa" w:w="120"/>
              <w:bottom w:type="dxa" w:w="90"/>
              <w:right w:type="dxa" w:w="120"/>
            </w:tcMar>
            <w:vAlign w:val="center"/>
          </w:tcPr>
          <w:p>
            <w:r>
              <w:rPr>
                <w:color w:val="2B2B2B"/>
                <w:sz w:val="19"/>
                <w:szCs w:val="19"/>
              </w:rPr>
              <w:t xml:space="preserve">Almost perfectly balanced, ~50/50 — no gender skew to correct for</w:t>
            </w:r>
          </w:p>
        </w:tc>
      </w:tr>
      <w:tr>
        <w:tc>
          <w:tcPr>
            <w:tcW w:type="dxa" w:w="2600"/>
            <w:shd w:fill="F4F5F7" w:val="clear"/>
            <w:tcMar>
              <w:top w:type="dxa" w:w="90"/>
              <w:left w:type="dxa" w:w="120"/>
              <w:bottom w:type="dxa" w:w="90"/>
              <w:right w:type="dxa" w:w="120"/>
            </w:tcMar>
            <w:vAlign w:val="center"/>
          </w:tcPr>
          <w:p>
            <w:r>
              <w:rPr>
                <w:color w:val="2B2B2B"/>
                <w:sz w:val="19"/>
                <w:szCs w:val="19"/>
              </w:rPr>
              <w:t xml:space="preserve">Province</w:t>
            </w:r>
          </w:p>
        </w:tc>
        <w:tc>
          <w:tcPr>
            <w:tcW w:type="dxa" w:w="6750"/>
            <w:shd w:fill="F4F5F7" w:val="clear"/>
            <w:tcMar>
              <w:top w:type="dxa" w:w="90"/>
              <w:left w:type="dxa" w:w="120"/>
              <w:bottom w:type="dxa" w:w="90"/>
              <w:right w:type="dxa" w:w="120"/>
            </w:tcMar>
            <w:vAlign w:val="center"/>
          </w:tcPr>
          <w:p>
            <w:r>
              <w:rPr>
                <w:color w:val="2B2B2B"/>
                <w:sz w:val="19"/>
                <w:szCs w:val="19"/>
              </w:rPr>
              <w:t xml:space="preserve">Ontario 32.3% · BC 26.3% · Quebec 19.7% — three provinces cover 78.3% of members</w:t>
            </w:r>
          </w:p>
        </w:tc>
      </w:tr>
    </w:tbl>
    <w:p>
      <w:pPr>
        <w:spacing w:after="100"/>
      </w:pPr>
    </w:p>
    <w:p>
      <w:pPr>
        <w:spacing w:after="160" w:line="300"/>
      </w:pPr>
      <w:r>
        <w:rPr>
          <w:i w:val="false"/>
          <w:iCs w:val="false"/>
          <w:color w:val="2B2B2B"/>
          <w:sz w:val="21"/>
          <w:szCs w:val="21"/>
        </w:rPr>
        <w:t xml:space="preserve">All demographic columns were completely clean, with zero nulls.</w:t>
      </w:r>
    </w:p>
    <w:p>
      <w:pPr>
        <w:pStyle w:val="Heading2"/>
        <w:spacing w:after="140" w:before="320"/>
      </w:pPr>
      <w:r>
        <w:rPr>
          <w:b/>
          <w:bCs/>
          <w:color w:val="534AB7"/>
          <w:sz w:val="24"/>
          <w:szCs w:val="24"/>
        </w:rPr>
        <w:t xml:space="preserve">3.8 Seasonality of Flight Volume</w:t>
      </w:r>
    </w:p>
    <w:p>
      <w:pPr>
        <w:spacing w:after="160" w:line="300"/>
      </w:pPr>
      <w:r>
        <w:rPr>
          <w:i w:val="false"/>
          <w:iCs w:val="false"/>
          <w:color w:val="2B2B2B"/>
          <w:sz w:val="21"/>
          <w:szCs w:val="21"/>
        </w:rPr>
        <w:t xml:space="preserve">Plotting total flights by calendar month showed clear seasonal peaks around common vacation periods, confirming that season-of-year is a real behavioural signal worth engineering as a feature rather than noise to ignore.</w:t>
      </w:r>
    </w:p>
    <w:p>
      <w:pPr>
        <w:pStyle w:val="Heading2"/>
        <w:spacing w:after="140" w:before="320"/>
      </w:pPr>
      <w:r>
        <w:rPr>
          <w:b/>
          <w:bCs/>
          <w:color w:val="534AB7"/>
          <w:sz w:val="24"/>
          <w:szCs w:val="24"/>
        </w:rPr>
        <w:t xml:space="preserve">3.9 Phase 1 Cleaning Log</w:t>
      </w:r>
    </w:p>
    <w:p>
      <w:pPr>
        <w:spacing w:after="160" w:line="300"/>
      </w:pPr>
      <w:r>
        <w:rPr>
          <w:i w:val="false"/>
          <w:iCs w:val="false"/>
          <w:color w:val="2B2B2B"/>
          <w:sz w:val="21"/>
          <w:szCs w:val="21"/>
        </w:rPr>
        <w:t xml:space="preserve">Every issue found in Phase 1, and the decision that would be applied to it in Phase 2:</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200"/>
        <w:gridCol w:w="2500"/>
        <w:gridCol w:w="2100"/>
        <w:gridCol w:w="2550"/>
      </w:tblGrid>
      <w:tr>
        <w:trPr>
          <w:tblHeader/>
        </w:trPr>
        <w:tc>
          <w:tcPr>
            <w:tcW w:type="dxa" w:w="2200"/>
            <w:shd w:fill="1F2A44" w:val="clear"/>
            <w:tcMar>
              <w:top w:type="dxa" w:w="100"/>
              <w:left w:type="dxa" w:w="120"/>
              <w:bottom w:type="dxa" w:w="100"/>
              <w:right w:type="dxa" w:w="120"/>
            </w:tcMar>
            <w:vAlign w:val="center"/>
          </w:tcPr>
          <w:p>
            <w:r>
              <w:rPr>
                <w:b/>
                <w:bCs/>
                <w:color w:val="FFFFFF"/>
                <w:sz w:val="19"/>
                <w:szCs w:val="19"/>
              </w:rPr>
              <w:t xml:space="preserve">Column</w:t>
            </w:r>
          </w:p>
        </w:tc>
        <w:tc>
          <w:tcPr>
            <w:tcW w:type="dxa" w:w="2500"/>
            <w:shd w:fill="1F2A44" w:val="clear"/>
            <w:tcMar>
              <w:top w:type="dxa" w:w="100"/>
              <w:left w:type="dxa" w:w="120"/>
              <w:bottom w:type="dxa" w:w="100"/>
              <w:right w:type="dxa" w:w="120"/>
            </w:tcMar>
            <w:vAlign w:val="center"/>
          </w:tcPr>
          <w:p>
            <w:r>
              <w:rPr>
                <w:b/>
                <w:bCs/>
                <w:color w:val="FFFFFF"/>
                <w:sz w:val="19"/>
                <w:szCs w:val="19"/>
              </w:rPr>
              <w:t xml:space="preserve">Issue</w:t>
            </w:r>
          </w:p>
        </w:tc>
        <w:tc>
          <w:tcPr>
            <w:tcW w:type="dxa" w:w="2100"/>
            <w:shd w:fill="1F2A44" w:val="clear"/>
            <w:tcMar>
              <w:top w:type="dxa" w:w="100"/>
              <w:left w:type="dxa" w:w="120"/>
              <w:bottom w:type="dxa" w:w="100"/>
              <w:right w:type="dxa" w:w="120"/>
            </w:tcMar>
            <w:vAlign w:val="center"/>
          </w:tcPr>
          <w:p>
            <w:r>
              <w:rPr>
                <w:b/>
                <w:bCs/>
                <w:color w:val="FFFFFF"/>
                <w:sz w:val="19"/>
                <w:szCs w:val="19"/>
              </w:rPr>
              <w:t xml:space="preserve">Decision</w:t>
            </w:r>
          </w:p>
        </w:tc>
        <w:tc>
          <w:tcPr>
            <w:tcW w:type="dxa" w:w="2550"/>
            <w:shd w:fill="1F2A44" w:val="clear"/>
            <w:tcMar>
              <w:top w:type="dxa" w:w="100"/>
              <w:left w:type="dxa" w:w="120"/>
              <w:bottom w:type="dxa" w:w="100"/>
              <w:right w:type="dxa" w:w="120"/>
            </w:tcMar>
            <w:vAlign w:val="center"/>
          </w:tcPr>
          <w:p>
            <w:r>
              <w:rPr>
                <w:b/>
                <w:bCs/>
                <w:color w:val="FFFFFF"/>
                <w:sz w:val="19"/>
                <w:szCs w:val="19"/>
              </w:rPr>
              <w:t xml:space="preserve">Reason</w:t>
            </w:r>
          </w:p>
        </w:tc>
      </w:tr>
      <w:tr>
        <w:tc>
          <w:tcPr>
            <w:tcW w:type="dxa" w:w="2200"/>
            <w:shd w:fill="FFFFFF" w:val="clear"/>
            <w:tcMar>
              <w:top w:type="dxa" w:w="90"/>
              <w:left w:type="dxa" w:w="120"/>
              <w:bottom w:type="dxa" w:w="90"/>
              <w:right w:type="dxa" w:w="120"/>
            </w:tcMar>
            <w:vAlign w:val="center"/>
          </w:tcPr>
          <w:p>
            <w:r>
              <w:rPr>
                <w:color w:val="2B2B2B"/>
                <w:sz w:val="19"/>
                <w:szCs w:val="19"/>
              </w:rPr>
              <w:t xml:space="preserve">Salary</w:t>
            </w:r>
          </w:p>
        </w:tc>
        <w:tc>
          <w:tcPr>
            <w:tcW w:type="dxa" w:w="2500"/>
            <w:shd w:fill="FFFFFF" w:val="clear"/>
            <w:tcMar>
              <w:top w:type="dxa" w:w="90"/>
              <w:left w:type="dxa" w:w="120"/>
              <w:bottom w:type="dxa" w:w="90"/>
              <w:right w:type="dxa" w:w="120"/>
            </w:tcMar>
            <w:vAlign w:val="center"/>
          </w:tcPr>
          <w:p>
            <w:r>
              <w:rPr>
                <w:color w:val="2B2B2B"/>
                <w:sz w:val="19"/>
                <w:szCs w:val="19"/>
              </w:rPr>
              <w:t xml:space="preserve">NaN for College students</w:t>
            </w:r>
          </w:p>
        </w:tc>
        <w:tc>
          <w:tcPr>
            <w:tcW w:type="dxa" w:w="2100"/>
            <w:shd w:fill="FFFFFF" w:val="clear"/>
            <w:tcMar>
              <w:top w:type="dxa" w:w="90"/>
              <w:left w:type="dxa" w:w="120"/>
              <w:bottom w:type="dxa" w:w="90"/>
              <w:right w:type="dxa" w:w="120"/>
            </w:tcMar>
            <w:vAlign w:val="center"/>
          </w:tcPr>
          <w:p>
            <w:r>
              <w:rPr>
                <w:color w:val="2B2B2B"/>
                <w:sz w:val="19"/>
                <w:szCs w:val="19"/>
              </w:rPr>
              <w:t xml:space="preserve">Fill with 0</w:t>
            </w:r>
          </w:p>
        </w:tc>
        <w:tc>
          <w:tcPr>
            <w:tcW w:type="dxa" w:w="2550"/>
            <w:shd w:fill="FFFFFF" w:val="clear"/>
            <w:tcMar>
              <w:top w:type="dxa" w:w="90"/>
              <w:left w:type="dxa" w:w="120"/>
              <w:bottom w:type="dxa" w:w="90"/>
              <w:right w:type="dxa" w:w="120"/>
            </w:tcMar>
            <w:vAlign w:val="center"/>
          </w:tcPr>
          <w:p>
            <w:r>
              <w:rPr>
                <w:color w:val="2B2B2B"/>
                <w:sz w:val="19"/>
                <w:szCs w:val="19"/>
              </w:rPr>
              <w:t xml:space="preserve">Students have no income — 0 is factually correct, not an estimate</w:t>
            </w:r>
          </w:p>
        </w:tc>
      </w:tr>
      <w:tr>
        <w:tc>
          <w:tcPr>
            <w:tcW w:type="dxa" w:w="2200"/>
            <w:shd w:fill="F4F5F7" w:val="clear"/>
            <w:tcMar>
              <w:top w:type="dxa" w:w="90"/>
              <w:left w:type="dxa" w:w="120"/>
              <w:bottom w:type="dxa" w:w="90"/>
              <w:right w:type="dxa" w:w="120"/>
            </w:tcMar>
            <w:vAlign w:val="center"/>
          </w:tcPr>
          <w:p>
            <w:r>
              <w:rPr>
                <w:color w:val="2B2B2B"/>
                <w:sz w:val="19"/>
                <w:szCs w:val="19"/>
              </w:rPr>
              <w:t xml:space="preserve">Salary</w:t>
            </w:r>
          </w:p>
        </w:tc>
        <w:tc>
          <w:tcPr>
            <w:tcW w:type="dxa" w:w="2500"/>
            <w:shd w:fill="F4F5F7" w:val="clear"/>
            <w:tcMar>
              <w:top w:type="dxa" w:w="90"/>
              <w:left w:type="dxa" w:w="120"/>
              <w:bottom w:type="dxa" w:w="90"/>
              <w:right w:type="dxa" w:w="120"/>
            </w:tcMar>
            <w:vAlign w:val="center"/>
          </w:tcPr>
          <w:p>
            <w:r>
              <w:rPr>
                <w:color w:val="2B2B2B"/>
                <w:sz w:val="19"/>
                <w:szCs w:val="19"/>
              </w:rPr>
              <w:t xml:space="preserve">20 negative values</w:t>
            </w:r>
          </w:p>
        </w:tc>
        <w:tc>
          <w:tcPr>
            <w:tcW w:type="dxa" w:w="2100"/>
            <w:shd w:fill="F4F5F7" w:val="clear"/>
            <w:tcMar>
              <w:top w:type="dxa" w:w="90"/>
              <w:left w:type="dxa" w:w="120"/>
              <w:bottom w:type="dxa" w:w="90"/>
              <w:right w:type="dxa" w:w="120"/>
            </w:tcMar>
            <w:vAlign w:val="center"/>
          </w:tcPr>
          <w:p>
            <w:r>
              <w:rPr>
                <w:color w:val="2B2B2B"/>
                <w:sz w:val="19"/>
                <w:szCs w:val="19"/>
              </w:rPr>
              <w:t xml:space="preserve">Convert to absolute value</w:t>
            </w:r>
          </w:p>
        </w:tc>
        <w:tc>
          <w:tcPr>
            <w:tcW w:type="dxa" w:w="2550"/>
            <w:shd w:fill="F4F5F7" w:val="clear"/>
            <w:tcMar>
              <w:top w:type="dxa" w:w="90"/>
              <w:left w:type="dxa" w:w="120"/>
              <w:bottom w:type="dxa" w:w="90"/>
              <w:right w:type="dxa" w:w="120"/>
            </w:tcMar>
            <w:vAlign w:val="center"/>
          </w:tcPr>
          <w:p>
            <w:r>
              <w:rPr>
                <w:color w:val="2B2B2B"/>
                <w:sz w:val="19"/>
                <w:szCs w:val="19"/>
              </w:rPr>
              <w:t xml:space="preserve">Confirmed sign-error typos; magnitude was correct</w:t>
            </w:r>
          </w:p>
        </w:tc>
      </w:tr>
      <w:tr>
        <w:tc>
          <w:tcPr>
            <w:tcW w:type="dxa" w:w="2200"/>
            <w:shd w:fill="FFFFFF" w:val="clear"/>
            <w:tcMar>
              <w:top w:type="dxa" w:w="90"/>
              <w:left w:type="dxa" w:w="120"/>
              <w:bottom w:type="dxa" w:w="90"/>
              <w:right w:type="dxa" w:w="120"/>
            </w:tcMar>
            <w:vAlign w:val="center"/>
          </w:tcPr>
          <w:p>
            <w:r>
              <w:rPr>
                <w:color w:val="2B2B2B"/>
                <w:sz w:val="19"/>
                <w:szCs w:val="19"/>
              </w:rPr>
              <w:t xml:space="preserve">Cancellation Year/Month</w:t>
            </w:r>
          </w:p>
        </w:tc>
        <w:tc>
          <w:tcPr>
            <w:tcW w:type="dxa" w:w="2500"/>
            <w:shd w:fill="FFFFFF" w:val="clear"/>
            <w:tcMar>
              <w:top w:type="dxa" w:w="90"/>
              <w:left w:type="dxa" w:w="120"/>
              <w:bottom w:type="dxa" w:w="90"/>
              <w:right w:type="dxa" w:w="120"/>
            </w:tcMar>
            <w:vAlign w:val="center"/>
          </w:tcPr>
          <w:p>
            <w:r>
              <w:rPr>
                <w:color w:val="2B2B2B"/>
                <w:sz w:val="19"/>
                <w:szCs w:val="19"/>
              </w:rPr>
              <w:t xml:space="preserve">NaN for 14,670 rows</w:t>
            </w:r>
          </w:p>
        </w:tc>
        <w:tc>
          <w:tcPr>
            <w:tcW w:type="dxa" w:w="2100"/>
            <w:shd w:fill="FFFFFF" w:val="clear"/>
            <w:tcMar>
              <w:top w:type="dxa" w:w="90"/>
              <w:left w:type="dxa" w:w="120"/>
              <w:bottom w:type="dxa" w:w="90"/>
              <w:right w:type="dxa" w:w="120"/>
            </w:tcMar>
            <w:vAlign w:val="center"/>
          </w:tcPr>
          <w:p>
            <w:r>
              <w:rPr>
                <w:color w:val="2B2B2B"/>
                <w:sz w:val="19"/>
                <w:szCs w:val="19"/>
              </w:rPr>
              <w:t xml:space="preserve">Leave untouched</w:t>
            </w:r>
          </w:p>
        </w:tc>
        <w:tc>
          <w:tcPr>
            <w:tcW w:type="dxa" w:w="2550"/>
            <w:shd w:fill="FFFFFF" w:val="clear"/>
            <w:tcMar>
              <w:top w:type="dxa" w:w="90"/>
              <w:left w:type="dxa" w:w="120"/>
              <w:bottom w:type="dxa" w:w="90"/>
              <w:right w:type="dxa" w:w="120"/>
            </w:tcMar>
            <w:vAlign w:val="center"/>
          </w:tcPr>
          <w:p>
            <w:r>
              <w:rPr>
                <w:color w:val="2B2B2B"/>
                <w:sz w:val="19"/>
                <w:szCs w:val="19"/>
              </w:rPr>
              <w:t xml:space="preserve">NaN correctly means 'never cancelled' / still active</w:t>
            </w:r>
          </w:p>
        </w:tc>
      </w:tr>
      <w:tr>
        <w:tc>
          <w:tcPr>
            <w:tcW w:type="dxa" w:w="2200"/>
            <w:shd w:fill="F4F5F7" w:val="clear"/>
            <w:tcMar>
              <w:top w:type="dxa" w:w="90"/>
              <w:left w:type="dxa" w:w="120"/>
              <w:bottom w:type="dxa" w:w="90"/>
              <w:right w:type="dxa" w:w="120"/>
            </w:tcMar>
            <w:vAlign w:val="center"/>
          </w:tcPr>
          <w:p>
            <w:r>
              <w:rPr>
                <w:color w:val="2B2B2B"/>
                <w:sz w:val="19"/>
                <w:szCs w:val="19"/>
              </w:rPr>
              <w:t xml:space="preserve">Flight Activity file</w:t>
            </w:r>
          </w:p>
        </w:tc>
        <w:tc>
          <w:tcPr>
            <w:tcW w:type="dxa" w:w="2500"/>
            <w:shd w:fill="F4F5F7" w:val="clear"/>
            <w:tcMar>
              <w:top w:type="dxa" w:w="90"/>
              <w:left w:type="dxa" w:w="120"/>
              <w:bottom w:type="dxa" w:w="90"/>
              <w:right w:type="dxa" w:w="120"/>
            </w:tcMar>
            <w:vAlign w:val="center"/>
          </w:tcPr>
          <w:p>
            <w:r>
              <w:rPr>
                <w:color w:val="2B2B2B"/>
                <w:sz w:val="19"/>
                <w:szCs w:val="19"/>
              </w:rPr>
              <w:t xml:space="preserve">1,922 exact duplicate rows</w:t>
            </w:r>
          </w:p>
        </w:tc>
        <w:tc>
          <w:tcPr>
            <w:tcW w:type="dxa" w:w="2100"/>
            <w:shd w:fill="F4F5F7" w:val="clear"/>
            <w:tcMar>
              <w:top w:type="dxa" w:w="90"/>
              <w:left w:type="dxa" w:w="120"/>
              <w:bottom w:type="dxa" w:w="90"/>
              <w:right w:type="dxa" w:w="120"/>
            </w:tcMar>
            <w:vAlign w:val="center"/>
          </w:tcPr>
          <w:p>
            <w:r>
              <w:rPr>
                <w:color w:val="2B2B2B"/>
                <w:sz w:val="19"/>
                <w:szCs w:val="19"/>
              </w:rPr>
              <w:t xml:space="preserve">Remove</w:t>
            </w:r>
          </w:p>
        </w:tc>
        <w:tc>
          <w:tcPr>
            <w:tcW w:type="dxa" w:w="2550"/>
            <w:shd w:fill="F4F5F7" w:val="clear"/>
            <w:tcMar>
              <w:top w:type="dxa" w:w="90"/>
              <w:left w:type="dxa" w:w="120"/>
              <w:bottom w:type="dxa" w:w="90"/>
              <w:right w:type="dxa" w:w="120"/>
            </w:tcMar>
            <w:vAlign w:val="center"/>
          </w:tcPr>
          <w:p>
            <w:r>
              <w:rPr>
                <w:color w:val="2B2B2B"/>
                <w:sz w:val="19"/>
                <w:szCs w:val="19"/>
              </w:rPr>
              <w:t xml:space="preserve">Duplicates would double-count engagement for affected customers</w:t>
            </w:r>
          </w:p>
        </w:tc>
      </w:tr>
    </w:tbl>
    <w:p>
      <w:r>
        <w:br w:type="page"/>
      </w:r>
    </w:p>
    <w:p>
      <w:pPr>
        <w:pStyle w:val="Heading1"/>
        <w:pBdr>
          <w:bottom w:val="single" w:color="534AB7" w:sz="8" w:space="4"/>
        </w:pBdr>
        <w:spacing w:after="200" w:before="420"/>
      </w:pPr>
      <w:r>
        <w:rPr>
          <w:b/>
          <w:bCs/>
          <w:color w:val="1F2A44"/>
          <w:sz w:val="30"/>
          <w:szCs w:val="30"/>
        </w:rPr>
        <w:t xml:space="preserve">4. Phase 2 — Feature Engineering &amp; Churn Label</w:t>
      </w:r>
    </w:p>
    <w:p>
      <w:pPr>
        <w:spacing w:after="160" w:line="300"/>
      </w:pPr>
      <w:r>
        <w:rPr>
          <w:i w:val="false"/>
          <w:iCs w:val="false"/>
          <w:color w:val="2B2B2B"/>
          <w:sz w:val="21"/>
          <w:szCs w:val="21"/>
        </w:rPr>
        <w:t xml:space="preserve">Objective: transform the 392,936 monthly flight rows into one clean row per customer, attach a defensible churn label, and produce a fully numeric, model-ready feature matrix. Input was the raw (but now-understood) files from Phase 1; output was modelling2.csv.</w:t>
      </w:r>
    </w:p>
    <w:p>
      <w:pPr>
        <w:pStyle w:val="Heading2"/>
        <w:spacing w:after="140" w:before="320"/>
      </w:pPr>
      <w:r>
        <w:rPr>
          <w:b/>
          <w:bCs/>
          <w:color w:val="534AB7"/>
          <w:sz w:val="24"/>
          <w:szCs w:val="24"/>
        </w:rPr>
        <w:t xml:space="preserve">4.1 Removing Duplicates &amp; Fixing Salary</w:t>
      </w:r>
    </w:p>
    <w:p>
      <w:pPr>
        <w:spacing w:after="160" w:line="300"/>
      </w:pPr>
      <w:r>
        <w:rPr>
          <w:i w:val="false"/>
          <w:iCs w:val="false"/>
          <w:color w:val="2B2B2B"/>
          <w:sz w:val="21"/>
          <w:szCs w:val="21"/>
        </w:rPr>
        <w:t xml:space="preserve">1,922 exact duplicate flight-activity rows were dropped. The 4,238 College-student salary NaNs were filled with 0 (not the column mean — see Phase 1 reasoning). The 20 negative salary values were converted with an absolute-value transform, since they were confirmed typos rather than true anomalies needing a different treatment such as group-median imputation.</w:t>
      </w:r>
    </w:p>
    <w:p>
      <w:pPr>
        <w:pStyle w:val="Heading2"/>
        <w:spacing w:after="140" w:before="320"/>
      </w:pPr>
      <w:r>
        <w:rPr>
          <w:b/>
          <w:bCs/>
          <w:color w:val="534AB7"/>
          <w:sz w:val="24"/>
          <w:szCs w:val="24"/>
        </w:rPr>
        <w:t xml:space="preserve">4.2 Building the Master Dataset</w:t>
      </w:r>
    </w:p>
    <w:p>
      <w:pPr>
        <w:spacing w:after="160" w:line="300"/>
      </w:pPr>
      <w:r>
        <w:rPr>
          <w:i w:val="false"/>
          <w:iCs w:val="false"/>
          <w:color w:val="2B2B2B"/>
          <w:sz w:val="21"/>
          <w:szCs w:val="21"/>
        </w:rPr>
        <w:t xml:space="preserve">The flight activity and loyalty history files were merged on Loyalty Number using an inner join — justified by the perfect join integrity confirmed in Phase 1, so no rows were lost. Quarter and Season were derived directly from the Month column (Winter = Dec–Feb, Spring = Mar–May, Summer = Jun–Aug, Fall = Sep–Nov); the separate Calendar.csv file was not needed since these same fields could be derived directly and equivalently from Month.</w:t>
      </w:r>
    </w:p>
    <w:p>
      <w:pPr>
        <w:pStyle w:val="Heading2"/>
        <w:spacing w:after="140" w:before="320"/>
      </w:pPr>
      <w:r>
        <w:rPr>
          <w:b/>
          <w:bCs/>
          <w:color w:val="534AB7"/>
          <w:sz w:val="24"/>
          <w:szCs w:val="24"/>
        </w:rPr>
        <w:t xml:space="preserve">4.3 Defining Churn — the Most Consequential Decision in the Project</w:t>
      </w:r>
    </w:p>
    <w:p>
      <w:pPr>
        <w:spacing w:after="160" w:line="300"/>
      </w:pPr>
      <w:r>
        <w:rPr>
          <w:i w:val="false"/>
          <w:iCs w:val="false"/>
          <w:color w:val="2B2B2B"/>
          <w:sz w:val="21"/>
          <w:szCs w:val="21"/>
        </w:rPr>
        <w:t xml:space="preserve">Two competing churn definitions were built and compared before choosing one:</w:t>
      </w:r>
    </w:p>
    <w:p>
      <w:pPr>
        <w:pStyle w:val="ListParagraph"/>
        <w:numPr>
          <w:ilvl w:val="0"/>
          <w:numId w:val="1"/>
        </w:numPr>
        <w:spacing w:after="90" w:line="290"/>
      </w:pPr>
      <w:r>
        <w:rPr>
          <w:color w:val="2B2B2B"/>
          <w:sz w:val="21"/>
          <w:szCs w:val="21"/>
        </w:rPr>
        <w:t xml:space="preserve">Formal churn: the customer has a recorded Cancellation Year in the database.</w:t>
      </w:r>
    </w:p>
    <w:p>
      <w:pPr>
        <w:pStyle w:val="ListParagraph"/>
        <w:numPr>
          <w:ilvl w:val="0"/>
          <w:numId w:val="1"/>
        </w:numPr>
        <w:spacing w:after="90" w:line="290"/>
      </w:pPr>
      <w:r>
        <w:rPr>
          <w:color w:val="2B2B2B"/>
          <w:sz w:val="21"/>
          <w:szCs w:val="21"/>
        </w:rPr>
        <w:t xml:space="preserve">Behavioral churn: the customer's flight activity has gone inactive for a defined stretch of months.</w:t>
      </w:r>
    </w:p>
    <w:p>
      <w:pPr>
        <w:spacing w:after="160" w:line="300"/>
      </w:pPr>
      <w:r>
        <w:rPr>
          <w:i w:val="false"/>
          <w:iCs w:val="false"/>
          <w:color w:val="2B2B2B"/>
          <w:sz w:val="21"/>
          <w:szCs w:val="21"/>
        </w:rPr>
        <w:t xml:space="preserve">To measure behavioral inactivity correctly, months-since-last-flight was computed for every customer relative to the dataset's final observed month (December 2018) — not the real-world current date, since this is historical data. Customers who never flew at all had to be explicitly reindexed back into the calculation, since filtering to active months first would silently drop exactly the customers a churn label is meant to catch. Months were computed from year/month components directly, rather than converting a day-count into months, since calendar months vary in length and a day-based cutoff can misclassify customers sitting right at a boundary.</w:t>
      </w:r>
    </w:p>
    <w:p>
      <w:pPr>
        <w:spacing w:after="160" w:line="300"/>
      </w:pPr>
      <w:r>
        <w:rPr>
          <w:i w:val="false"/>
          <w:iCs w:val="false"/>
          <w:color w:val="2B2B2B"/>
          <w:sz w:val="21"/>
          <w:szCs w:val="21"/>
        </w:rPr>
        <w:t xml:space="preserve">With that corrected methodology in place, four inactivity thresholds were tested against the full customer base:</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400"/>
        <w:gridCol w:w="2450"/>
        <w:gridCol w:w="3500"/>
      </w:tblGrid>
      <w:tr>
        <w:trPr>
          <w:tblHeader/>
        </w:trPr>
        <w:tc>
          <w:tcPr>
            <w:tcW w:type="dxa" w:w="3400"/>
            <w:shd w:fill="1F2A44" w:val="clear"/>
            <w:tcMar>
              <w:top w:type="dxa" w:w="100"/>
              <w:left w:type="dxa" w:w="120"/>
              <w:bottom w:type="dxa" w:w="100"/>
              <w:right w:type="dxa" w:w="120"/>
            </w:tcMar>
            <w:vAlign w:val="center"/>
          </w:tcPr>
          <w:p>
            <w:r>
              <w:rPr>
                <w:b/>
                <w:bCs/>
                <w:color w:val="FFFFFF"/>
                <w:sz w:val="19"/>
                <w:szCs w:val="19"/>
              </w:rPr>
              <w:t xml:space="preserve">Threshold tested</w:t>
            </w:r>
          </w:p>
        </w:tc>
        <w:tc>
          <w:tcPr>
            <w:tcW w:type="dxa" w:w="2450"/>
            <w:shd w:fill="1F2A44" w:val="clear"/>
            <w:tcMar>
              <w:top w:type="dxa" w:w="100"/>
              <w:left w:type="dxa" w:w="120"/>
              <w:bottom w:type="dxa" w:w="100"/>
              <w:right w:type="dxa" w:w="120"/>
            </w:tcMar>
            <w:vAlign w:val="center"/>
          </w:tcPr>
          <w:p>
            <w:r>
              <w:rPr>
                <w:b/>
                <w:bCs/>
                <w:color w:val="FFFFFF"/>
                <w:sz w:val="19"/>
                <w:szCs w:val="19"/>
              </w:rPr>
              <w:t xml:space="preserve">% of members flagged</w:t>
            </w:r>
          </w:p>
        </w:tc>
        <w:tc>
          <w:tcPr>
            <w:tcW w:type="dxa" w:w="3500"/>
            <w:shd w:fill="1F2A44" w:val="clear"/>
            <w:tcMar>
              <w:top w:type="dxa" w:w="100"/>
              <w:left w:type="dxa" w:w="120"/>
              <w:bottom w:type="dxa" w:w="100"/>
              <w:right w:type="dxa" w:w="120"/>
            </w:tcMar>
            <w:vAlign w:val="center"/>
          </w:tcPr>
          <w:p>
            <w:r>
              <w:rPr>
                <w:b/>
                <w:bCs/>
                <w:color w:val="FFFFFF"/>
                <w:sz w:val="19"/>
                <w:szCs w:val="19"/>
              </w:rPr>
              <w:t xml:space="preserve">Verdict</w:t>
            </w:r>
          </w:p>
        </w:tc>
      </w:tr>
      <w:tr>
        <w:tc>
          <w:tcPr>
            <w:tcW w:type="dxa" w:w="3400"/>
            <w:shd w:fill="FFFFFF" w:val="clear"/>
            <w:tcMar>
              <w:top w:type="dxa" w:w="90"/>
              <w:left w:type="dxa" w:w="120"/>
              <w:bottom w:type="dxa" w:w="90"/>
              <w:right w:type="dxa" w:w="120"/>
            </w:tcMar>
            <w:vAlign w:val="center"/>
          </w:tcPr>
          <w:p>
            <w:r>
              <w:rPr>
                <w:color w:val="2B2B2B"/>
                <w:sz w:val="19"/>
                <w:szCs w:val="19"/>
              </w:rPr>
              <w:t xml:space="preserve">No flight in the last 6 months</w:t>
            </w:r>
          </w:p>
        </w:tc>
        <w:tc>
          <w:tcPr>
            <w:tcW w:type="dxa" w:w="2450"/>
            <w:shd w:fill="FFFFFF" w:val="clear"/>
            <w:tcMar>
              <w:top w:type="dxa" w:w="90"/>
              <w:left w:type="dxa" w:w="120"/>
              <w:bottom w:type="dxa" w:w="90"/>
              <w:right w:type="dxa" w:w="120"/>
            </w:tcMar>
            <w:vAlign w:val="center"/>
          </w:tcPr>
          <w:p>
            <w:r>
              <w:rPr>
                <w:color w:val="2B2B2B"/>
                <w:sz w:val="19"/>
                <w:szCs w:val="19"/>
              </w:rPr>
              <w:t xml:space="preserve">14.8%</w:t>
            </w:r>
          </w:p>
        </w:tc>
        <w:tc>
          <w:tcPr>
            <w:tcW w:type="dxa" w:w="3500"/>
            <w:shd w:fill="FFFFFF" w:val="clear"/>
            <w:tcMar>
              <w:top w:type="dxa" w:w="90"/>
              <w:left w:type="dxa" w:w="120"/>
              <w:bottom w:type="dxa" w:w="90"/>
              <w:right w:type="dxa" w:w="120"/>
            </w:tcMar>
            <w:vAlign w:val="center"/>
          </w:tcPr>
          <w:p>
            <w:r>
              <w:rPr>
                <w:color w:val="2B2B2B"/>
                <w:sz w:val="19"/>
                <w:szCs w:val="19"/>
              </w:rPr>
              <w:t xml:space="preserve">Captures recent inactivity, but overlaps heavily with formal cancellation — adds little new signal</w:t>
            </w:r>
          </w:p>
        </w:tc>
      </w:tr>
      <w:tr>
        <w:tc>
          <w:tcPr>
            <w:tcW w:type="dxa" w:w="3400"/>
            <w:shd w:fill="F4F5F7" w:val="clear"/>
            <w:tcMar>
              <w:top w:type="dxa" w:w="90"/>
              <w:left w:type="dxa" w:w="120"/>
              <w:bottom w:type="dxa" w:w="90"/>
              <w:right w:type="dxa" w:w="120"/>
            </w:tcMar>
            <w:vAlign w:val="center"/>
          </w:tcPr>
          <w:p>
            <w:r>
              <w:rPr>
                <w:color w:val="2B2B2B"/>
                <w:sz w:val="19"/>
                <w:szCs w:val="19"/>
              </w:rPr>
              <w:t xml:space="preserve">No flight in the last 12 months</w:t>
            </w:r>
          </w:p>
        </w:tc>
        <w:tc>
          <w:tcPr>
            <w:tcW w:type="dxa" w:w="2450"/>
            <w:shd w:fill="F4F5F7" w:val="clear"/>
            <w:tcMar>
              <w:top w:type="dxa" w:w="90"/>
              <w:left w:type="dxa" w:w="120"/>
              <w:bottom w:type="dxa" w:w="90"/>
              <w:right w:type="dxa" w:w="120"/>
            </w:tcMar>
            <w:vAlign w:val="center"/>
          </w:tcPr>
          <w:p>
            <w:r>
              <w:rPr>
                <w:color w:val="2B2B2B"/>
                <w:sz w:val="19"/>
                <w:szCs w:val="19"/>
              </w:rPr>
              <w:t xml:space="preserve">12.7%</w:t>
            </w:r>
          </w:p>
        </w:tc>
        <w:tc>
          <w:tcPr>
            <w:tcW w:type="dxa" w:w="3500"/>
            <w:shd w:fill="F4F5F7" w:val="clear"/>
            <w:tcMar>
              <w:top w:type="dxa" w:w="90"/>
              <w:left w:type="dxa" w:w="120"/>
              <w:bottom w:type="dxa" w:w="90"/>
              <w:right w:type="dxa" w:w="120"/>
            </w:tcMar>
            <w:vAlign w:val="center"/>
          </w:tcPr>
          <w:p>
            <w:r>
              <w:rPr>
                <w:color w:val="2B2B2B"/>
                <w:sz w:val="19"/>
                <w:szCs w:val="19"/>
              </w:rPr>
              <w:t xml:space="preserve">Selected — see reasoning below</w:t>
            </w:r>
          </w:p>
        </w:tc>
      </w:tr>
      <w:tr>
        <w:tc>
          <w:tcPr>
            <w:tcW w:type="dxa" w:w="3400"/>
            <w:shd w:fill="FFFFFF" w:val="clear"/>
            <w:tcMar>
              <w:top w:type="dxa" w:w="90"/>
              <w:left w:type="dxa" w:w="120"/>
              <w:bottom w:type="dxa" w:w="90"/>
              <w:right w:type="dxa" w:w="120"/>
            </w:tcMar>
            <w:vAlign w:val="center"/>
          </w:tcPr>
          <w:p>
            <w:r>
              <w:rPr>
                <w:color w:val="2B2B2B"/>
                <w:sz w:val="19"/>
                <w:szCs w:val="19"/>
              </w:rPr>
              <w:t xml:space="preserve">No flight in the last 24 months</w:t>
            </w:r>
          </w:p>
        </w:tc>
        <w:tc>
          <w:tcPr>
            <w:tcW w:type="dxa" w:w="2450"/>
            <w:shd w:fill="FFFFFF" w:val="clear"/>
            <w:tcMar>
              <w:top w:type="dxa" w:w="90"/>
              <w:left w:type="dxa" w:w="120"/>
              <w:bottom w:type="dxa" w:w="90"/>
              <w:right w:type="dxa" w:w="120"/>
            </w:tcMar>
            <w:vAlign w:val="center"/>
          </w:tcPr>
          <w:p>
            <w:r>
              <w:rPr>
                <w:color w:val="2B2B2B"/>
                <w:sz w:val="19"/>
                <w:szCs w:val="19"/>
              </w:rPr>
              <w:t xml:space="preserve">9.4%</w:t>
            </w:r>
          </w:p>
        </w:tc>
        <w:tc>
          <w:tcPr>
            <w:tcW w:type="dxa" w:w="3500"/>
            <w:shd w:fill="FFFFFF" w:val="clear"/>
            <w:tcMar>
              <w:top w:type="dxa" w:w="90"/>
              <w:left w:type="dxa" w:w="120"/>
              <w:bottom w:type="dxa" w:w="90"/>
              <w:right w:type="dxa" w:w="120"/>
            </w:tcMar>
            <w:vAlign w:val="center"/>
          </w:tcPr>
          <w:p>
            <w:r>
              <w:rPr>
                <w:color w:val="2B2B2B"/>
                <w:sz w:val="19"/>
                <w:szCs w:val="19"/>
              </w:rPr>
              <w:t xml:space="preserve">Too lenient — waits almost the full observation window before flagging genuine disengagement</w:t>
            </w:r>
          </w:p>
        </w:tc>
      </w:tr>
    </w:tbl>
    <w:p>
      <w:pPr>
        <w:spacing w:after="100"/>
      </w:pPr>
    </w:p>
    <w:p>
      <w:pPr>
        <w:spacing w:after="100" w:before="220"/>
      </w:pPr>
      <w:r>
        <w:rPr>
          <w:b/>
          <w:bCs/>
          <w:color w:val="1F2A44"/>
          <w:sz w:val="22"/>
          <w:szCs w:val="22"/>
        </w:rPr>
        <w:t xml:space="preserve">Validating the Threshold — Two Diagnostics</w:t>
      </w:r>
    </w:p>
    <w:p>
      <w:pPr>
        <w:spacing w:after="160" w:line="300"/>
      </w:pPr>
      <w:r>
        <w:rPr>
          <w:i w:val="false"/>
          <w:iCs w:val="false"/>
          <w:color w:val="2B2B2B"/>
          <w:sz w:val="21"/>
          <w:szCs w:val="21"/>
        </w:rPr>
        <w:t xml:space="preserve">Before finalizing a threshold, two checks were run to make sure the choice was evidence-based rather than arbitrary.</w:t>
      </w:r>
    </w:p>
    <w:p>
      <w:pPr>
        <w:spacing w:after="160" w:line="300"/>
      </w:pPr>
      <w:r>
        <w:rPr>
          <w:i w:val="false"/>
          <w:iCs w:val="false"/>
          <w:color w:val="2B2B2B"/>
          <w:sz w:val="21"/>
          <w:szCs w:val="21"/>
        </w:rPr>
        <w:t xml:space="preserve">Diagnostic 1 — overlap with formal cancellation: of the 2,067 formally cancelled customers, the percentage also flagged as behaviorally inactive was measured at each threshold. The overlap fell from 81.7% (6-month) to 55.1% (18-month) to 46.0% (24-month) — confirming that formal cancellation and behavioral inactivity are related but genuinely distinct signals, and that the gap between them widens the longer the threshold. This is exactly why the two signals are combined with OR logic rather than AND: an AND condition would have excluded genuine churners simply because of when they happened to cancel.</w:t>
      </w:r>
    </w:p>
    <w:p>
      <w:pPr>
        <w:spacing w:after="160" w:line="300"/>
      </w:pPr>
      <w:r>
        <w:rPr>
          <w:i w:val="false"/>
          <w:iCs w:val="false"/>
          <w:color w:val="2B2B2B"/>
          <w:sz w:val="21"/>
          <w:szCs w:val="21"/>
        </w:rPr>
        <w:t xml:space="preserve">Diagnostic 2 — Chi-square test of independence: a Chi-square test between formal cancellation and behavioral churn was run at each threshold, and all four were highly statistically significant (p &lt; 0.001). Importantly, the association was strongest at the shortest threshold (6 months) and weakened as the threshold lengthened — which is the opposite of what you'd want to optimize for. A threshold that maximizes agreement with formal cancellation is, by construction, the one that adds the least new information beyond what the company already tracks.</w:t>
      </w:r>
    </w:p>
    <w:tbl>
      <w:tblPr>
        <w:tblW w:type="pct" w:w="100%"/>
        <w:tblBorders>
          <w:top w:val="single" w:color="1D9E75" w:sz="4"/>
          <w:left w:val="single" w:color="1D9E75" w:sz="24"/>
          <w:bottom w:val="single" w:color="1D9E75"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Final threshold: 12 months. Six months is too aggressive as a standalone cutoff and mostly duplicates the formal-cancellation signal; 24 months is too lenient and delays detection. Twelve months is long enough to represent a deliberate signal of disengagement rather than a normal travel lull, short enough to still allow timely retention action, and showed a defensible — not maximal — statistical relationship with formal cancellation.</w:t>
            </w:r>
          </w:p>
        </w:tc>
      </w:tr>
    </w:tbl>
    <w:p>
      <w:pPr>
        <w:spacing w:after="100"/>
      </w:pPr>
    </w:p>
    <w:p>
      <w:pPr>
        <w:spacing w:after="160" w:line="300"/>
      </w:pPr>
      <w:r>
        <w:rPr>
          <w:i w:val="false"/>
          <w:iCs w:val="false"/>
          <w:color w:val="2B2B2B"/>
          <w:sz w:val="21"/>
          <w:szCs w:val="21"/>
        </w:rPr>
        <w:t xml:space="preserve">Final rule: a member is labelled churned if they either formally cancelled OR had no flight activity in the 12 months leading up to the end of the observation window. This combined definition surfaced 2,725 churned customers out of 16,737 — a 16.3% churn rate — versus the 12.3% that formal cancellation alone would have shown. The gap between those two numbers represents the 'silent quitters': people who disengaged without ever clicking cancel.</w:t>
      </w:r>
    </w:p>
    <w:tbl>
      <w:tblPr>
        <w:tblW w:type="pct" w:w="100%"/>
        <w:tblBorders>
          <w:top w:val="single" w:color="E8593C" w:sz="4"/>
          <w:left w:val="single" w:color="E8593C" w:sz="24"/>
          <w:bottom w:val="single" w:color="E8593C"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Why this matters for the model: the resulting class split is roughly 84% not-churned vs 16% churned — an imbalanced dataset. The scale_pos_weight parameter used in modelling (Section 5.1) exists specifically to correct for this imbalance during training.</w:t>
            </w:r>
          </w:p>
        </w:tc>
      </w:tr>
    </w:tbl>
    <w:p>
      <w:pPr>
        <w:spacing w:after="100"/>
      </w:pPr>
    </w:p>
    <w:p>
      <w:pPr>
        <w:pStyle w:val="Heading2"/>
        <w:spacing w:after="140" w:before="320"/>
      </w:pPr>
      <w:r>
        <w:rPr>
          <w:b/>
          <w:bCs/>
          <w:color w:val="534AB7"/>
          <w:sz w:val="24"/>
          <w:szCs w:val="24"/>
        </w:rPr>
        <w:t xml:space="preserve">4.4 Demographic &amp; Geographic Features</w:t>
      </w:r>
    </w:p>
    <w:p>
      <w:pPr>
        <w:spacing w:after="160" w:line="300"/>
      </w:pPr>
      <w:r>
        <w:rPr>
          <w:i w:val="false"/>
          <w:iCs w:val="false"/>
          <w:color w:val="2B2B2B"/>
          <w:sz w:val="21"/>
          <w:szCs w:val="21"/>
        </w:rPr>
        <w:t xml:space="preserve">Tenure_Months was derived from Enrollment Year/Month, capturing how long each member has been in the programme — longer tenure generally means more entrenched loyalty habits. Province (11 categories, some very sparse — e.g. only 110 members from Yukon) was consolidated into three broader Region buckets (East, West, North). This avoids one-hot-encoding 11 sparse categories, which would add noise without adding real signal.</w:t>
      </w:r>
    </w:p>
    <w:p>
      <w:pPr>
        <w:pStyle w:val="Heading2"/>
        <w:spacing w:after="140" w:before="320"/>
      </w:pPr>
      <w:r>
        <w:rPr>
          <w:b/>
          <w:bCs/>
          <w:color w:val="534AB7"/>
          <w:sz w:val="24"/>
          <w:szCs w:val="24"/>
        </w:rPr>
        <w:t xml:space="preserve">4.5 Behavioral Features (Aggregated from the Flight File)</w:t>
      </w:r>
    </w:p>
    <w:p>
      <w:pPr>
        <w:spacing w:after="160" w:line="300"/>
      </w:pPr>
      <w:r>
        <w:rPr>
          <w:i w:val="false"/>
          <w:iCs w:val="false"/>
          <w:color w:val="2B2B2B"/>
          <w:sz w:val="21"/>
          <w:szCs w:val="21"/>
        </w:rPr>
        <w:t xml:space="preserve">The 391,014 monthly activity rows were aggregated into per-customer summary statistics: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600"/>
        <w:gridCol w:w="5750"/>
      </w:tblGrid>
      <w:tr>
        <w:trPr>
          <w:tblHeader/>
        </w:trPr>
        <w:tc>
          <w:tcPr>
            <w:tcW w:type="dxa" w:w="3600"/>
            <w:shd w:fill="1F2A44" w:val="clear"/>
            <w:tcMar>
              <w:top w:type="dxa" w:w="100"/>
              <w:left w:type="dxa" w:w="120"/>
              <w:bottom w:type="dxa" w:w="100"/>
              <w:right w:type="dxa" w:w="120"/>
            </w:tcMar>
            <w:vAlign w:val="center"/>
          </w:tcPr>
          <w:p>
            <w:r>
              <w:rPr>
                <w:b/>
                <w:bCs/>
                <w:color w:val="FFFFFF"/>
                <w:sz w:val="19"/>
                <w:szCs w:val="19"/>
              </w:rPr>
              <w:t xml:space="preserve">Feature</w:t>
            </w:r>
          </w:p>
        </w:tc>
        <w:tc>
          <w:tcPr>
            <w:tcW w:type="dxa" w:w="5750"/>
            <w:shd w:fill="1F2A44" w:val="clear"/>
            <w:tcMar>
              <w:top w:type="dxa" w:w="100"/>
              <w:left w:type="dxa" w:w="120"/>
              <w:bottom w:type="dxa" w:w="100"/>
              <w:right w:type="dxa" w:w="120"/>
            </w:tcMar>
            <w:vAlign w:val="center"/>
          </w:tcPr>
          <w:p>
            <w:r>
              <w:rPr>
                <w:b/>
                <w:bCs/>
                <w:color w:val="FFFFFF"/>
                <w:sz w:val="19"/>
                <w:szCs w:val="19"/>
              </w:rPr>
              <w:t xml:space="preserve">What it captures</w:t>
            </w:r>
          </w:p>
        </w:tc>
      </w:tr>
      <w:tr>
        <w:tc>
          <w:tcPr>
            <w:tcW w:type="dxa" w:w="3600"/>
            <w:shd w:fill="FFFFFF" w:val="clear"/>
            <w:tcMar>
              <w:top w:type="dxa" w:w="90"/>
              <w:left w:type="dxa" w:w="120"/>
              <w:bottom w:type="dxa" w:w="90"/>
              <w:right w:type="dxa" w:w="120"/>
            </w:tcMar>
            <w:vAlign w:val="center"/>
          </w:tcPr>
          <w:p>
            <w:r>
              <w:rPr>
                <w:color w:val="2B2B2B"/>
                <w:sz w:val="19"/>
                <w:szCs w:val="19"/>
              </w:rPr>
              <w:t xml:space="preserve">Total_Flights, Avg_Flights_Month, Max_Flights_Month</w:t>
            </w:r>
          </w:p>
        </w:tc>
        <w:tc>
          <w:tcPr>
            <w:tcW w:type="dxa" w:w="5750"/>
            <w:shd w:fill="FFFFFF" w:val="clear"/>
            <w:tcMar>
              <w:top w:type="dxa" w:w="90"/>
              <w:left w:type="dxa" w:w="120"/>
              <w:bottom w:type="dxa" w:w="90"/>
              <w:right w:type="dxa" w:w="120"/>
            </w:tcMar>
            <w:vAlign w:val="center"/>
          </w:tcPr>
          <w:p>
            <w:r>
              <w:rPr>
                <w:color w:val="2B2B2B"/>
                <w:sz w:val="19"/>
                <w:szCs w:val="19"/>
              </w:rPr>
              <w:t xml:space="preserve">Overall flight volume and peak activity</w:t>
            </w:r>
          </w:p>
        </w:tc>
      </w:tr>
      <w:tr>
        <w:tc>
          <w:tcPr>
            <w:tcW w:type="dxa" w:w="3600"/>
            <w:shd w:fill="F4F5F7" w:val="clear"/>
            <w:tcMar>
              <w:top w:type="dxa" w:w="90"/>
              <w:left w:type="dxa" w:w="120"/>
              <w:bottom w:type="dxa" w:w="90"/>
              <w:right w:type="dxa" w:w="120"/>
            </w:tcMar>
            <w:vAlign w:val="center"/>
          </w:tcPr>
          <w:p>
            <w:r>
              <w:rPr>
                <w:color w:val="2B2B2B"/>
                <w:sz w:val="19"/>
                <w:szCs w:val="19"/>
              </w:rPr>
              <w:t xml:space="preserve">Total_Distance, Avg_Distance_Month</w:t>
            </w:r>
          </w:p>
        </w:tc>
        <w:tc>
          <w:tcPr>
            <w:tcW w:type="dxa" w:w="5750"/>
            <w:shd w:fill="F4F5F7" w:val="clear"/>
            <w:tcMar>
              <w:top w:type="dxa" w:w="90"/>
              <w:left w:type="dxa" w:w="120"/>
              <w:bottom w:type="dxa" w:w="90"/>
              <w:right w:type="dxa" w:w="120"/>
            </w:tcMar>
            <w:vAlign w:val="center"/>
          </w:tcPr>
          <w:p>
            <w:r>
              <w:rPr>
                <w:color w:val="2B2B2B"/>
                <w:sz w:val="19"/>
                <w:szCs w:val="19"/>
              </w:rPr>
              <w:t xml:space="preserve">Total and average distance flown</w:t>
            </w:r>
          </w:p>
        </w:tc>
      </w:tr>
      <w:tr>
        <w:tc>
          <w:tcPr>
            <w:tcW w:type="dxa" w:w="3600"/>
            <w:shd w:fill="FFFFFF" w:val="clear"/>
            <w:tcMar>
              <w:top w:type="dxa" w:w="90"/>
              <w:left w:type="dxa" w:w="120"/>
              <w:bottom w:type="dxa" w:w="90"/>
              <w:right w:type="dxa" w:w="120"/>
            </w:tcMar>
            <w:vAlign w:val="center"/>
          </w:tcPr>
          <w:p>
            <w:r>
              <w:rPr>
                <w:color w:val="2B2B2B"/>
                <w:sz w:val="19"/>
                <w:szCs w:val="19"/>
              </w:rPr>
              <w:t xml:space="preserve">Total_Points_Acc, Total_Points_Red, Total_Dollar_Red</w:t>
            </w:r>
          </w:p>
        </w:tc>
        <w:tc>
          <w:tcPr>
            <w:tcW w:type="dxa" w:w="5750"/>
            <w:shd w:fill="FFFFFF" w:val="clear"/>
            <w:tcMar>
              <w:top w:type="dxa" w:w="90"/>
              <w:left w:type="dxa" w:w="120"/>
              <w:bottom w:type="dxa" w:w="90"/>
              <w:right w:type="dxa" w:w="120"/>
            </w:tcMar>
            <w:vAlign w:val="center"/>
          </w:tcPr>
          <w:p>
            <w:r>
              <w:rPr>
                <w:color w:val="2B2B2B"/>
                <w:sz w:val="19"/>
                <w:szCs w:val="19"/>
              </w:rPr>
              <w:t xml:space="preserve">Points earned, points redeemed, and their dollar value</w:t>
            </w:r>
          </w:p>
        </w:tc>
      </w:tr>
      <w:tr>
        <w:tc>
          <w:tcPr>
            <w:tcW w:type="dxa" w:w="3600"/>
            <w:shd w:fill="F4F5F7" w:val="clear"/>
            <w:tcMar>
              <w:top w:type="dxa" w:w="90"/>
              <w:left w:type="dxa" w:w="120"/>
              <w:bottom w:type="dxa" w:w="90"/>
              <w:right w:type="dxa" w:w="120"/>
            </w:tcMar>
            <w:vAlign w:val="center"/>
          </w:tcPr>
          <w:p>
            <w:r>
              <w:rPr>
                <w:color w:val="2B2B2B"/>
                <w:sz w:val="19"/>
                <w:szCs w:val="19"/>
              </w:rPr>
              <w:t xml:space="preserve">Redemption_Rate</w:t>
            </w:r>
          </w:p>
        </w:tc>
        <w:tc>
          <w:tcPr>
            <w:tcW w:type="dxa" w:w="5750"/>
            <w:shd w:fill="F4F5F7" w:val="clear"/>
            <w:tcMar>
              <w:top w:type="dxa" w:w="90"/>
              <w:left w:type="dxa" w:w="120"/>
              <w:bottom w:type="dxa" w:w="90"/>
              <w:right w:type="dxa" w:w="120"/>
            </w:tcMar>
            <w:vAlign w:val="center"/>
          </w:tcPr>
          <w:p>
            <w:r>
              <w:rPr>
                <w:color w:val="2B2B2B"/>
                <w:sz w:val="19"/>
                <w:szCs w:val="19"/>
              </w:rPr>
              <w:t xml:space="preserve">Points redeemed ÷ points accumulated — how actively a member 'cashes in' on the programme</w:t>
            </w:r>
          </w:p>
        </w:tc>
      </w:tr>
    </w:tbl>
    <w:p>
      <w:pPr>
        <w:spacing w:after="100"/>
      </w:pPr>
    </w:p>
    <w:p>
      <w:pPr>
        <w:spacing w:after="160" w:line="300"/>
      </w:pPr>
      <w:r>
        <w:rPr>
          <w:i w:val="false"/>
          <w:iCs w:val="false"/>
          <w:color w:val="2B2B2B"/>
          <w:sz w:val="21"/>
          <w:szCs w:val="21"/>
        </w:rPr>
        <w:t xml:space="preserve">Redemption rate is a deliberately double-edged signal: a low rate can mean either genuine disengagement or simply someone saving up points, while an unusually high rate right before a customer goes inactive is a classic sign of 'cashing out' before leaving. This nuance later proved important in profiling the Disengaged At-Risk segment (Section 6).</w:t>
      </w:r>
    </w:p>
    <w:p>
      <w:pPr>
        <w:pStyle w:val="Heading2"/>
        <w:spacing w:after="140" w:before="320"/>
      </w:pPr>
      <w:r>
        <w:rPr>
          <w:b/>
          <w:bCs/>
          <w:color w:val="534AB7"/>
          <w:sz w:val="24"/>
          <w:szCs w:val="24"/>
        </w:rPr>
        <w:t xml:space="preserve">4.6 Recency Features — the Single Most Important Signal</w:t>
      </w:r>
    </w:p>
    <w:p>
      <w:pPr>
        <w:spacing w:after="160" w:line="300"/>
      </w:pPr>
      <w:r>
        <w:rPr>
          <w:i w:val="false"/>
          <w:iCs w:val="false"/>
          <w:color w:val="2B2B2B"/>
          <w:sz w:val="21"/>
          <w:szCs w:val="21"/>
        </w:rPr>
        <w:t xml:space="preserve">A sequential period index was built (Jan 2017 = period 1 … Dec 2018 = period 24), and for every customer the model computed Months_Since_Last_Flight: the gap between their last active month and the end of the observation window. Members with zero flights at all were assigned the maximum possible recency value. Zero_Activity_Months (a simple count of inactive months) was also computed as a complementary signal.</w:t>
      </w:r>
    </w:p>
    <w:p>
      <w:pPr>
        <w:spacing w:after="160" w:line="300"/>
      </w:pPr>
      <w:r>
        <w:rPr>
          <w:i w:val="false"/>
          <w:iCs w:val="false"/>
          <w:color w:val="2B2B2B"/>
          <w:sz w:val="21"/>
          <w:szCs w:val="21"/>
        </w:rPr>
        <w:t xml:space="preserve">This feature turned out to be the dominant predictor in the entire churn model (confirmed by feature importance in Phase 3) — a customer who hasn't flown in four to six months is dramatically more likely to leave than one who flew last week, regardless of tier, salary, or points balance.</w:t>
      </w:r>
    </w:p>
    <w:p>
      <w:pPr>
        <w:pStyle w:val="Heading2"/>
        <w:spacing w:after="140" w:before="320"/>
      </w:pPr>
      <w:r>
        <w:rPr>
          <w:b/>
          <w:bCs/>
          <w:color w:val="534AB7"/>
          <w:sz w:val="24"/>
          <w:szCs w:val="24"/>
        </w:rPr>
        <w:t xml:space="preserve">4.7 Seasonal Features</w:t>
      </w:r>
    </w:p>
    <w:p>
      <w:pPr>
        <w:spacing w:after="160" w:line="300"/>
      </w:pPr>
      <w:r>
        <w:rPr>
          <w:i w:val="false"/>
          <w:iCs w:val="false"/>
          <w:color w:val="2B2B2B"/>
          <w:sz w:val="21"/>
          <w:szCs w:val="21"/>
        </w:rPr>
        <w:t xml:space="preserve">Flights were summed per customer per season (Fall / Spring / Summer / Winter), producing four columns. The reasoning: a summer-only flyer is a seasonal leisure traveller who needs different retention timing than a year-round flyer, who is more likely a stable business traveller. Seasonal inactivity (particularly in Fall and Winter) later proved to be a top-5 churn predictor.</w:t>
      </w:r>
    </w:p>
    <w:p>
      <w:pPr>
        <w:pStyle w:val="Heading2"/>
        <w:spacing w:after="140" w:before="320"/>
      </w:pPr>
      <w:r>
        <w:rPr>
          <w:b/>
          <w:bCs/>
          <w:color w:val="534AB7"/>
          <w:sz w:val="24"/>
          <w:szCs w:val="24"/>
        </w:rPr>
        <w:t xml:space="preserve">4.8 Engineered Features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400"/>
        <w:gridCol w:w="3400"/>
        <w:gridCol w:w="3550"/>
      </w:tblGrid>
      <w:tr>
        <w:trPr>
          <w:tblHeader/>
        </w:trPr>
        <w:tc>
          <w:tcPr>
            <w:tcW w:type="dxa" w:w="2400"/>
            <w:shd w:fill="1F2A44" w:val="clear"/>
            <w:tcMar>
              <w:top w:type="dxa" w:w="100"/>
              <w:left w:type="dxa" w:w="120"/>
              <w:bottom w:type="dxa" w:w="100"/>
              <w:right w:type="dxa" w:w="120"/>
            </w:tcMar>
            <w:vAlign w:val="center"/>
          </w:tcPr>
          <w:p>
            <w:r>
              <w:rPr>
                <w:b/>
                <w:bCs/>
                <w:color w:val="FFFFFF"/>
                <w:sz w:val="19"/>
                <w:szCs w:val="19"/>
              </w:rPr>
              <w:t xml:space="preserve">Feature</w:t>
            </w:r>
          </w:p>
        </w:tc>
        <w:tc>
          <w:tcPr>
            <w:tcW w:type="dxa" w:w="3400"/>
            <w:shd w:fill="1F2A44" w:val="clear"/>
            <w:tcMar>
              <w:top w:type="dxa" w:w="100"/>
              <w:left w:type="dxa" w:w="120"/>
              <w:bottom w:type="dxa" w:w="100"/>
              <w:right w:type="dxa" w:w="120"/>
            </w:tcMar>
            <w:vAlign w:val="center"/>
          </w:tcPr>
          <w:p>
            <w:r>
              <w:rPr>
                <w:b/>
                <w:bCs/>
                <w:color w:val="FFFFFF"/>
                <w:sz w:val="19"/>
                <w:szCs w:val="19"/>
              </w:rPr>
              <w:t xml:space="preserve">Formula / Logic</w:t>
            </w:r>
          </w:p>
        </w:tc>
        <w:tc>
          <w:tcPr>
            <w:tcW w:type="dxa" w:w="3550"/>
            <w:shd w:fill="1F2A44" w:val="clear"/>
            <w:tcMar>
              <w:top w:type="dxa" w:w="100"/>
              <w:left w:type="dxa" w:w="120"/>
              <w:bottom w:type="dxa" w:w="100"/>
              <w:right w:type="dxa" w:w="120"/>
            </w:tcMar>
            <w:vAlign w:val="center"/>
          </w:tcPr>
          <w:p>
            <w:r>
              <w:rPr>
                <w:b/>
                <w:bCs/>
                <w:color w:val="FFFFFF"/>
                <w:sz w:val="19"/>
                <w:szCs w:val="19"/>
              </w:rPr>
              <w:t xml:space="preserve">Why it was created</w:t>
            </w:r>
          </w:p>
        </w:tc>
      </w:tr>
      <w:tr>
        <w:tc>
          <w:tcPr>
            <w:tcW w:type="dxa" w:w="2400"/>
            <w:shd w:fill="FFFFFF" w:val="clear"/>
            <w:tcMar>
              <w:top w:type="dxa" w:w="90"/>
              <w:left w:type="dxa" w:w="120"/>
              <w:bottom w:type="dxa" w:w="90"/>
              <w:right w:type="dxa" w:w="120"/>
            </w:tcMar>
            <w:vAlign w:val="center"/>
          </w:tcPr>
          <w:p>
            <w:r>
              <w:rPr>
                <w:color w:val="2B2B2B"/>
                <w:sz w:val="19"/>
                <w:szCs w:val="19"/>
              </w:rPr>
              <w:t xml:space="preserve">CLV_log</w:t>
            </w:r>
          </w:p>
        </w:tc>
        <w:tc>
          <w:tcPr>
            <w:tcW w:type="dxa" w:w="3400"/>
            <w:shd w:fill="FFFFFF" w:val="clear"/>
            <w:tcMar>
              <w:top w:type="dxa" w:w="90"/>
              <w:left w:type="dxa" w:w="120"/>
              <w:bottom w:type="dxa" w:w="90"/>
              <w:right w:type="dxa" w:w="120"/>
            </w:tcMar>
            <w:vAlign w:val="center"/>
          </w:tcPr>
          <w:p>
            <w:r>
              <w:rPr>
                <w:color w:val="2B2B2B"/>
                <w:sz w:val="19"/>
                <w:szCs w:val="19"/>
              </w:rPr>
              <w:t xml:space="preserve">log(1 + CLV)</w:t>
            </w:r>
          </w:p>
        </w:tc>
        <w:tc>
          <w:tcPr>
            <w:tcW w:type="dxa" w:w="3550"/>
            <w:shd w:fill="FFFFFF" w:val="clear"/>
            <w:tcMar>
              <w:top w:type="dxa" w:w="90"/>
              <w:left w:type="dxa" w:w="120"/>
              <w:bottom w:type="dxa" w:w="90"/>
              <w:right w:type="dxa" w:w="120"/>
            </w:tcMar>
            <w:vAlign w:val="center"/>
          </w:tcPr>
          <w:p>
            <w:r>
              <w:rPr>
                <w:color w:val="2B2B2B"/>
                <w:sz w:val="19"/>
                <w:szCs w:val="19"/>
              </w:rPr>
              <w:t xml:space="preserve">CLV was heavily right-skewed (Phase 1 finding) — the log compresses the long tail so extreme values don't dominate distance-based clustering</w:t>
            </w:r>
          </w:p>
        </w:tc>
      </w:tr>
      <w:tr>
        <w:tc>
          <w:tcPr>
            <w:tcW w:type="dxa" w:w="2400"/>
            <w:shd w:fill="F4F5F7" w:val="clear"/>
            <w:tcMar>
              <w:top w:type="dxa" w:w="90"/>
              <w:left w:type="dxa" w:w="120"/>
              <w:bottom w:type="dxa" w:w="90"/>
              <w:right w:type="dxa" w:w="120"/>
            </w:tcMar>
            <w:vAlign w:val="center"/>
          </w:tcPr>
          <w:p>
            <w:r>
              <w:rPr>
                <w:color w:val="2B2B2B"/>
                <w:sz w:val="19"/>
                <w:szCs w:val="19"/>
              </w:rPr>
              <w:t xml:space="preserve">Flight_consistency_score</w:t>
            </w:r>
          </w:p>
        </w:tc>
        <w:tc>
          <w:tcPr>
            <w:tcW w:type="dxa" w:w="3400"/>
            <w:shd w:fill="F4F5F7" w:val="clear"/>
            <w:tcMar>
              <w:top w:type="dxa" w:w="90"/>
              <w:left w:type="dxa" w:w="120"/>
              <w:bottom w:type="dxa" w:w="90"/>
              <w:right w:type="dxa" w:w="120"/>
            </w:tcMar>
            <w:vAlign w:val="center"/>
          </w:tcPr>
          <w:p>
            <w:r>
              <w:rPr>
                <w:color w:val="2B2B2B"/>
                <w:sz w:val="19"/>
                <w:szCs w:val="19"/>
              </w:rPr>
              <w:t xml:space="preserve">Total_Flights ÷ (Zero_Activity_Months + 1)</w:t>
            </w:r>
          </w:p>
        </w:tc>
        <w:tc>
          <w:tcPr>
            <w:tcW w:type="dxa" w:w="3550"/>
            <w:shd w:fill="F4F5F7" w:val="clear"/>
            <w:tcMar>
              <w:top w:type="dxa" w:w="90"/>
              <w:left w:type="dxa" w:w="120"/>
              <w:bottom w:type="dxa" w:w="90"/>
              <w:right w:type="dxa" w:w="120"/>
            </w:tcMar>
            <w:vAlign w:val="center"/>
          </w:tcPr>
          <w:p>
            <w:r>
              <w:rPr>
                <w:color w:val="2B2B2B"/>
                <w:sz w:val="19"/>
                <w:szCs w:val="19"/>
              </w:rPr>
              <w:t xml:space="preserve">Separates steady flyers from 'bursty' flyers who fly a lot in short spurts, then go quiet</w:t>
            </w:r>
          </w:p>
        </w:tc>
      </w:tr>
      <w:tr>
        <w:tc>
          <w:tcPr>
            <w:tcW w:type="dxa" w:w="2400"/>
            <w:shd w:fill="FFFFFF" w:val="clear"/>
            <w:tcMar>
              <w:top w:type="dxa" w:w="90"/>
              <w:left w:type="dxa" w:w="120"/>
              <w:bottom w:type="dxa" w:w="90"/>
              <w:right w:type="dxa" w:w="120"/>
            </w:tcMar>
            <w:vAlign w:val="center"/>
          </w:tcPr>
          <w:p>
            <w:r>
              <w:rPr>
                <w:color w:val="2B2B2B"/>
                <w:sz w:val="19"/>
                <w:szCs w:val="19"/>
              </w:rPr>
              <w:t xml:space="preserve">Season_Concentration</w:t>
            </w:r>
          </w:p>
        </w:tc>
        <w:tc>
          <w:tcPr>
            <w:tcW w:type="dxa" w:w="3400"/>
            <w:shd w:fill="FFFFFF" w:val="clear"/>
            <w:tcMar>
              <w:top w:type="dxa" w:w="90"/>
              <w:left w:type="dxa" w:w="120"/>
              <w:bottom w:type="dxa" w:w="90"/>
              <w:right w:type="dxa" w:w="120"/>
            </w:tcMar>
            <w:vAlign w:val="center"/>
          </w:tcPr>
          <w:p>
            <w:r>
              <w:rPr>
                <w:color w:val="2B2B2B"/>
                <w:sz w:val="19"/>
                <w:szCs w:val="19"/>
              </w:rPr>
              <w:t xml:space="preserve">max season flights ÷ total flights across seasons</w:t>
            </w:r>
          </w:p>
        </w:tc>
        <w:tc>
          <w:tcPr>
            <w:tcW w:type="dxa" w:w="3550"/>
            <w:shd w:fill="FFFFFF" w:val="clear"/>
            <w:tcMar>
              <w:top w:type="dxa" w:w="90"/>
              <w:left w:type="dxa" w:w="120"/>
              <w:bottom w:type="dxa" w:w="90"/>
              <w:right w:type="dxa" w:w="120"/>
            </w:tcMar>
            <w:vAlign w:val="center"/>
          </w:tcPr>
          <w:p>
            <w:r>
              <w:rPr>
                <w:color w:val="2B2B2B"/>
                <w:sz w:val="19"/>
                <w:szCs w:val="19"/>
              </w:rPr>
              <w:t xml:space="preserve">Near 1 = flies in only one season (seasonal traveller); near 0.25 = flies evenly year-round</w:t>
            </w:r>
          </w:p>
        </w:tc>
      </w:tr>
    </w:tbl>
    <w:p>
      <w:pPr>
        <w:pStyle w:val="Heading2"/>
        <w:spacing w:after="140" w:before="320"/>
      </w:pPr>
      <w:r>
        <w:rPr>
          <w:b/>
          <w:bCs/>
          <w:color w:val="534AB7"/>
          <w:sz w:val="24"/>
          <w:szCs w:val="24"/>
        </w:rPr>
        <w:t xml:space="preserve">4.9 Dropping Redundant Columns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000"/>
        <w:gridCol w:w="6350"/>
      </w:tblGrid>
      <w:tr>
        <w:trPr>
          <w:tblHeader/>
        </w:trPr>
        <w:tc>
          <w:tcPr>
            <w:tcW w:type="dxa" w:w="3000"/>
            <w:shd w:fill="1F2A44" w:val="clear"/>
            <w:tcMar>
              <w:top w:type="dxa" w:w="100"/>
              <w:left w:type="dxa" w:w="120"/>
              <w:bottom w:type="dxa" w:w="100"/>
              <w:right w:type="dxa" w:w="120"/>
            </w:tcMar>
            <w:vAlign w:val="center"/>
          </w:tcPr>
          <w:p>
            <w:r>
              <w:rPr>
                <w:b/>
                <w:bCs/>
                <w:color w:val="FFFFFF"/>
                <w:sz w:val="19"/>
                <w:szCs w:val="19"/>
              </w:rPr>
              <w:t xml:space="preserve">Column dropped</w:t>
            </w:r>
          </w:p>
        </w:tc>
        <w:tc>
          <w:tcPr>
            <w:tcW w:type="dxa" w:w="6350"/>
            <w:shd w:fill="1F2A44" w:val="clear"/>
            <w:tcMar>
              <w:top w:type="dxa" w:w="100"/>
              <w:left w:type="dxa" w:w="120"/>
              <w:bottom w:type="dxa" w:w="100"/>
              <w:right w:type="dxa" w:w="120"/>
            </w:tcMar>
            <w:vAlign w:val="center"/>
          </w:tcPr>
          <w:p>
            <w:r>
              <w:rPr>
                <w:b/>
                <w:bCs/>
                <w:color w:val="FFFFFF"/>
                <w:sz w:val="19"/>
                <w:szCs w:val="19"/>
              </w:rPr>
              <w:t xml:space="preserve">Reason</w:t>
            </w:r>
          </w:p>
        </w:tc>
      </w:tr>
      <w:tr>
        <w:tc>
          <w:tcPr>
            <w:tcW w:type="dxa" w:w="3000"/>
            <w:shd w:fill="FFFFFF" w:val="clear"/>
            <w:tcMar>
              <w:top w:type="dxa" w:w="90"/>
              <w:left w:type="dxa" w:w="120"/>
              <w:bottom w:type="dxa" w:w="90"/>
              <w:right w:type="dxa" w:w="120"/>
            </w:tcMar>
            <w:vAlign w:val="center"/>
          </w:tcPr>
          <w:p>
            <w:r>
              <w:rPr>
                <w:color w:val="2B2B2B"/>
                <w:sz w:val="19"/>
                <w:szCs w:val="19"/>
              </w:rPr>
              <w:t xml:space="preserve">Country</w:t>
            </w:r>
          </w:p>
        </w:tc>
        <w:tc>
          <w:tcPr>
            <w:tcW w:type="dxa" w:w="6350"/>
            <w:shd w:fill="FFFFFF" w:val="clear"/>
            <w:tcMar>
              <w:top w:type="dxa" w:w="90"/>
              <w:left w:type="dxa" w:w="120"/>
              <w:bottom w:type="dxa" w:w="90"/>
              <w:right w:type="dxa" w:w="120"/>
            </w:tcMar>
            <w:vAlign w:val="center"/>
          </w:tcPr>
          <w:p>
            <w:r>
              <w:rPr>
                <w:color w:val="2B2B2B"/>
                <w:sz w:val="19"/>
                <w:szCs w:val="19"/>
              </w:rPr>
              <w:t xml:space="preserve">Zero variance — every customer is Canadian</w:t>
            </w:r>
          </w:p>
        </w:tc>
      </w:tr>
      <w:tr>
        <w:tc>
          <w:tcPr>
            <w:tcW w:type="dxa" w:w="3000"/>
            <w:shd w:fill="F4F5F7" w:val="clear"/>
            <w:tcMar>
              <w:top w:type="dxa" w:w="90"/>
              <w:left w:type="dxa" w:w="120"/>
              <w:bottom w:type="dxa" w:w="90"/>
              <w:right w:type="dxa" w:w="120"/>
            </w:tcMar>
            <w:vAlign w:val="center"/>
          </w:tcPr>
          <w:p>
            <w:r>
              <w:rPr>
                <w:color w:val="2B2B2B"/>
                <w:sz w:val="19"/>
                <w:szCs w:val="19"/>
              </w:rPr>
              <w:t xml:space="preserve">City</w:t>
            </w:r>
          </w:p>
        </w:tc>
        <w:tc>
          <w:tcPr>
            <w:tcW w:type="dxa" w:w="6350"/>
            <w:shd w:fill="F4F5F7" w:val="clear"/>
            <w:tcMar>
              <w:top w:type="dxa" w:w="90"/>
              <w:left w:type="dxa" w:w="120"/>
              <w:bottom w:type="dxa" w:w="90"/>
              <w:right w:type="dxa" w:w="120"/>
            </w:tcMar>
            <w:vAlign w:val="center"/>
          </w:tcPr>
          <w:p>
            <w:r>
              <w:rPr>
                <w:color w:val="2B2B2B"/>
                <w:sz w:val="19"/>
                <w:szCs w:val="19"/>
              </w:rPr>
              <w:t xml:space="preserve">Too granular; Region already captures useful geography</w:t>
            </w:r>
          </w:p>
        </w:tc>
      </w:tr>
      <w:tr>
        <w:tc>
          <w:tcPr>
            <w:tcW w:type="dxa" w:w="3000"/>
            <w:shd w:fill="FFFFFF" w:val="clear"/>
            <w:tcMar>
              <w:top w:type="dxa" w:w="90"/>
              <w:left w:type="dxa" w:w="120"/>
              <w:bottom w:type="dxa" w:w="90"/>
              <w:right w:type="dxa" w:w="120"/>
            </w:tcMar>
            <w:vAlign w:val="center"/>
          </w:tcPr>
          <w:p>
            <w:r>
              <w:rPr>
                <w:color w:val="2B2B2B"/>
                <w:sz w:val="19"/>
                <w:szCs w:val="19"/>
              </w:rPr>
              <w:t xml:space="preserve">Postal Code</w:t>
            </w:r>
          </w:p>
        </w:tc>
        <w:tc>
          <w:tcPr>
            <w:tcW w:type="dxa" w:w="6350"/>
            <w:shd w:fill="FFFFFF" w:val="clear"/>
            <w:tcMar>
              <w:top w:type="dxa" w:w="90"/>
              <w:left w:type="dxa" w:w="120"/>
              <w:bottom w:type="dxa" w:w="90"/>
              <w:right w:type="dxa" w:w="120"/>
            </w:tcMar>
            <w:vAlign w:val="center"/>
          </w:tcPr>
          <w:p>
            <w:r>
              <w:rPr>
                <w:color w:val="2B2B2B"/>
                <w:sz w:val="19"/>
                <w:szCs w:val="19"/>
              </w:rPr>
              <w:t xml:space="preserve">Thousands of unique values with no learnable pattern</w:t>
            </w:r>
          </w:p>
        </w:tc>
      </w:tr>
      <w:tr>
        <w:tc>
          <w:tcPr>
            <w:tcW w:type="dxa" w:w="3000"/>
            <w:shd w:fill="F4F5F7" w:val="clear"/>
            <w:tcMar>
              <w:top w:type="dxa" w:w="90"/>
              <w:left w:type="dxa" w:w="120"/>
              <w:bottom w:type="dxa" w:w="90"/>
              <w:right w:type="dxa" w:w="120"/>
            </w:tcMar>
            <w:vAlign w:val="center"/>
          </w:tcPr>
          <w:p>
            <w:r>
              <w:rPr>
                <w:color w:val="2B2B2B"/>
                <w:sz w:val="19"/>
                <w:szCs w:val="19"/>
              </w:rPr>
              <w:t xml:space="preserve">Enrollment Year / Month</w:t>
            </w:r>
          </w:p>
        </w:tc>
        <w:tc>
          <w:tcPr>
            <w:tcW w:type="dxa" w:w="6350"/>
            <w:shd w:fill="F4F5F7" w:val="clear"/>
            <w:tcMar>
              <w:top w:type="dxa" w:w="90"/>
              <w:left w:type="dxa" w:w="120"/>
              <w:bottom w:type="dxa" w:w="90"/>
              <w:right w:type="dxa" w:w="120"/>
            </w:tcMar>
            <w:vAlign w:val="center"/>
          </w:tcPr>
          <w:p>
            <w:r>
              <w:rPr>
                <w:color w:val="2B2B2B"/>
                <w:sz w:val="19"/>
                <w:szCs w:val="19"/>
              </w:rPr>
              <w:t xml:space="preserve">Fully captured by the derived Tenure_Months feature</w:t>
            </w:r>
          </w:p>
        </w:tc>
      </w:tr>
      <w:tr>
        <w:tc>
          <w:tcPr>
            <w:tcW w:type="dxa" w:w="3000"/>
            <w:shd w:fill="FFFFFF" w:val="clear"/>
            <w:tcMar>
              <w:top w:type="dxa" w:w="90"/>
              <w:left w:type="dxa" w:w="120"/>
              <w:bottom w:type="dxa" w:w="90"/>
              <w:right w:type="dxa" w:w="120"/>
            </w:tcMar>
            <w:vAlign w:val="center"/>
          </w:tcPr>
          <w:p>
            <w:r>
              <w:rPr>
                <w:color w:val="2B2B2B"/>
                <w:sz w:val="19"/>
                <w:szCs w:val="19"/>
              </w:rPr>
              <w:t xml:space="preserve">CLV</w:t>
            </w:r>
          </w:p>
        </w:tc>
        <w:tc>
          <w:tcPr>
            <w:tcW w:type="dxa" w:w="6350"/>
            <w:shd w:fill="FFFFFF" w:val="clear"/>
            <w:tcMar>
              <w:top w:type="dxa" w:w="90"/>
              <w:left w:type="dxa" w:w="120"/>
              <w:bottom w:type="dxa" w:w="90"/>
              <w:right w:type="dxa" w:w="120"/>
            </w:tcMar>
            <w:vAlign w:val="center"/>
          </w:tcPr>
          <w:p>
            <w:r>
              <w:rPr>
                <w:color w:val="2B2B2B"/>
                <w:sz w:val="19"/>
                <w:szCs w:val="19"/>
              </w:rPr>
              <w:t xml:space="preserve">Replaced by the log-transformed CLV_log</w:t>
            </w:r>
          </w:p>
        </w:tc>
      </w:tr>
      <w:tr>
        <w:tc>
          <w:tcPr>
            <w:tcW w:type="dxa" w:w="3000"/>
            <w:shd w:fill="F4F5F7" w:val="clear"/>
            <w:tcMar>
              <w:top w:type="dxa" w:w="90"/>
              <w:left w:type="dxa" w:w="120"/>
              <w:bottom w:type="dxa" w:w="90"/>
              <w:right w:type="dxa" w:w="120"/>
            </w:tcMar>
            <w:vAlign w:val="center"/>
          </w:tcPr>
          <w:p>
            <w:r>
              <w:rPr>
                <w:color w:val="2B2B2B"/>
                <w:sz w:val="19"/>
                <w:szCs w:val="19"/>
              </w:rPr>
              <w:t xml:space="preserve">Province</w:t>
            </w:r>
          </w:p>
        </w:tc>
        <w:tc>
          <w:tcPr>
            <w:tcW w:type="dxa" w:w="6350"/>
            <w:shd w:fill="F4F5F7" w:val="clear"/>
            <w:tcMar>
              <w:top w:type="dxa" w:w="90"/>
              <w:left w:type="dxa" w:w="120"/>
              <w:bottom w:type="dxa" w:w="90"/>
              <w:right w:type="dxa" w:w="120"/>
            </w:tcMar>
            <w:vAlign w:val="center"/>
          </w:tcPr>
          <w:p>
            <w:r>
              <w:rPr>
                <w:color w:val="2B2B2B"/>
                <w:sz w:val="19"/>
                <w:szCs w:val="19"/>
              </w:rPr>
              <w:t xml:space="preserve">Replaced by the coarser, less sparse Region feature</w:t>
            </w:r>
          </w:p>
        </w:tc>
      </w:tr>
    </w:tbl>
    <w:p>
      <w:pPr>
        <w:pStyle w:val="Heading2"/>
        <w:spacing w:after="140" w:before="320"/>
      </w:pPr>
      <w:r>
        <w:rPr>
          <w:b/>
          <w:bCs/>
          <w:color w:val="534AB7"/>
          <w:sz w:val="24"/>
          <w:szCs w:val="24"/>
        </w:rPr>
        <w:t xml:space="preserve">4.10 Encoding Categorical Variables</w:t>
      </w:r>
    </w:p>
    <w:p>
      <w:pPr>
        <w:spacing w:after="160" w:line="300"/>
      </w:pPr>
      <w:r>
        <w:rPr>
          <w:i w:val="false"/>
          <w:iCs w:val="false"/>
          <w:color w:val="2B2B2B"/>
          <w:sz w:val="21"/>
          <w:szCs w:val="21"/>
        </w:rPr>
        <w:t xml:space="preserve">Two different encoding strategies were used, and the distinction matters specifically because K-Means (used in Phase 3) relies on Euclidean distance:</w:t>
      </w:r>
    </w:p>
    <w:p>
      <w:pPr>
        <w:pStyle w:val="ListParagraph"/>
        <w:numPr>
          <w:ilvl w:val="0"/>
          <w:numId w:val="1"/>
        </w:numPr>
        <w:spacing w:after="90" w:line="290"/>
      </w:pPr>
      <w:r>
        <w:rPr>
          <w:color w:val="2B2B2B"/>
          <w:sz w:val="21"/>
          <w:szCs w:val="21"/>
        </w:rPr>
        <w:t xml:space="preserve">One-hot encoding for unordered categories — Gender, Marital Status, Enrollment Type, Region. Each category becomes its own 0/1 column so no false numeric order is implied.</w:t>
      </w:r>
    </w:p>
    <w:p>
      <w:pPr>
        <w:pStyle w:val="ListParagraph"/>
        <w:numPr>
          <w:ilvl w:val="0"/>
          <w:numId w:val="1"/>
        </w:numPr>
        <w:spacing w:after="90" w:line="290"/>
      </w:pPr>
      <w:r>
        <w:rPr>
          <w:color w:val="2B2B2B"/>
          <w:sz w:val="21"/>
          <w:szCs w:val="21"/>
        </w:rPr>
        <w:t xml:space="preserve">Label encoding for genuinely ordered categories — Loyalty Card (Star=0, Nova=1, Aurora=2) and Education (High School=0 → Doctor=4), where the numeric order reflects a real underlying rank.</w:t>
      </w:r>
    </w:p>
    <w:p>
      <w:pPr>
        <w:spacing w:after="160" w:line="300"/>
      </w:pPr>
      <w:r>
        <w:rPr>
          <w:i w:val="false"/>
          <w:iCs w:val="false"/>
          <w:color w:val="2B2B2B"/>
          <w:sz w:val="21"/>
          <w:szCs w:val="21"/>
        </w:rPr>
        <w:t xml:space="preserve">Label-encoding an unordered category (e.g. Gender as 0/1/2) would wrongly imply that one category is 'between' two others in distance calculations — this is exactly the kind of subtle mistake that silently corrupts a clustering model without throwing any error.</w:t>
      </w:r>
    </w:p>
    <w:p>
      <w:pPr>
        <w:pStyle w:val="Heading2"/>
        <w:spacing w:after="140" w:before="320"/>
      </w:pPr>
      <w:r>
        <w:rPr>
          <w:b/>
          <w:bCs/>
          <w:color w:val="534AB7"/>
          <w:sz w:val="24"/>
          <w:szCs w:val="24"/>
        </w:rPr>
        <w:t xml:space="preserve">4.11 Phase 2 Summary</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900"/>
        <w:gridCol w:w="4900"/>
        <w:gridCol w:w="3550"/>
      </w:tblGrid>
      <w:tr>
        <w:trPr>
          <w:tblHeader/>
        </w:trPr>
        <w:tc>
          <w:tcPr>
            <w:tcW w:type="dxa" w:w="900"/>
            <w:shd w:fill="1F2A44" w:val="clear"/>
            <w:tcMar>
              <w:top w:type="dxa" w:w="100"/>
              <w:left w:type="dxa" w:w="120"/>
              <w:bottom w:type="dxa" w:w="100"/>
              <w:right w:type="dxa" w:w="120"/>
            </w:tcMar>
            <w:vAlign w:val="center"/>
          </w:tcPr>
          <w:p>
            <w:r>
              <w:rPr>
                <w:b/>
                <w:bCs/>
                <w:color w:val="FFFFFF"/>
                <w:sz w:val="19"/>
                <w:szCs w:val="19"/>
              </w:rPr>
              <w:t xml:space="preserve">Step</w:t>
            </w:r>
          </w:p>
        </w:tc>
        <w:tc>
          <w:tcPr>
            <w:tcW w:type="dxa" w:w="4900"/>
            <w:shd w:fill="1F2A44" w:val="clear"/>
            <w:tcMar>
              <w:top w:type="dxa" w:w="100"/>
              <w:left w:type="dxa" w:w="120"/>
              <w:bottom w:type="dxa" w:w="100"/>
              <w:right w:type="dxa" w:w="120"/>
            </w:tcMar>
            <w:vAlign w:val="center"/>
          </w:tcPr>
          <w:p>
            <w:r>
              <w:rPr>
                <w:b/>
                <w:bCs/>
                <w:color w:val="FFFFFF"/>
                <w:sz w:val="19"/>
                <w:szCs w:val="19"/>
              </w:rPr>
              <w:t xml:space="preserve">Action</w:t>
            </w:r>
          </w:p>
        </w:tc>
        <w:tc>
          <w:tcPr>
            <w:tcW w:type="dxa" w:w="3550"/>
            <w:shd w:fill="1F2A44" w:val="clear"/>
            <w:tcMar>
              <w:top w:type="dxa" w:w="100"/>
              <w:left w:type="dxa" w:w="120"/>
              <w:bottom w:type="dxa" w:w="100"/>
              <w:right w:type="dxa" w:w="120"/>
            </w:tcMar>
            <w:vAlign w:val="center"/>
          </w:tcPr>
          <w:p>
            <w:r>
              <w:rPr>
                <w:b/>
                <w:bCs/>
                <w:color w:val="FFFFFF"/>
                <w:sz w:val="19"/>
                <w:szCs w:val="19"/>
              </w:rPr>
              <w:t xml:space="preserve">Result</w:t>
            </w:r>
          </w:p>
        </w:tc>
      </w:tr>
      <w:tr>
        <w:tc>
          <w:tcPr>
            <w:tcW w:type="dxa" w:w="900"/>
            <w:shd w:fill="FFFFFF" w:val="clear"/>
            <w:tcMar>
              <w:top w:type="dxa" w:w="90"/>
              <w:left w:type="dxa" w:w="120"/>
              <w:bottom w:type="dxa" w:w="90"/>
              <w:right w:type="dxa" w:w="120"/>
            </w:tcMar>
            <w:vAlign w:val="center"/>
          </w:tcPr>
          <w:p>
            <w:r>
              <w:rPr>
                <w:color w:val="2B2B2B"/>
                <w:sz w:val="19"/>
                <w:szCs w:val="19"/>
              </w:rPr>
              <w:t xml:space="preserve">1</w:t>
            </w:r>
          </w:p>
        </w:tc>
        <w:tc>
          <w:tcPr>
            <w:tcW w:type="dxa" w:w="4900"/>
            <w:shd w:fill="FFFFFF" w:val="clear"/>
            <w:tcMar>
              <w:top w:type="dxa" w:w="90"/>
              <w:left w:type="dxa" w:w="120"/>
              <w:bottom w:type="dxa" w:w="90"/>
              <w:right w:type="dxa" w:w="120"/>
            </w:tcMar>
            <w:vAlign w:val="center"/>
          </w:tcPr>
          <w:p>
            <w:r>
              <w:rPr>
                <w:color w:val="2B2B2B"/>
                <w:sz w:val="19"/>
                <w:szCs w:val="19"/>
              </w:rPr>
              <w:t xml:space="preserve">Load files, remove duplicates</w:t>
            </w:r>
          </w:p>
        </w:tc>
        <w:tc>
          <w:tcPr>
            <w:tcW w:type="dxa" w:w="3550"/>
            <w:shd w:fill="FFFFFF" w:val="clear"/>
            <w:tcMar>
              <w:top w:type="dxa" w:w="90"/>
              <w:left w:type="dxa" w:w="120"/>
              <w:bottom w:type="dxa" w:w="90"/>
              <w:right w:type="dxa" w:w="120"/>
            </w:tcMar>
            <w:vAlign w:val="center"/>
          </w:tcPr>
          <w:p>
            <w:r>
              <w:rPr>
                <w:color w:val="2B2B2B"/>
                <w:sz w:val="19"/>
                <w:szCs w:val="19"/>
              </w:rPr>
              <w:t xml:space="preserve">391,014 flight rows retained</w:t>
            </w:r>
          </w:p>
        </w:tc>
      </w:tr>
      <w:tr>
        <w:tc>
          <w:tcPr>
            <w:tcW w:type="dxa" w:w="900"/>
            <w:shd w:fill="F4F5F7" w:val="clear"/>
            <w:tcMar>
              <w:top w:type="dxa" w:w="90"/>
              <w:left w:type="dxa" w:w="120"/>
              <w:bottom w:type="dxa" w:w="90"/>
              <w:right w:type="dxa" w:w="120"/>
            </w:tcMar>
            <w:vAlign w:val="center"/>
          </w:tcPr>
          <w:p>
            <w:r>
              <w:rPr>
                <w:color w:val="2B2B2B"/>
                <w:sz w:val="19"/>
                <w:szCs w:val="19"/>
              </w:rPr>
              <w:t xml:space="preserve">2–3</w:t>
            </w:r>
          </w:p>
        </w:tc>
        <w:tc>
          <w:tcPr>
            <w:tcW w:type="dxa" w:w="4900"/>
            <w:shd w:fill="F4F5F7" w:val="clear"/>
            <w:tcMar>
              <w:top w:type="dxa" w:w="90"/>
              <w:left w:type="dxa" w:w="120"/>
              <w:bottom w:type="dxa" w:w="90"/>
              <w:right w:type="dxa" w:w="120"/>
            </w:tcMar>
            <w:vAlign w:val="center"/>
          </w:tcPr>
          <w:p>
            <w:r>
              <w:rPr>
                <w:color w:val="2B2B2B"/>
                <w:sz w:val="19"/>
                <w:szCs w:val="19"/>
              </w:rPr>
              <w:t xml:space="preserve">Fix salary nulls &amp; negative values</w:t>
            </w:r>
          </w:p>
        </w:tc>
        <w:tc>
          <w:tcPr>
            <w:tcW w:type="dxa" w:w="3550"/>
            <w:shd w:fill="F4F5F7" w:val="clear"/>
            <w:tcMar>
              <w:top w:type="dxa" w:w="90"/>
              <w:left w:type="dxa" w:w="120"/>
              <w:bottom w:type="dxa" w:w="90"/>
              <w:right w:type="dxa" w:w="120"/>
            </w:tcMar>
            <w:vAlign w:val="center"/>
          </w:tcPr>
          <w:p>
            <w:r>
              <w:rPr>
                <w:color w:val="2B2B2B"/>
                <w:sz w:val="19"/>
                <w:szCs w:val="19"/>
              </w:rPr>
              <w:t xml:space="preserve">4,238 filled with 0 · 20 sign-errors corrected</w:t>
            </w:r>
          </w:p>
        </w:tc>
      </w:tr>
      <w:tr>
        <w:tc>
          <w:tcPr>
            <w:tcW w:type="dxa" w:w="900"/>
            <w:shd w:fill="FFFFFF" w:val="clear"/>
            <w:tcMar>
              <w:top w:type="dxa" w:w="90"/>
              <w:left w:type="dxa" w:w="120"/>
              <w:bottom w:type="dxa" w:w="90"/>
              <w:right w:type="dxa" w:w="120"/>
            </w:tcMar>
            <w:vAlign w:val="center"/>
          </w:tcPr>
          <w:p>
            <w:r>
              <w:rPr>
                <w:color w:val="2B2B2B"/>
                <w:sz w:val="19"/>
                <w:szCs w:val="19"/>
              </w:rPr>
              <w:t xml:space="preserve">4</w:t>
            </w:r>
          </w:p>
        </w:tc>
        <w:tc>
          <w:tcPr>
            <w:tcW w:type="dxa" w:w="4900"/>
            <w:shd w:fill="FFFFFF" w:val="clear"/>
            <w:tcMar>
              <w:top w:type="dxa" w:w="90"/>
              <w:left w:type="dxa" w:w="120"/>
              <w:bottom w:type="dxa" w:w="90"/>
              <w:right w:type="dxa" w:w="120"/>
            </w:tcMar>
            <w:vAlign w:val="center"/>
          </w:tcPr>
          <w:p>
            <w:r>
              <w:rPr>
                <w:color w:val="2B2B2B"/>
                <w:sz w:val="19"/>
                <w:szCs w:val="19"/>
              </w:rPr>
              <w:t xml:space="preserve">Build master dataset (merge + derive Quarter/Season)</w:t>
            </w:r>
          </w:p>
        </w:tc>
        <w:tc>
          <w:tcPr>
            <w:tcW w:type="dxa" w:w="3550"/>
            <w:shd w:fill="FFFFFF" w:val="clear"/>
            <w:tcMar>
              <w:top w:type="dxa" w:w="90"/>
              <w:left w:type="dxa" w:w="120"/>
              <w:bottom w:type="dxa" w:w="90"/>
              <w:right w:type="dxa" w:w="120"/>
            </w:tcMar>
            <w:vAlign w:val="center"/>
          </w:tcPr>
          <w:p>
            <w:r>
              <w:rPr>
                <w:color w:val="2B2B2B"/>
                <w:sz w:val="19"/>
                <w:szCs w:val="19"/>
              </w:rPr>
              <w:t xml:space="preserve">391,014 rows × 25 columns</w:t>
            </w:r>
          </w:p>
        </w:tc>
      </w:tr>
      <w:tr>
        <w:tc>
          <w:tcPr>
            <w:tcW w:type="dxa" w:w="900"/>
            <w:shd w:fill="F4F5F7" w:val="clear"/>
            <w:tcMar>
              <w:top w:type="dxa" w:w="90"/>
              <w:left w:type="dxa" w:w="120"/>
              <w:bottom w:type="dxa" w:w="90"/>
              <w:right w:type="dxa" w:w="120"/>
            </w:tcMar>
            <w:vAlign w:val="center"/>
          </w:tcPr>
          <w:p>
            <w:r>
              <w:rPr>
                <w:color w:val="2B2B2B"/>
                <w:sz w:val="19"/>
                <w:szCs w:val="19"/>
              </w:rPr>
              <w:t xml:space="preserve">5</w:t>
            </w:r>
          </w:p>
        </w:tc>
        <w:tc>
          <w:tcPr>
            <w:tcW w:type="dxa" w:w="4900"/>
            <w:shd w:fill="F4F5F7" w:val="clear"/>
            <w:tcMar>
              <w:top w:type="dxa" w:w="90"/>
              <w:left w:type="dxa" w:w="120"/>
              <w:bottom w:type="dxa" w:w="90"/>
              <w:right w:type="dxa" w:w="120"/>
            </w:tcMar>
            <w:vAlign w:val="center"/>
          </w:tcPr>
          <w:p>
            <w:r>
              <w:rPr>
                <w:color w:val="2B2B2B"/>
                <w:sz w:val="19"/>
                <w:szCs w:val="19"/>
              </w:rPr>
              <w:t xml:space="preserve">Build churn label (formal cancellation OR 12-month inactivity)</w:t>
            </w:r>
          </w:p>
        </w:tc>
        <w:tc>
          <w:tcPr>
            <w:tcW w:type="dxa" w:w="3550"/>
            <w:shd w:fill="F4F5F7" w:val="clear"/>
            <w:tcMar>
              <w:top w:type="dxa" w:w="90"/>
              <w:left w:type="dxa" w:w="120"/>
              <w:bottom w:type="dxa" w:w="90"/>
              <w:right w:type="dxa" w:w="120"/>
            </w:tcMar>
            <w:vAlign w:val="center"/>
          </w:tcPr>
          <w:p>
            <w:r>
              <w:rPr>
                <w:color w:val="2B2B2B"/>
                <w:sz w:val="19"/>
                <w:szCs w:val="19"/>
              </w:rPr>
              <w:t xml:space="preserve">2,725 churned (16.3%)</w:t>
            </w:r>
          </w:p>
        </w:tc>
      </w:tr>
      <w:tr>
        <w:tc>
          <w:tcPr>
            <w:tcW w:type="dxa" w:w="900"/>
            <w:shd w:fill="FFFFFF" w:val="clear"/>
            <w:tcMar>
              <w:top w:type="dxa" w:w="90"/>
              <w:left w:type="dxa" w:w="120"/>
              <w:bottom w:type="dxa" w:w="90"/>
              <w:right w:type="dxa" w:w="120"/>
            </w:tcMar>
            <w:vAlign w:val="center"/>
          </w:tcPr>
          <w:p>
            <w:r>
              <w:rPr>
                <w:color w:val="2B2B2B"/>
                <w:sz w:val="19"/>
                <w:szCs w:val="19"/>
              </w:rPr>
              <w:t xml:space="preserve">6–10</w:t>
            </w:r>
          </w:p>
        </w:tc>
        <w:tc>
          <w:tcPr>
            <w:tcW w:type="dxa" w:w="4900"/>
            <w:shd w:fill="FFFFFF" w:val="clear"/>
            <w:tcMar>
              <w:top w:type="dxa" w:w="90"/>
              <w:left w:type="dxa" w:w="120"/>
              <w:bottom w:type="dxa" w:w="90"/>
              <w:right w:type="dxa" w:w="120"/>
            </w:tcMar>
            <w:vAlign w:val="center"/>
          </w:tcPr>
          <w:p>
            <w:r>
              <w:rPr>
                <w:color w:val="2B2B2B"/>
                <w:sz w:val="19"/>
                <w:szCs w:val="19"/>
              </w:rPr>
              <w:t xml:space="preserve">Demographic, geographic, behavioral, recency, seasonal features</w:t>
            </w:r>
          </w:p>
        </w:tc>
        <w:tc>
          <w:tcPr>
            <w:tcW w:type="dxa" w:w="3550"/>
            <w:shd w:fill="FFFFFF" w:val="clear"/>
            <w:tcMar>
              <w:top w:type="dxa" w:w="90"/>
              <w:left w:type="dxa" w:w="120"/>
              <w:bottom w:type="dxa" w:w="90"/>
              <w:right w:type="dxa" w:w="120"/>
            </w:tcMar>
            <w:vAlign w:val="center"/>
          </w:tcPr>
          <w:p>
            <w:r>
              <w:rPr>
                <w:color w:val="2B2B2B"/>
                <w:sz w:val="19"/>
                <w:szCs w:val="19"/>
              </w:rPr>
              <w:t xml:space="preserve">One row per customer, ~29 columns</w:t>
            </w:r>
          </w:p>
        </w:tc>
      </w:tr>
      <w:tr>
        <w:tc>
          <w:tcPr>
            <w:tcW w:type="dxa" w:w="900"/>
            <w:shd w:fill="F4F5F7" w:val="clear"/>
            <w:tcMar>
              <w:top w:type="dxa" w:w="90"/>
              <w:left w:type="dxa" w:w="120"/>
              <w:bottom w:type="dxa" w:w="90"/>
              <w:right w:type="dxa" w:w="120"/>
            </w:tcMar>
            <w:vAlign w:val="center"/>
          </w:tcPr>
          <w:p>
            <w:r>
              <w:rPr>
                <w:color w:val="2B2B2B"/>
                <w:sz w:val="19"/>
                <w:szCs w:val="19"/>
              </w:rPr>
              <w:t xml:space="preserve">11–12</w:t>
            </w:r>
          </w:p>
        </w:tc>
        <w:tc>
          <w:tcPr>
            <w:tcW w:type="dxa" w:w="4900"/>
            <w:shd w:fill="F4F5F7" w:val="clear"/>
            <w:tcMar>
              <w:top w:type="dxa" w:w="90"/>
              <w:left w:type="dxa" w:w="120"/>
              <w:bottom w:type="dxa" w:w="90"/>
              <w:right w:type="dxa" w:w="120"/>
            </w:tcMar>
            <w:vAlign w:val="center"/>
          </w:tcPr>
          <w:p>
            <w:r>
              <w:rPr>
                <w:color w:val="2B2B2B"/>
                <w:sz w:val="19"/>
                <w:szCs w:val="19"/>
              </w:rPr>
              <w:t xml:space="preserve">Combine + engineer new features</w:t>
            </w:r>
          </w:p>
        </w:tc>
        <w:tc>
          <w:tcPr>
            <w:tcW w:type="dxa" w:w="3550"/>
            <w:shd w:fill="F4F5F7" w:val="clear"/>
            <w:tcMar>
              <w:top w:type="dxa" w:w="90"/>
              <w:left w:type="dxa" w:w="120"/>
              <w:bottom w:type="dxa" w:w="90"/>
              <w:right w:type="dxa" w:w="120"/>
            </w:tcMar>
            <w:vAlign w:val="center"/>
          </w:tcPr>
          <w:p>
            <w:r>
              <w:rPr>
                <w:color w:val="2B2B2B"/>
                <w:sz w:val="19"/>
                <w:szCs w:val="19"/>
              </w:rPr>
              <w:t xml:space="preserve">CLV_log, Flight_consistency_score, Season_Concentration added</w:t>
            </w:r>
          </w:p>
        </w:tc>
      </w:tr>
      <w:tr>
        <w:tc>
          <w:tcPr>
            <w:tcW w:type="dxa" w:w="900"/>
            <w:shd w:fill="FFFFFF" w:val="clear"/>
            <w:tcMar>
              <w:top w:type="dxa" w:w="90"/>
              <w:left w:type="dxa" w:w="120"/>
              <w:bottom w:type="dxa" w:w="90"/>
              <w:right w:type="dxa" w:w="120"/>
            </w:tcMar>
            <w:vAlign w:val="center"/>
          </w:tcPr>
          <w:p>
            <w:r>
              <w:rPr>
                <w:color w:val="2B2B2B"/>
                <w:sz w:val="19"/>
                <w:szCs w:val="19"/>
              </w:rPr>
              <w:t xml:space="preserve">13</w:t>
            </w:r>
          </w:p>
        </w:tc>
        <w:tc>
          <w:tcPr>
            <w:tcW w:type="dxa" w:w="4900"/>
            <w:shd w:fill="FFFFFF" w:val="clear"/>
            <w:tcMar>
              <w:top w:type="dxa" w:w="90"/>
              <w:left w:type="dxa" w:w="120"/>
              <w:bottom w:type="dxa" w:w="90"/>
              <w:right w:type="dxa" w:w="120"/>
            </w:tcMar>
            <w:vAlign w:val="center"/>
          </w:tcPr>
          <w:p>
            <w:r>
              <w:rPr>
                <w:color w:val="2B2B2B"/>
                <w:sz w:val="19"/>
                <w:szCs w:val="19"/>
              </w:rPr>
              <w:t xml:space="preserve">Drop redundant columns</w:t>
            </w:r>
          </w:p>
        </w:tc>
        <w:tc>
          <w:tcPr>
            <w:tcW w:type="dxa" w:w="3550"/>
            <w:shd w:fill="FFFFFF" w:val="clear"/>
            <w:tcMar>
              <w:top w:type="dxa" w:w="90"/>
              <w:left w:type="dxa" w:w="120"/>
              <w:bottom w:type="dxa" w:w="90"/>
              <w:right w:type="dxa" w:w="120"/>
            </w:tcMar>
            <w:vAlign w:val="center"/>
          </w:tcPr>
          <w:p>
            <w:r>
              <w:rPr>
                <w:color w:val="2B2B2B"/>
                <w:sz w:val="19"/>
                <w:szCs w:val="19"/>
              </w:rPr>
              <w:t xml:space="preserve">Country, City, Postal Code, Enrollment dates, CLV, Province removed</w:t>
            </w:r>
          </w:p>
        </w:tc>
      </w:tr>
      <w:tr>
        <w:tc>
          <w:tcPr>
            <w:tcW w:type="dxa" w:w="900"/>
            <w:shd w:fill="F4F5F7" w:val="clear"/>
            <w:tcMar>
              <w:top w:type="dxa" w:w="90"/>
              <w:left w:type="dxa" w:w="120"/>
              <w:bottom w:type="dxa" w:w="90"/>
              <w:right w:type="dxa" w:w="120"/>
            </w:tcMar>
            <w:vAlign w:val="center"/>
          </w:tcPr>
          <w:p>
            <w:r>
              <w:rPr>
                <w:color w:val="2B2B2B"/>
                <w:sz w:val="19"/>
                <w:szCs w:val="19"/>
              </w:rPr>
              <w:t xml:space="preserve">14</w:t>
            </w:r>
          </w:p>
        </w:tc>
        <w:tc>
          <w:tcPr>
            <w:tcW w:type="dxa" w:w="4900"/>
            <w:shd w:fill="F4F5F7" w:val="clear"/>
            <w:tcMar>
              <w:top w:type="dxa" w:w="90"/>
              <w:left w:type="dxa" w:w="120"/>
              <w:bottom w:type="dxa" w:w="90"/>
              <w:right w:type="dxa" w:w="120"/>
            </w:tcMar>
            <w:vAlign w:val="center"/>
          </w:tcPr>
          <w:p>
            <w:r>
              <w:rPr>
                <w:color w:val="2B2B2B"/>
                <w:sz w:val="19"/>
                <w:szCs w:val="19"/>
              </w:rPr>
              <w:t xml:space="preserve">Encode categoricals</w:t>
            </w:r>
          </w:p>
        </w:tc>
        <w:tc>
          <w:tcPr>
            <w:tcW w:type="dxa" w:w="3550"/>
            <w:shd w:fill="F4F5F7" w:val="clear"/>
            <w:tcMar>
              <w:top w:type="dxa" w:w="90"/>
              <w:left w:type="dxa" w:w="120"/>
              <w:bottom w:type="dxa" w:w="90"/>
              <w:right w:type="dxa" w:w="120"/>
            </w:tcMar>
            <w:vAlign w:val="center"/>
          </w:tcPr>
          <w:p>
            <w:r>
              <w:rPr>
                <w:color w:val="2B2B2B"/>
                <w:sz w:val="19"/>
                <w:szCs w:val="19"/>
              </w:rPr>
              <w:t xml:space="preserve">One-hot (4 cols) + label encoding (2 cols)</w:t>
            </w:r>
          </w:p>
        </w:tc>
      </w:tr>
      <w:tr>
        <w:tc>
          <w:tcPr>
            <w:tcW w:type="dxa" w:w="900"/>
            <w:shd w:fill="FFFFFF" w:val="clear"/>
            <w:tcMar>
              <w:top w:type="dxa" w:w="90"/>
              <w:left w:type="dxa" w:w="120"/>
              <w:bottom w:type="dxa" w:w="90"/>
              <w:right w:type="dxa" w:w="120"/>
            </w:tcMar>
            <w:vAlign w:val="center"/>
          </w:tcPr>
          <w:p>
            <w:r>
              <w:rPr>
                <w:color w:val="2B2B2B"/>
                <w:sz w:val="19"/>
                <w:szCs w:val="19"/>
              </w:rPr>
              <w:t xml:space="preserve">15</w:t>
            </w:r>
          </w:p>
        </w:tc>
        <w:tc>
          <w:tcPr>
            <w:tcW w:type="dxa" w:w="4900"/>
            <w:shd w:fill="FFFFFF" w:val="clear"/>
            <w:tcMar>
              <w:top w:type="dxa" w:w="90"/>
              <w:left w:type="dxa" w:w="120"/>
              <w:bottom w:type="dxa" w:w="90"/>
              <w:right w:type="dxa" w:w="120"/>
            </w:tcMar>
            <w:vAlign w:val="center"/>
          </w:tcPr>
          <w:p>
            <w:r>
              <w:rPr>
                <w:color w:val="2B2B2B"/>
                <w:sz w:val="19"/>
                <w:szCs w:val="19"/>
              </w:rPr>
              <w:t xml:space="preserve">Save final matrix</w:t>
            </w:r>
          </w:p>
        </w:tc>
        <w:tc>
          <w:tcPr>
            <w:tcW w:type="dxa" w:w="3550"/>
            <w:shd w:fill="FFFFFF" w:val="clear"/>
            <w:tcMar>
              <w:top w:type="dxa" w:w="90"/>
              <w:left w:type="dxa" w:w="120"/>
              <w:bottom w:type="dxa" w:w="90"/>
              <w:right w:type="dxa" w:w="120"/>
            </w:tcMar>
            <w:vAlign w:val="center"/>
          </w:tcPr>
          <w:p>
            <w:r>
              <w:rPr>
                <w:color w:val="2B2B2B"/>
                <w:sz w:val="19"/>
                <w:szCs w:val="19"/>
              </w:rPr>
              <w:t xml:space="preserve">modelling2.csv — 16,737 rows × 33 columns, zero missing values</w:t>
            </w:r>
          </w:p>
        </w:tc>
      </w:tr>
    </w:tbl>
    <w:p>
      <w:r>
        <w:br w:type="page"/>
      </w:r>
    </w:p>
    <w:p>
      <w:pPr>
        <w:pStyle w:val="Heading1"/>
        <w:pBdr>
          <w:bottom w:val="single" w:color="534AB7" w:sz="8" w:space="4"/>
        </w:pBdr>
        <w:spacing w:after="200" w:before="420"/>
      </w:pPr>
      <w:r>
        <w:rPr>
          <w:b/>
          <w:bCs/>
          <w:color w:val="1F2A44"/>
          <w:sz w:val="30"/>
          <w:szCs w:val="30"/>
        </w:rPr>
        <w:t xml:space="preserve">5. Phase 3 — Machine Learning Modelling</w:t>
      </w:r>
    </w:p>
    <w:p>
      <w:pPr>
        <w:spacing w:after="160" w:line="300"/>
      </w:pPr>
      <w:r>
        <w:rPr>
          <w:i w:val="false"/>
          <w:iCs w:val="false"/>
          <w:color w:val="2B2B2B"/>
          <w:sz w:val="21"/>
          <w:szCs w:val="21"/>
        </w:rPr>
        <w:t xml:space="preserve">Two separate, purpose-built tools were created from the same feature matrix, because they answer two different business questions and are consumed differently by the business: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350"/>
        <w:gridCol w:w="2900"/>
        <w:gridCol w:w="2200"/>
        <w:gridCol w:w="1900"/>
      </w:tblGrid>
      <w:tr>
        <w:trPr>
          <w:tblHeader/>
        </w:trPr>
        <w:tc>
          <w:tcPr>
            <w:tcW w:type="dxa" w:w="2350"/>
            <w:shd w:fill="1F2A44" w:val="clear"/>
            <w:tcMar>
              <w:top w:type="dxa" w:w="100"/>
              <w:left w:type="dxa" w:w="120"/>
              <w:bottom w:type="dxa" w:w="100"/>
              <w:right w:type="dxa" w:w="120"/>
            </w:tcMar>
            <w:vAlign w:val="center"/>
          </w:tcPr>
          <w:p>
            <w:r>
              <w:rPr>
                <w:b/>
                <w:bCs/>
                <w:color w:val="FFFFFF"/>
                <w:sz w:val="19"/>
                <w:szCs w:val="19"/>
              </w:rPr>
              <w:t xml:space="preserve">Tool</w:t>
            </w:r>
          </w:p>
        </w:tc>
        <w:tc>
          <w:tcPr>
            <w:tcW w:type="dxa" w:w="2900"/>
            <w:shd w:fill="1F2A44" w:val="clear"/>
            <w:tcMar>
              <w:top w:type="dxa" w:w="100"/>
              <w:left w:type="dxa" w:w="120"/>
              <w:bottom w:type="dxa" w:w="100"/>
              <w:right w:type="dxa" w:w="120"/>
            </w:tcMar>
            <w:vAlign w:val="center"/>
          </w:tcPr>
          <w:p>
            <w:r>
              <w:rPr>
                <w:b/>
                <w:bCs/>
                <w:color w:val="FFFFFF"/>
                <w:sz w:val="19"/>
                <w:szCs w:val="19"/>
              </w:rPr>
              <w:t xml:space="preserve">Question it answers</w:t>
            </w:r>
          </w:p>
        </w:tc>
        <w:tc>
          <w:tcPr>
            <w:tcW w:type="dxa" w:w="2200"/>
            <w:shd w:fill="1F2A44" w:val="clear"/>
            <w:tcMar>
              <w:top w:type="dxa" w:w="100"/>
              <w:left w:type="dxa" w:w="120"/>
              <w:bottom w:type="dxa" w:w="100"/>
              <w:right w:type="dxa" w:w="120"/>
            </w:tcMar>
            <w:vAlign w:val="center"/>
          </w:tcPr>
          <w:p>
            <w:r>
              <w:rPr>
                <w:b/>
                <w:bCs/>
                <w:color w:val="FFFFFF"/>
                <w:sz w:val="19"/>
                <w:szCs w:val="19"/>
              </w:rPr>
              <w:t xml:space="preserve">Type of model</w:t>
            </w:r>
          </w:p>
        </w:tc>
        <w:tc>
          <w:tcPr>
            <w:tcW w:type="dxa" w:w="1900"/>
            <w:shd w:fill="1F2A44" w:val="clear"/>
            <w:tcMar>
              <w:top w:type="dxa" w:w="100"/>
              <w:left w:type="dxa" w:w="120"/>
              <w:bottom w:type="dxa" w:w="100"/>
              <w:right w:type="dxa" w:w="120"/>
            </w:tcMar>
            <w:vAlign w:val="center"/>
          </w:tcPr>
          <w:p>
            <w:r>
              <w:rPr>
                <w:b/>
                <w:bCs/>
                <w:color w:val="FFFFFF"/>
                <w:sz w:val="19"/>
                <w:szCs w:val="19"/>
              </w:rPr>
              <w:t xml:space="preserve">Consumed by</w:t>
            </w:r>
          </w:p>
        </w:tc>
      </w:tr>
      <w:tr>
        <w:tc>
          <w:tcPr>
            <w:tcW w:type="dxa" w:w="2350"/>
            <w:shd w:fill="FFFFFF" w:val="clear"/>
            <w:tcMar>
              <w:top w:type="dxa" w:w="90"/>
              <w:left w:type="dxa" w:w="120"/>
              <w:bottom w:type="dxa" w:w="90"/>
              <w:right w:type="dxa" w:w="120"/>
            </w:tcMar>
            <w:vAlign w:val="center"/>
          </w:tcPr>
          <w:p>
            <w:r>
              <w:rPr>
                <w:color w:val="2B2B2B"/>
                <w:sz w:val="19"/>
                <w:szCs w:val="19"/>
              </w:rPr>
              <w:t xml:space="preserve">Task A — Churn Prediction</w:t>
            </w:r>
          </w:p>
        </w:tc>
        <w:tc>
          <w:tcPr>
            <w:tcW w:type="dxa" w:w="2900"/>
            <w:shd w:fill="FFFFFF" w:val="clear"/>
            <w:tcMar>
              <w:top w:type="dxa" w:w="90"/>
              <w:left w:type="dxa" w:w="120"/>
              <w:bottom w:type="dxa" w:w="90"/>
              <w:right w:type="dxa" w:w="120"/>
            </w:tcMar>
            <w:vAlign w:val="center"/>
          </w:tcPr>
          <w:p>
            <w:r>
              <w:rPr>
                <w:color w:val="2B2B2B"/>
                <w:sz w:val="19"/>
                <w:szCs w:val="19"/>
              </w:rPr>
              <w:t xml:space="preserve">Will this specific customer disengage, and how soon?</w:t>
            </w:r>
          </w:p>
        </w:tc>
        <w:tc>
          <w:tcPr>
            <w:tcW w:type="dxa" w:w="2200"/>
            <w:shd w:fill="FFFFFF" w:val="clear"/>
            <w:tcMar>
              <w:top w:type="dxa" w:w="90"/>
              <w:left w:type="dxa" w:w="120"/>
              <w:bottom w:type="dxa" w:w="90"/>
              <w:right w:type="dxa" w:w="120"/>
            </w:tcMar>
            <w:vAlign w:val="center"/>
          </w:tcPr>
          <w:p>
            <w:r>
              <w:rPr>
                <w:color w:val="2B2B2B"/>
                <w:sz w:val="19"/>
                <w:szCs w:val="19"/>
              </w:rPr>
              <w:t xml:space="preserve">Supervised classification (XGBoost)</w:t>
            </w:r>
          </w:p>
        </w:tc>
        <w:tc>
          <w:tcPr>
            <w:tcW w:type="dxa" w:w="1900"/>
            <w:shd w:fill="FFFFFF" w:val="clear"/>
            <w:tcMar>
              <w:top w:type="dxa" w:w="90"/>
              <w:left w:type="dxa" w:w="120"/>
              <w:bottom w:type="dxa" w:w="90"/>
              <w:right w:type="dxa" w:w="120"/>
            </w:tcMar>
            <w:vAlign w:val="center"/>
          </w:tcPr>
          <w:p>
            <w:r>
              <w:rPr>
                <w:color w:val="2B2B2B"/>
                <w:sz w:val="19"/>
                <w:szCs w:val="19"/>
              </w:rPr>
              <w:t xml:space="preserve">CRM triggers, individual outreach</w:t>
            </w:r>
          </w:p>
        </w:tc>
      </w:tr>
      <w:tr>
        <w:tc>
          <w:tcPr>
            <w:tcW w:type="dxa" w:w="2350"/>
            <w:shd w:fill="F4F5F7" w:val="clear"/>
            <w:tcMar>
              <w:top w:type="dxa" w:w="90"/>
              <w:left w:type="dxa" w:w="120"/>
              <w:bottom w:type="dxa" w:w="90"/>
              <w:right w:type="dxa" w:w="120"/>
            </w:tcMar>
            <w:vAlign w:val="center"/>
          </w:tcPr>
          <w:p>
            <w:r>
              <w:rPr>
                <w:color w:val="2B2B2B"/>
                <w:sz w:val="19"/>
                <w:szCs w:val="19"/>
              </w:rPr>
              <w:t xml:space="preserve">Task B — Segmentation</w:t>
            </w:r>
          </w:p>
        </w:tc>
        <w:tc>
          <w:tcPr>
            <w:tcW w:type="dxa" w:w="2900"/>
            <w:shd w:fill="F4F5F7" w:val="clear"/>
            <w:tcMar>
              <w:top w:type="dxa" w:w="90"/>
              <w:left w:type="dxa" w:w="120"/>
              <w:bottom w:type="dxa" w:w="90"/>
              <w:right w:type="dxa" w:w="120"/>
            </w:tcMar>
            <w:vAlign w:val="center"/>
          </w:tcPr>
          <w:p>
            <w:r>
              <w:rPr>
                <w:color w:val="2B2B2B"/>
                <w:sz w:val="19"/>
                <w:szCs w:val="19"/>
              </w:rPr>
              <w:t xml:space="preserve">What natural types of customers exist in this base?</w:t>
            </w:r>
          </w:p>
        </w:tc>
        <w:tc>
          <w:tcPr>
            <w:tcW w:type="dxa" w:w="2200"/>
            <w:shd w:fill="F4F5F7" w:val="clear"/>
            <w:tcMar>
              <w:top w:type="dxa" w:w="90"/>
              <w:left w:type="dxa" w:w="120"/>
              <w:bottom w:type="dxa" w:w="90"/>
              <w:right w:type="dxa" w:w="120"/>
            </w:tcMar>
            <w:vAlign w:val="center"/>
          </w:tcPr>
          <w:p>
            <w:r>
              <w:rPr>
                <w:color w:val="2B2B2B"/>
                <w:sz w:val="19"/>
                <w:szCs w:val="19"/>
              </w:rPr>
              <w:t xml:space="preserve">Unsupervised clustering (K-Means)</w:t>
            </w:r>
          </w:p>
        </w:tc>
        <w:tc>
          <w:tcPr>
            <w:tcW w:type="dxa" w:w="1900"/>
            <w:shd w:fill="F4F5F7" w:val="clear"/>
            <w:tcMar>
              <w:top w:type="dxa" w:w="90"/>
              <w:left w:type="dxa" w:w="120"/>
              <w:bottom w:type="dxa" w:w="90"/>
              <w:right w:type="dxa" w:w="120"/>
            </w:tcMar>
            <w:vAlign w:val="center"/>
          </w:tcPr>
          <w:p>
            <w:r>
              <w:rPr>
                <w:color w:val="2B2B2B"/>
                <w:sz w:val="19"/>
                <w:szCs w:val="19"/>
              </w:rPr>
              <w:t xml:space="preserve">Strategy, budget allocation, messaging</w:t>
            </w:r>
          </w:p>
        </w:tc>
      </w:tr>
    </w:tbl>
    <w:p>
      <w:pPr>
        <w:pStyle w:val="Heading2"/>
        <w:spacing w:after="140" w:before="320"/>
      </w:pPr>
      <w:r>
        <w:rPr>
          <w:b/>
          <w:bCs/>
          <w:color w:val="534AB7"/>
          <w:sz w:val="24"/>
          <w:szCs w:val="24"/>
        </w:rPr>
        <w:t xml:space="preserve">5.1 Task A — Churn Prediction Model</w:t>
      </w:r>
    </w:p>
    <w:p>
      <w:pPr>
        <w:spacing w:after="100" w:before="220"/>
      </w:pPr>
      <w:r>
        <w:rPr>
          <w:b/>
          <w:bCs/>
          <w:color w:val="1F2A44"/>
          <w:sz w:val="22"/>
          <w:szCs w:val="22"/>
        </w:rPr>
        <w:t xml:space="preserve">Baseline — Logistic Regression</w:t>
      </w:r>
    </w:p>
    <w:p>
      <w:pPr>
        <w:spacing w:after="160" w:line="300"/>
      </w:pPr>
      <w:r>
        <w:rPr>
          <w:i w:val="false"/>
          <w:iCs w:val="false"/>
          <w:color w:val="2B2B2B"/>
          <w:sz w:val="21"/>
          <w:szCs w:val="21"/>
        </w:rPr>
        <w:t xml:space="preserve">Before building the final model, a Logistic Regression classifier was trained as an interpretable baseline, using the same 80/20 stratified split. It performed strongly on paper — 98% accuracy, 95% precision and 89% recall on the churned class, and an AUC-ROC of 0.9857 — but one detail in its coefficients was revealing: Months_Since_Last_Flight (0.79) dwarfed every other coefficient by roughly an order of magnitude. A single feature dominating this heavily is a sign that the true relationship between recency and churn isn't smooth and linear — it likely behaves more like a threshold effect, which a linear model can only approximate, not capture directly.</w:t>
      </w:r>
    </w:p>
    <w:p>
      <w:pPr>
        <w:spacing w:after="100"/>
      </w:pPr>
    </w:p>
    <w:p>
      <w:pPr>
        <w:spacing w:after="100" w:before="220"/>
      </w:pPr>
      <w:r>
        <w:rPr>
          <w:b/>
          <w:bCs/>
          <w:color w:val="1F2A44"/>
          <w:sz w:val="22"/>
          <w:szCs w:val="22"/>
        </w:rPr>
        <w:t xml:space="preserve">Why XGBoost</w:t>
      </w:r>
    </w:p>
    <w:p>
      <w:pPr>
        <w:pStyle w:val="ListParagraph"/>
        <w:numPr>
          <w:ilvl w:val="0"/>
          <w:numId w:val="1"/>
        </w:numPr>
        <w:spacing w:after="90" w:line="290"/>
      </w:pPr>
      <w:r>
        <w:rPr>
          <w:color w:val="2B2B2B"/>
          <w:sz w:val="21"/>
          <w:szCs w:val="21"/>
        </w:rPr>
        <w:t xml:space="preserve">Handles a mix of numerical and encoded categorical features without extensive preprocessing.</w:t>
      </w:r>
    </w:p>
    <w:p>
      <w:pPr>
        <w:pStyle w:val="ListParagraph"/>
        <w:numPr>
          <w:ilvl w:val="0"/>
          <w:numId w:val="1"/>
        </w:numPr>
        <w:spacing w:after="90" w:line="290"/>
      </w:pPr>
      <w:r>
        <w:rPr>
          <w:color w:val="2B2B2B"/>
          <w:sz w:val="21"/>
          <w:szCs w:val="21"/>
        </w:rPr>
        <w:t xml:space="preserve">Does not assume every feature contributes equally — learns which features matter most.</w:t>
      </w:r>
    </w:p>
    <w:p>
      <w:pPr>
        <w:pStyle w:val="ListParagraph"/>
        <w:numPr>
          <w:ilvl w:val="0"/>
          <w:numId w:val="1"/>
        </w:numPr>
        <w:spacing w:after="90" w:line="290"/>
      </w:pPr>
      <w:r>
        <w:rPr>
          <w:color w:val="2B2B2B"/>
          <w:sz w:val="21"/>
          <w:szCs w:val="21"/>
        </w:rPr>
        <w:t xml:space="preserve">Robust to outliers and skewed distributions (relevant given the CLV skew found in Phase 1).</w:t>
      </w:r>
    </w:p>
    <w:p>
      <w:pPr>
        <w:pStyle w:val="ListParagraph"/>
        <w:numPr>
          <w:ilvl w:val="0"/>
          <w:numId w:val="1"/>
        </w:numPr>
        <w:spacing w:after="90" w:line="290"/>
      </w:pPr>
      <w:r>
        <w:rPr>
          <w:color w:val="2B2B2B"/>
          <w:sz w:val="21"/>
          <w:szCs w:val="21"/>
        </w:rPr>
        <w:t xml:space="preserve">Exposes feature importance, which is essential for explaining predictions to a non-technical business audience, not just reporting a score.</w:t>
      </w:r>
    </w:p>
    <w:p>
      <w:pPr>
        <w:pStyle w:val="ListParagraph"/>
        <w:numPr>
          <w:ilvl w:val="0"/>
          <w:numId w:val="1"/>
        </w:numPr>
        <w:spacing w:after="90" w:line="290"/>
      </w:pPr>
      <w:r>
        <w:rPr>
          <w:color w:val="2B2B2B"/>
          <w:sz w:val="21"/>
          <w:szCs w:val="21"/>
        </w:rPr>
        <w:t xml:space="preserve">Has a built-in mechanism (scale_pos_weight) for handling class imbalance, which this dataset has (84% / 16% split).</w:t>
      </w:r>
    </w:p>
    <w:p>
      <w:pPr>
        <w:spacing w:after="100" w:before="220"/>
      </w:pPr>
      <w:r>
        <w:rPr>
          <w:b/>
          <w:bCs/>
          <w:color w:val="1F2A44"/>
          <w:sz w:val="22"/>
          <w:szCs w:val="22"/>
        </w:rPr>
        <w:t xml:space="preserve">Train/Test Split</w:t>
      </w:r>
    </w:p>
    <w:p>
      <w:pPr>
        <w:spacing w:after="160" w:line="300"/>
      </w:pPr>
      <w:r>
        <w:rPr>
          <w:i w:val="false"/>
          <w:iCs w:val="false"/>
          <w:color w:val="2B2B2B"/>
          <w:sz w:val="21"/>
          <w:szCs w:val="21"/>
        </w:rPr>
        <w:t xml:space="preserve">An 80/20 train-test split was used with stratify=y, meaning both the training set and the held-out test set preserve the same 16% churn ratio found in the full data. Without stratification, the smaller test set could by chance contain very few churned examples, making evaluation unreliable. random_state=42 was fixed for reproducibility — running the same code again produces the same split.</w:t>
      </w:r>
    </w:p>
    <w:p>
      <w:pPr>
        <w:spacing w:after="100" w:before="220"/>
      </w:pPr>
      <w:r>
        <w:rPr>
          <w:b/>
          <w:bCs/>
          <w:color w:val="1F2A44"/>
          <w:sz w:val="22"/>
          <w:szCs w:val="22"/>
        </w:rPr>
        <w:t xml:space="preserve">Handling Class Imbalance</w:t>
      </w:r>
    </w:p>
    <w:p>
      <w:pPr>
        <w:spacing w:after="160" w:line="300"/>
      </w:pPr>
      <w:r>
        <w:rPr>
          <w:i w:val="false"/>
          <w:iCs w:val="false"/>
          <w:color w:val="2B2B2B"/>
          <w:sz w:val="21"/>
          <w:szCs w:val="21"/>
        </w:rPr>
        <w:t xml:space="preserve">With 84% of customers not churned, a naive model could reach 84% accuracy just by predicting 'not churned' for everyone — while being completely useless for the actual business goal of finding at-risk customers. To counter this, scale_pos_weight was set to the ratio of negative-to-positive training examples (count of not-churned ÷ count of churned), which tells XGBoost to penalize a missed churner more heavily during training than a false alarm — without resorting to oversampling or undersampling the data.</w:t>
      </w:r>
    </w:p>
    <w:p>
      <w:pPr>
        <w:spacing w:after="100" w:before="220"/>
      </w:pPr>
      <w:r>
        <w:rPr>
          <w:b/>
          <w:bCs/>
          <w:color w:val="1F2A44"/>
          <w:sz w:val="22"/>
          <w:szCs w:val="22"/>
        </w:rPr>
        <w:t xml:space="preserve">Hyperparameter Tuning</w:t>
      </w:r>
    </w:p>
    <w:p>
      <w:pPr>
        <w:spacing w:after="160" w:line="300"/>
      </w:pPr>
      <w:r>
        <w:rPr>
          <w:i w:val="false"/>
          <w:iCs w:val="false"/>
          <w:color w:val="2B2B2B"/>
          <w:sz w:val="21"/>
          <w:szCs w:val="21"/>
        </w:rPr>
        <w:t xml:space="preserve">A grid search (GridSearchCV, 5-fold cross-validation) was run over n_estimators, learning_rate, and max_depth, optimizing specifically for recall — because for this business problem, missing an actual churner is more costly than a false alarm that simply triggers an unnecessary but low-cost retention offer.</w:t>
      </w:r>
    </w:p>
    <w:p>
      <w:pPr>
        <w:spacing w:after="100" w:before="220"/>
      </w:pPr>
      <w:r>
        <w:rPr>
          <w:b/>
          <w:bCs/>
          <w:color w:val="1F2A44"/>
          <w:sz w:val="22"/>
          <w:szCs w:val="22"/>
        </w:rPr>
        <w:t xml:space="preserve">Model Evaluation</w:t>
      </w:r>
    </w:p>
    <w:p>
      <w:pPr>
        <w:spacing w:after="160" w:line="300"/>
      </w:pPr>
      <w:r>
        <w:rPr>
          <w:i w:val="false"/>
          <w:iCs w:val="false"/>
          <w:color w:val="2B2B2B"/>
          <w:sz w:val="21"/>
          <w:szCs w:val="21"/>
        </w:rPr>
        <w:t xml:space="preserve">Definitions used, in order of relevance to this specific business problem:</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200"/>
        <w:gridCol w:w="3300"/>
        <w:gridCol w:w="3850"/>
      </w:tblGrid>
      <w:tr>
        <w:trPr>
          <w:tblHeader/>
        </w:trPr>
        <w:tc>
          <w:tcPr>
            <w:tcW w:type="dxa" w:w="2200"/>
            <w:shd w:fill="1F2A44" w:val="clear"/>
            <w:tcMar>
              <w:top w:type="dxa" w:w="100"/>
              <w:left w:type="dxa" w:w="120"/>
              <w:bottom w:type="dxa" w:w="100"/>
              <w:right w:type="dxa" w:w="120"/>
            </w:tcMar>
            <w:vAlign w:val="center"/>
          </w:tcPr>
          <w:p>
            <w:r>
              <w:rPr>
                <w:b/>
                <w:bCs/>
                <w:color w:val="FFFFFF"/>
                <w:sz w:val="19"/>
                <w:szCs w:val="19"/>
              </w:rPr>
              <w:t xml:space="preserve">Metric</w:t>
            </w:r>
          </w:p>
        </w:tc>
        <w:tc>
          <w:tcPr>
            <w:tcW w:type="dxa" w:w="3300"/>
            <w:shd w:fill="1F2A44" w:val="clear"/>
            <w:tcMar>
              <w:top w:type="dxa" w:w="100"/>
              <w:left w:type="dxa" w:w="120"/>
              <w:bottom w:type="dxa" w:w="100"/>
              <w:right w:type="dxa" w:w="120"/>
            </w:tcMar>
            <w:vAlign w:val="center"/>
          </w:tcPr>
          <w:p>
            <w:r>
              <w:rPr>
                <w:b/>
                <w:bCs/>
                <w:color w:val="FFFFFF"/>
                <w:sz w:val="19"/>
                <w:szCs w:val="19"/>
              </w:rPr>
              <w:t xml:space="preserve">What it measures</w:t>
            </w:r>
          </w:p>
        </w:tc>
        <w:tc>
          <w:tcPr>
            <w:tcW w:type="dxa" w:w="3850"/>
            <w:shd w:fill="1F2A44" w:val="clear"/>
            <w:tcMar>
              <w:top w:type="dxa" w:w="100"/>
              <w:left w:type="dxa" w:w="120"/>
              <w:bottom w:type="dxa" w:w="100"/>
              <w:right w:type="dxa" w:w="120"/>
            </w:tcMar>
            <w:vAlign w:val="center"/>
          </w:tcPr>
          <w:p>
            <w:r>
              <w:rPr>
                <w:b/>
                <w:bCs/>
                <w:color w:val="FFFFFF"/>
                <w:sz w:val="19"/>
                <w:szCs w:val="19"/>
              </w:rPr>
              <w:t xml:space="preserve">Why it matters here</w:t>
            </w:r>
          </w:p>
        </w:tc>
      </w:tr>
      <w:tr>
        <w:tc>
          <w:tcPr>
            <w:tcW w:type="dxa" w:w="2200"/>
            <w:shd w:fill="FFFFFF" w:val="clear"/>
            <w:tcMar>
              <w:top w:type="dxa" w:w="90"/>
              <w:left w:type="dxa" w:w="120"/>
              <w:bottom w:type="dxa" w:w="90"/>
              <w:right w:type="dxa" w:w="120"/>
            </w:tcMar>
            <w:vAlign w:val="center"/>
          </w:tcPr>
          <w:p>
            <w:r>
              <w:rPr>
                <w:color w:val="2B2B2B"/>
                <w:sz w:val="19"/>
                <w:szCs w:val="19"/>
              </w:rPr>
              <w:t xml:space="preserve">Recall (churned class)</w:t>
            </w:r>
          </w:p>
        </w:tc>
        <w:tc>
          <w:tcPr>
            <w:tcW w:type="dxa" w:w="3300"/>
            <w:shd w:fill="FFFFFF" w:val="clear"/>
            <w:tcMar>
              <w:top w:type="dxa" w:w="90"/>
              <w:left w:type="dxa" w:w="120"/>
              <w:bottom w:type="dxa" w:w="90"/>
              <w:right w:type="dxa" w:w="120"/>
            </w:tcMar>
            <w:vAlign w:val="center"/>
          </w:tcPr>
          <w:p>
            <w:r>
              <w:rPr>
                <w:color w:val="2B2B2B"/>
                <w:sz w:val="19"/>
                <w:szCs w:val="19"/>
              </w:rPr>
              <w:t xml:space="preserve">Of all customers who actually churned, how many did the model catch?</w:t>
            </w:r>
          </w:p>
        </w:tc>
        <w:tc>
          <w:tcPr>
            <w:tcW w:type="dxa" w:w="3850"/>
            <w:shd w:fill="FFFFFF" w:val="clear"/>
            <w:tcMar>
              <w:top w:type="dxa" w:w="90"/>
              <w:left w:type="dxa" w:w="120"/>
              <w:bottom w:type="dxa" w:w="90"/>
              <w:right w:type="dxa" w:w="120"/>
            </w:tcMar>
            <w:vAlign w:val="center"/>
          </w:tcPr>
          <w:p>
            <w:r>
              <w:rPr>
                <w:color w:val="2B2B2B"/>
                <w:sz w:val="19"/>
                <w:szCs w:val="19"/>
              </w:rPr>
              <w:t xml:space="preserve">Most important — a missed churner is a lost customer with no intervention</w:t>
            </w:r>
          </w:p>
        </w:tc>
      </w:tr>
      <w:tr>
        <w:tc>
          <w:tcPr>
            <w:tcW w:type="dxa" w:w="2200"/>
            <w:shd w:fill="F4F5F7" w:val="clear"/>
            <w:tcMar>
              <w:top w:type="dxa" w:w="90"/>
              <w:left w:type="dxa" w:w="120"/>
              <w:bottom w:type="dxa" w:w="90"/>
              <w:right w:type="dxa" w:w="120"/>
            </w:tcMar>
            <w:vAlign w:val="center"/>
          </w:tcPr>
          <w:p>
            <w:r>
              <w:rPr>
                <w:color w:val="2B2B2B"/>
                <w:sz w:val="19"/>
                <w:szCs w:val="19"/>
              </w:rPr>
              <w:t xml:space="preserve">Precision (churned class)</w:t>
            </w:r>
          </w:p>
        </w:tc>
        <w:tc>
          <w:tcPr>
            <w:tcW w:type="dxa" w:w="3300"/>
            <w:shd w:fill="F4F5F7" w:val="clear"/>
            <w:tcMar>
              <w:top w:type="dxa" w:w="90"/>
              <w:left w:type="dxa" w:w="120"/>
              <w:bottom w:type="dxa" w:w="90"/>
              <w:right w:type="dxa" w:w="120"/>
            </w:tcMar>
            <w:vAlign w:val="center"/>
          </w:tcPr>
          <w:p>
            <w:r>
              <w:rPr>
                <w:color w:val="2B2B2B"/>
                <w:sz w:val="19"/>
                <w:szCs w:val="19"/>
              </w:rPr>
              <w:t xml:space="preserve">Of all customers flagged as high-risk, how many actually churned?</w:t>
            </w:r>
          </w:p>
        </w:tc>
        <w:tc>
          <w:tcPr>
            <w:tcW w:type="dxa" w:w="3850"/>
            <w:shd w:fill="F4F5F7" w:val="clear"/>
            <w:tcMar>
              <w:top w:type="dxa" w:w="90"/>
              <w:left w:type="dxa" w:w="120"/>
              <w:bottom w:type="dxa" w:w="90"/>
              <w:right w:type="dxa" w:w="120"/>
            </w:tcMar>
            <w:vAlign w:val="center"/>
          </w:tcPr>
          <w:p>
            <w:r>
              <w:rPr>
                <w:color w:val="2B2B2B"/>
                <w:sz w:val="19"/>
                <w:szCs w:val="19"/>
              </w:rPr>
              <w:t xml:space="preserve">Controls how much retention budget is wasted on false alarms</w:t>
            </w:r>
          </w:p>
        </w:tc>
      </w:tr>
      <w:tr>
        <w:tc>
          <w:tcPr>
            <w:tcW w:type="dxa" w:w="2200"/>
            <w:shd w:fill="FFFFFF" w:val="clear"/>
            <w:tcMar>
              <w:top w:type="dxa" w:w="90"/>
              <w:left w:type="dxa" w:w="120"/>
              <w:bottom w:type="dxa" w:w="90"/>
              <w:right w:type="dxa" w:w="120"/>
            </w:tcMar>
            <w:vAlign w:val="center"/>
          </w:tcPr>
          <w:p>
            <w:r>
              <w:rPr>
                <w:color w:val="2B2B2B"/>
                <w:sz w:val="19"/>
                <w:szCs w:val="19"/>
              </w:rPr>
              <w:t xml:space="preserve">F1 Score</w:t>
            </w:r>
          </w:p>
        </w:tc>
        <w:tc>
          <w:tcPr>
            <w:tcW w:type="dxa" w:w="3300"/>
            <w:shd w:fill="FFFFFF" w:val="clear"/>
            <w:tcMar>
              <w:top w:type="dxa" w:w="90"/>
              <w:left w:type="dxa" w:w="120"/>
              <w:bottom w:type="dxa" w:w="90"/>
              <w:right w:type="dxa" w:w="120"/>
            </w:tcMar>
            <w:vAlign w:val="center"/>
          </w:tcPr>
          <w:p>
            <w:r>
              <w:rPr>
                <w:color w:val="2B2B2B"/>
                <w:sz w:val="19"/>
                <w:szCs w:val="19"/>
              </w:rPr>
              <w:t xml:space="preserve">Harmonic mean of precision and recall</w:t>
            </w:r>
          </w:p>
        </w:tc>
        <w:tc>
          <w:tcPr>
            <w:tcW w:type="dxa" w:w="3850"/>
            <w:shd w:fill="FFFFFF" w:val="clear"/>
            <w:tcMar>
              <w:top w:type="dxa" w:w="90"/>
              <w:left w:type="dxa" w:w="120"/>
              <w:bottom w:type="dxa" w:w="90"/>
              <w:right w:type="dxa" w:w="120"/>
            </w:tcMar>
            <w:vAlign w:val="center"/>
          </w:tcPr>
          <w:p>
            <w:r>
              <w:rPr>
                <w:color w:val="2B2B2B"/>
                <w:sz w:val="19"/>
                <w:szCs w:val="19"/>
              </w:rPr>
              <w:t xml:space="preserve">A single balanced summary number</w:t>
            </w:r>
          </w:p>
        </w:tc>
      </w:tr>
      <w:tr>
        <w:tc>
          <w:tcPr>
            <w:tcW w:type="dxa" w:w="2200"/>
            <w:shd w:fill="F4F5F7" w:val="clear"/>
            <w:tcMar>
              <w:top w:type="dxa" w:w="90"/>
              <w:left w:type="dxa" w:w="120"/>
              <w:bottom w:type="dxa" w:w="90"/>
              <w:right w:type="dxa" w:w="120"/>
            </w:tcMar>
            <w:vAlign w:val="center"/>
          </w:tcPr>
          <w:p>
            <w:r>
              <w:rPr>
                <w:color w:val="2B2B2B"/>
                <w:sz w:val="19"/>
                <w:szCs w:val="19"/>
              </w:rPr>
              <w:t xml:space="preserve">AUC-ROC</w:t>
            </w:r>
          </w:p>
        </w:tc>
        <w:tc>
          <w:tcPr>
            <w:tcW w:type="dxa" w:w="3300"/>
            <w:shd w:fill="F4F5F7" w:val="clear"/>
            <w:tcMar>
              <w:top w:type="dxa" w:w="90"/>
              <w:left w:type="dxa" w:w="120"/>
              <w:bottom w:type="dxa" w:w="90"/>
              <w:right w:type="dxa" w:w="120"/>
            </w:tcMar>
            <w:vAlign w:val="center"/>
          </w:tcPr>
          <w:p>
            <w:r>
              <w:rPr>
                <w:color w:val="2B2B2B"/>
                <w:sz w:val="19"/>
                <w:szCs w:val="19"/>
              </w:rPr>
              <w:t xml:space="preserve">The model's overall ability to rank churners above non-churners</w:t>
            </w:r>
          </w:p>
        </w:tc>
        <w:tc>
          <w:tcPr>
            <w:tcW w:type="dxa" w:w="3850"/>
            <w:shd w:fill="F4F5F7" w:val="clear"/>
            <w:tcMar>
              <w:top w:type="dxa" w:w="90"/>
              <w:left w:type="dxa" w:w="120"/>
              <w:bottom w:type="dxa" w:w="90"/>
              <w:right w:type="dxa" w:w="120"/>
            </w:tcMar>
            <w:vAlign w:val="center"/>
          </w:tcPr>
          <w:p>
            <w:r>
              <w:rPr>
                <w:color w:val="2B2B2B"/>
                <w:sz w:val="19"/>
                <w:szCs w:val="19"/>
              </w:rPr>
              <w:t xml:space="preserve">A threshold-independent view of discrimination power</w:t>
            </w:r>
          </w:p>
        </w:tc>
      </w:tr>
      <w:tr>
        <w:tc>
          <w:tcPr>
            <w:tcW w:type="dxa" w:w="2200"/>
            <w:shd w:fill="FFFFFF" w:val="clear"/>
            <w:tcMar>
              <w:top w:type="dxa" w:w="90"/>
              <w:left w:type="dxa" w:w="120"/>
              <w:bottom w:type="dxa" w:w="90"/>
              <w:right w:type="dxa" w:w="120"/>
            </w:tcMar>
            <w:vAlign w:val="center"/>
          </w:tcPr>
          <w:p>
            <w:r>
              <w:rPr>
                <w:color w:val="2B2B2B"/>
                <w:sz w:val="19"/>
                <w:szCs w:val="19"/>
              </w:rPr>
              <w:t xml:space="preserve">Accuracy</w:t>
            </w:r>
          </w:p>
        </w:tc>
        <w:tc>
          <w:tcPr>
            <w:tcW w:type="dxa" w:w="3300"/>
            <w:shd w:fill="FFFFFF" w:val="clear"/>
            <w:tcMar>
              <w:top w:type="dxa" w:w="90"/>
              <w:left w:type="dxa" w:w="120"/>
              <w:bottom w:type="dxa" w:w="90"/>
              <w:right w:type="dxa" w:w="120"/>
            </w:tcMar>
            <w:vAlign w:val="center"/>
          </w:tcPr>
          <w:p>
            <w:r>
              <w:rPr>
                <w:color w:val="2B2B2B"/>
                <w:sz w:val="19"/>
                <w:szCs w:val="19"/>
              </w:rPr>
              <w:t xml:space="preserve">Overall % of correct predictions</w:t>
            </w:r>
          </w:p>
        </w:tc>
        <w:tc>
          <w:tcPr>
            <w:tcW w:type="dxa" w:w="3850"/>
            <w:shd w:fill="FFFFFF" w:val="clear"/>
            <w:tcMar>
              <w:top w:type="dxa" w:w="90"/>
              <w:left w:type="dxa" w:w="120"/>
              <w:bottom w:type="dxa" w:w="90"/>
              <w:right w:type="dxa" w:w="120"/>
            </w:tcMar>
            <w:vAlign w:val="center"/>
          </w:tcPr>
          <w:p>
            <w:r>
              <w:rPr>
                <w:color w:val="2B2B2B"/>
                <w:sz w:val="19"/>
                <w:szCs w:val="19"/>
              </w:rPr>
              <w:t xml:space="preserve">Reported for completeness, but misleading alone on imbalanced data</w:t>
            </w:r>
          </w:p>
        </w:tc>
      </w:tr>
    </w:tbl>
    <w:p>
      <w:pPr>
        <w:spacing w:after="100"/>
      </w:pPr>
    </w:p>
    <w:p>
      <w:pPr>
        <w:spacing w:after="160" w:line="300"/>
      </w:pPr>
      <w:r>
        <w:rPr>
          <w:i w:val="false"/>
          <w:iCs w:val="false"/>
          <w:color w:val="2B2B2B"/>
          <w:sz w:val="21"/>
          <w:szCs w:val="21"/>
        </w:rPr>
        <w:t xml:space="preserve">Results on the held-out test set, full feature set:</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350"/>
        <w:gridCol w:w="3000"/>
        <w:gridCol w:w="3000"/>
      </w:tblGrid>
      <w:tr>
        <w:trPr>
          <w:tblHeader/>
        </w:trPr>
        <w:tc>
          <w:tcPr>
            <w:tcW w:type="dxa" w:w="3350"/>
            <w:shd w:fill="1F2A44" w:val="clear"/>
            <w:tcMar>
              <w:top w:type="dxa" w:w="100"/>
              <w:left w:type="dxa" w:w="120"/>
              <w:bottom w:type="dxa" w:w="100"/>
              <w:right w:type="dxa" w:w="120"/>
            </w:tcMar>
            <w:vAlign w:val="center"/>
          </w:tcPr>
          <w:p>
            <w:r>
              <w:rPr>
                <w:b/>
                <w:bCs/>
                <w:color w:val="FFFFFF"/>
                <w:sz w:val="19"/>
                <w:szCs w:val="19"/>
              </w:rPr>
              <w:t xml:space="preserve">Metric</w:t>
            </w:r>
          </w:p>
        </w:tc>
        <w:tc>
          <w:tcPr>
            <w:tcW w:type="dxa" w:w="3000"/>
            <w:shd w:fill="1F2A44" w:val="clear"/>
            <w:tcMar>
              <w:top w:type="dxa" w:w="100"/>
              <w:left w:type="dxa" w:w="120"/>
              <w:bottom w:type="dxa" w:w="100"/>
              <w:right w:type="dxa" w:w="120"/>
            </w:tcMar>
            <w:vAlign w:val="center"/>
          </w:tcPr>
          <w:p>
            <w:r>
              <w:rPr>
                <w:b/>
                <w:bCs/>
                <w:color w:val="FFFFFF"/>
                <w:sz w:val="19"/>
                <w:szCs w:val="19"/>
              </w:rPr>
              <w:t xml:space="preserve">Logistic Regression</w:t>
            </w:r>
          </w:p>
        </w:tc>
        <w:tc>
          <w:tcPr>
            <w:tcW w:type="dxa" w:w="3000"/>
            <w:shd w:fill="1F2A44" w:val="clear"/>
            <w:tcMar>
              <w:top w:type="dxa" w:w="100"/>
              <w:left w:type="dxa" w:w="120"/>
              <w:bottom w:type="dxa" w:w="100"/>
              <w:right w:type="dxa" w:w="120"/>
            </w:tcMar>
            <w:vAlign w:val="center"/>
          </w:tcPr>
          <w:p>
            <w:r>
              <w:rPr>
                <w:b/>
                <w:bCs/>
                <w:color w:val="FFFFFF"/>
                <w:sz w:val="19"/>
                <w:szCs w:val="19"/>
              </w:rPr>
              <w:t xml:space="preserve">XGBoost</w:t>
            </w:r>
          </w:p>
        </w:tc>
      </w:tr>
      <w:tr>
        <w:tc>
          <w:tcPr>
            <w:tcW w:type="dxa" w:w="3350"/>
            <w:shd w:fill="FFFFFF" w:val="clear"/>
            <w:tcMar>
              <w:top w:type="dxa" w:w="90"/>
              <w:left w:type="dxa" w:w="120"/>
              <w:bottom w:type="dxa" w:w="90"/>
              <w:right w:type="dxa" w:w="120"/>
            </w:tcMar>
            <w:vAlign w:val="center"/>
          </w:tcPr>
          <w:p>
            <w:r>
              <w:rPr>
                <w:color w:val="2B2B2B"/>
                <w:sz w:val="19"/>
                <w:szCs w:val="19"/>
              </w:rPr>
              <w:t xml:space="preserve">Accuracy</w:t>
            </w:r>
          </w:p>
        </w:tc>
        <w:tc>
          <w:tcPr>
            <w:tcW w:type="dxa" w:w="3000"/>
            <w:shd w:fill="FFFFFF" w:val="clear"/>
            <w:tcMar>
              <w:top w:type="dxa" w:w="90"/>
              <w:left w:type="dxa" w:w="120"/>
              <w:bottom w:type="dxa" w:w="90"/>
              <w:right w:type="dxa" w:w="120"/>
            </w:tcMar>
            <w:vAlign w:val="center"/>
          </w:tcPr>
          <w:p>
            <w:r>
              <w:rPr>
                <w:color w:val="2B2B2B"/>
                <w:sz w:val="19"/>
                <w:szCs w:val="19"/>
              </w:rPr>
              <w:t xml:space="preserve">98%</w:t>
            </w:r>
          </w:p>
        </w:tc>
        <w:tc>
          <w:tcPr>
            <w:tcW w:type="dxa" w:w="3000"/>
            <w:shd w:fill="FFFFFF" w:val="clear"/>
            <w:tcMar>
              <w:top w:type="dxa" w:w="90"/>
              <w:left w:type="dxa" w:w="120"/>
              <w:bottom w:type="dxa" w:w="90"/>
              <w:right w:type="dxa" w:w="120"/>
            </w:tcMar>
            <w:vAlign w:val="center"/>
          </w:tcPr>
          <w:p>
            <w:r>
              <w:rPr>
                <w:color w:val="2B2B2B"/>
                <w:sz w:val="19"/>
                <w:szCs w:val="19"/>
              </w:rPr>
              <w:t xml:space="preserve">97%</w:t>
            </w:r>
          </w:p>
        </w:tc>
      </w:tr>
      <w:tr>
        <w:tc>
          <w:tcPr>
            <w:tcW w:type="dxa" w:w="3350"/>
            <w:shd w:fill="F4F5F7" w:val="clear"/>
            <w:tcMar>
              <w:top w:type="dxa" w:w="90"/>
              <w:left w:type="dxa" w:w="120"/>
              <w:bottom w:type="dxa" w:w="90"/>
              <w:right w:type="dxa" w:w="120"/>
            </w:tcMar>
            <w:vAlign w:val="center"/>
          </w:tcPr>
          <w:p>
            <w:r>
              <w:rPr>
                <w:color w:val="2B2B2B"/>
                <w:sz w:val="19"/>
                <w:szCs w:val="19"/>
              </w:rPr>
              <w:t xml:space="preserve">Precision (Churned)</w:t>
            </w:r>
          </w:p>
        </w:tc>
        <w:tc>
          <w:tcPr>
            <w:tcW w:type="dxa" w:w="3000"/>
            <w:shd w:fill="F4F5F7" w:val="clear"/>
            <w:tcMar>
              <w:top w:type="dxa" w:w="90"/>
              <w:left w:type="dxa" w:w="120"/>
              <w:bottom w:type="dxa" w:w="90"/>
              <w:right w:type="dxa" w:w="120"/>
            </w:tcMar>
            <w:vAlign w:val="center"/>
          </w:tcPr>
          <w:p>
            <w:r>
              <w:rPr>
                <w:color w:val="2B2B2B"/>
                <w:sz w:val="19"/>
                <w:szCs w:val="19"/>
              </w:rPr>
              <w:t xml:space="preserve">95%</w:t>
            </w:r>
          </w:p>
        </w:tc>
        <w:tc>
          <w:tcPr>
            <w:tcW w:type="dxa" w:w="3000"/>
            <w:shd w:fill="F4F5F7" w:val="clear"/>
            <w:tcMar>
              <w:top w:type="dxa" w:w="90"/>
              <w:left w:type="dxa" w:w="120"/>
              <w:bottom w:type="dxa" w:w="90"/>
              <w:right w:type="dxa" w:w="120"/>
            </w:tcMar>
            <w:vAlign w:val="center"/>
          </w:tcPr>
          <w:p>
            <w:r>
              <w:rPr>
                <w:color w:val="2B2B2B"/>
                <w:sz w:val="19"/>
                <w:szCs w:val="19"/>
              </w:rPr>
              <w:t xml:space="preserve">87%</w:t>
            </w:r>
          </w:p>
        </w:tc>
      </w:tr>
      <w:tr>
        <w:tc>
          <w:tcPr>
            <w:tcW w:type="dxa" w:w="3350"/>
            <w:shd w:fill="FFFFFF" w:val="clear"/>
            <w:tcMar>
              <w:top w:type="dxa" w:w="90"/>
              <w:left w:type="dxa" w:w="120"/>
              <w:bottom w:type="dxa" w:w="90"/>
              <w:right w:type="dxa" w:w="120"/>
            </w:tcMar>
            <w:vAlign w:val="center"/>
          </w:tcPr>
          <w:p>
            <w:r>
              <w:rPr>
                <w:color w:val="2B2B2B"/>
                <w:sz w:val="19"/>
                <w:szCs w:val="19"/>
              </w:rPr>
              <w:t xml:space="preserve">Recall (Churned)</w:t>
            </w:r>
          </w:p>
        </w:tc>
        <w:tc>
          <w:tcPr>
            <w:tcW w:type="dxa" w:w="3000"/>
            <w:shd w:fill="FFFFFF" w:val="clear"/>
            <w:tcMar>
              <w:top w:type="dxa" w:w="90"/>
              <w:left w:type="dxa" w:w="120"/>
              <w:bottom w:type="dxa" w:w="90"/>
              <w:right w:type="dxa" w:w="120"/>
            </w:tcMar>
            <w:vAlign w:val="center"/>
          </w:tcPr>
          <w:p>
            <w:r>
              <w:rPr>
                <w:color w:val="2B2B2B"/>
                <w:sz w:val="19"/>
                <w:szCs w:val="19"/>
              </w:rPr>
              <w:t xml:space="preserve">89%</w:t>
            </w:r>
          </w:p>
        </w:tc>
        <w:tc>
          <w:tcPr>
            <w:tcW w:type="dxa" w:w="3000"/>
            <w:shd w:fill="FFFFFF" w:val="clear"/>
            <w:tcMar>
              <w:top w:type="dxa" w:w="90"/>
              <w:left w:type="dxa" w:w="120"/>
              <w:bottom w:type="dxa" w:w="90"/>
              <w:right w:type="dxa" w:w="120"/>
            </w:tcMar>
            <w:vAlign w:val="center"/>
          </w:tcPr>
          <w:p>
            <w:r>
              <w:rPr>
                <w:color w:val="2B2B2B"/>
                <w:sz w:val="19"/>
                <w:szCs w:val="19"/>
              </w:rPr>
              <w:t xml:space="preserve">95%</w:t>
            </w:r>
          </w:p>
        </w:tc>
      </w:tr>
      <w:tr>
        <w:tc>
          <w:tcPr>
            <w:tcW w:type="dxa" w:w="3350"/>
            <w:shd w:fill="F4F5F7" w:val="clear"/>
            <w:tcMar>
              <w:top w:type="dxa" w:w="90"/>
              <w:left w:type="dxa" w:w="120"/>
              <w:bottom w:type="dxa" w:w="90"/>
              <w:right w:type="dxa" w:w="120"/>
            </w:tcMar>
            <w:vAlign w:val="center"/>
          </w:tcPr>
          <w:p>
            <w:r>
              <w:rPr>
                <w:color w:val="2B2B2B"/>
                <w:sz w:val="19"/>
                <w:szCs w:val="19"/>
              </w:rPr>
              <w:t xml:space="preserve">AUC-ROC</w:t>
            </w:r>
          </w:p>
        </w:tc>
        <w:tc>
          <w:tcPr>
            <w:tcW w:type="dxa" w:w="3000"/>
            <w:shd w:fill="F4F5F7" w:val="clear"/>
            <w:tcMar>
              <w:top w:type="dxa" w:w="90"/>
              <w:left w:type="dxa" w:w="120"/>
              <w:bottom w:type="dxa" w:w="90"/>
              <w:right w:type="dxa" w:w="120"/>
            </w:tcMar>
            <w:vAlign w:val="center"/>
          </w:tcPr>
          <w:p>
            <w:r>
              <w:rPr>
                <w:color w:val="2B2B2B"/>
                <w:sz w:val="19"/>
                <w:szCs w:val="19"/>
              </w:rPr>
              <w:t xml:space="preserve">0.9857</w:t>
            </w:r>
          </w:p>
        </w:tc>
        <w:tc>
          <w:tcPr>
            <w:tcW w:type="dxa" w:w="3000"/>
            <w:shd w:fill="F4F5F7" w:val="clear"/>
            <w:tcMar>
              <w:top w:type="dxa" w:w="90"/>
              <w:left w:type="dxa" w:w="120"/>
              <w:bottom w:type="dxa" w:w="90"/>
              <w:right w:type="dxa" w:w="120"/>
            </w:tcMar>
            <w:vAlign w:val="center"/>
          </w:tcPr>
          <w:p>
            <w:r>
              <w:rPr>
                <w:color w:val="2B2B2B"/>
                <w:sz w:val="19"/>
                <w:szCs w:val="19"/>
              </w:rPr>
              <w:t xml:space="preserve">0.9906</w:t>
            </w:r>
          </w:p>
        </w:tc>
      </w:tr>
    </w:tbl>
    <w:p>
      <w:pPr>
        <w:spacing w:after="100"/>
      </w:pPr>
    </w:p>
    <w:tbl>
      <w:tblPr>
        <w:tblW w:type="pct" w:w="100%"/>
        <w:tblBorders>
          <w:top w:val="single" w:color="534AB7" w:sz="4"/>
          <w:left w:val="single" w:color="534AB7" w:sz="24"/>
          <w:bottom w:val="single" w:color="534AB7"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Model choice: Logistic Regression has higher precision but noticeably lower recall — it misses more actual churners. XGBoost trades some precision for a 6-point recall gain. Since a missed churner (lost customer, no intervention) is more costly than a false alarm (an unnecessary but low-cost retention offer), and GridSearchCV was explicitly tuned for recall, XGBoost was selected as the final production model.</w:t>
            </w:r>
          </w:p>
        </w:tc>
      </w:tr>
    </w:tbl>
    <w:p>
      <w:pPr>
        <w:spacing w:after="100"/>
      </w:pPr>
    </w:p>
    <w:p>
      <w:pPr>
        <w:spacing w:after="160" w:line="300"/>
      </w:pPr>
      <w:r>
        <w:rPr>
          <w:i w:val="false"/>
          <w:iCs w:val="false"/>
          <w:color w:val="2B2B2B"/>
          <w:sz w:val="21"/>
          <w:szCs w:val="21"/>
        </w:rPr>
        <w:t xml:space="preserve">A second XGBoost pass, trained only on the subset of features exceeding 1% importance (14 features instead of 28), produced nearly identical performance (94% recall, AUC-ROC 0.9912) — confirming that a small core set of features carries almost all of the model's predictive power.</w:t>
      </w:r>
    </w:p>
    <w:p>
      <w:pPr>
        <w:spacing w:after="100" w:before="220"/>
      </w:pPr>
      <w:r>
        <w:rPr>
          <w:b/>
          <w:bCs/>
          <w:color w:val="1F2A44"/>
          <w:sz w:val="22"/>
          <w:szCs w:val="22"/>
        </w:rPr>
        <w:t xml:space="preserve">Feature Importance</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4675"/>
        <w:gridCol w:w="4675"/>
      </w:tblGrid>
      <w:tr>
        <w:trPr>
          <w:tblHeader/>
        </w:trPr>
        <w:tc>
          <w:tcPr>
            <w:tcW w:type="dxa" w:w="4675"/>
            <w:shd w:fill="1F2A44" w:val="clear"/>
            <w:tcMar>
              <w:top w:type="dxa" w:w="100"/>
              <w:left w:type="dxa" w:w="120"/>
              <w:bottom w:type="dxa" w:w="100"/>
              <w:right w:type="dxa" w:w="120"/>
            </w:tcMar>
            <w:vAlign w:val="center"/>
          </w:tcPr>
          <w:p>
            <w:r>
              <w:rPr>
                <w:b/>
                <w:bCs/>
                <w:color w:val="FFFFFF"/>
                <w:sz w:val="19"/>
                <w:szCs w:val="19"/>
              </w:rPr>
              <w:t xml:space="preserve">Feature</w:t>
            </w:r>
          </w:p>
        </w:tc>
        <w:tc>
          <w:tcPr>
            <w:tcW w:type="dxa" w:w="4675"/>
            <w:shd w:fill="1F2A44" w:val="clear"/>
            <w:tcMar>
              <w:top w:type="dxa" w:w="100"/>
              <w:left w:type="dxa" w:w="120"/>
              <w:bottom w:type="dxa" w:w="100"/>
              <w:right w:type="dxa" w:w="120"/>
            </w:tcMar>
            <w:vAlign w:val="center"/>
          </w:tcPr>
          <w:p>
            <w:r>
              <w:rPr>
                <w:b/>
                <w:bCs/>
                <w:color w:val="FFFFFF"/>
                <w:sz w:val="19"/>
                <w:szCs w:val="19"/>
              </w:rPr>
              <w:t xml:space="preserve">Importance</w:t>
            </w:r>
          </w:p>
        </w:tc>
      </w:tr>
      <w:tr>
        <w:tc>
          <w:tcPr>
            <w:tcW w:type="dxa" w:w="4675"/>
            <w:shd w:fill="FFFFFF" w:val="clear"/>
            <w:tcMar>
              <w:top w:type="dxa" w:w="90"/>
              <w:left w:type="dxa" w:w="120"/>
              <w:bottom w:type="dxa" w:w="90"/>
              <w:right w:type="dxa" w:w="120"/>
            </w:tcMar>
            <w:vAlign w:val="center"/>
          </w:tcPr>
          <w:p>
            <w:r>
              <w:rPr>
                <w:color w:val="2B2B2B"/>
                <w:sz w:val="19"/>
                <w:szCs w:val="19"/>
              </w:rPr>
              <w:t xml:space="preserve">Months_Since_Last_Flight</w:t>
            </w:r>
          </w:p>
        </w:tc>
        <w:tc>
          <w:tcPr>
            <w:tcW w:type="dxa" w:w="4675"/>
            <w:shd w:fill="FFFFFF" w:val="clear"/>
            <w:tcMar>
              <w:top w:type="dxa" w:w="90"/>
              <w:left w:type="dxa" w:w="120"/>
              <w:bottom w:type="dxa" w:w="90"/>
              <w:right w:type="dxa" w:w="120"/>
            </w:tcMar>
            <w:vAlign w:val="center"/>
          </w:tcPr>
          <w:p>
            <w:r>
              <w:rPr>
                <w:color w:val="2B2B2B"/>
                <w:sz w:val="19"/>
                <w:szCs w:val="19"/>
              </w:rPr>
              <w:t xml:space="preserve">26.6%</w:t>
            </w:r>
          </w:p>
        </w:tc>
      </w:tr>
      <w:tr>
        <w:tc>
          <w:tcPr>
            <w:tcW w:type="dxa" w:w="4675"/>
            <w:shd w:fill="F4F5F7" w:val="clear"/>
            <w:tcMar>
              <w:top w:type="dxa" w:w="90"/>
              <w:left w:type="dxa" w:w="120"/>
              <w:bottom w:type="dxa" w:w="90"/>
              <w:right w:type="dxa" w:w="120"/>
            </w:tcMar>
            <w:vAlign w:val="center"/>
          </w:tcPr>
          <w:p>
            <w:r>
              <w:rPr>
                <w:color w:val="2B2B2B"/>
                <w:sz w:val="19"/>
                <w:szCs w:val="19"/>
              </w:rPr>
              <w:t xml:space="preserve">Flights_Fall</w:t>
            </w:r>
          </w:p>
        </w:tc>
        <w:tc>
          <w:tcPr>
            <w:tcW w:type="dxa" w:w="4675"/>
            <w:shd w:fill="F4F5F7" w:val="clear"/>
            <w:tcMar>
              <w:top w:type="dxa" w:w="90"/>
              <w:left w:type="dxa" w:w="120"/>
              <w:bottom w:type="dxa" w:w="90"/>
              <w:right w:type="dxa" w:w="120"/>
            </w:tcMar>
            <w:vAlign w:val="center"/>
          </w:tcPr>
          <w:p>
            <w:r>
              <w:rPr>
                <w:color w:val="2B2B2B"/>
                <w:sz w:val="19"/>
                <w:szCs w:val="19"/>
              </w:rPr>
              <w:t xml:space="preserve">22.6%</w:t>
            </w:r>
          </w:p>
        </w:tc>
      </w:tr>
      <w:tr>
        <w:tc>
          <w:tcPr>
            <w:tcW w:type="dxa" w:w="4675"/>
            <w:shd w:fill="FFFFFF" w:val="clear"/>
            <w:tcMar>
              <w:top w:type="dxa" w:w="90"/>
              <w:left w:type="dxa" w:w="120"/>
              <w:bottom w:type="dxa" w:w="90"/>
              <w:right w:type="dxa" w:w="120"/>
            </w:tcMar>
            <w:vAlign w:val="center"/>
          </w:tcPr>
          <w:p>
            <w:r>
              <w:rPr>
                <w:color w:val="2B2B2B"/>
                <w:sz w:val="19"/>
                <w:szCs w:val="19"/>
              </w:rPr>
              <w:t xml:space="preserve">Flight_consistency_score</w:t>
            </w:r>
          </w:p>
        </w:tc>
        <w:tc>
          <w:tcPr>
            <w:tcW w:type="dxa" w:w="4675"/>
            <w:shd w:fill="FFFFFF" w:val="clear"/>
            <w:tcMar>
              <w:top w:type="dxa" w:w="90"/>
              <w:left w:type="dxa" w:w="120"/>
              <w:bottom w:type="dxa" w:w="90"/>
              <w:right w:type="dxa" w:w="120"/>
            </w:tcMar>
            <w:vAlign w:val="center"/>
          </w:tcPr>
          <w:p>
            <w:r>
              <w:rPr>
                <w:color w:val="2B2B2B"/>
                <w:sz w:val="19"/>
                <w:szCs w:val="19"/>
              </w:rPr>
              <w:t xml:space="preserve">11.3%</w:t>
            </w:r>
          </w:p>
        </w:tc>
      </w:tr>
      <w:tr>
        <w:tc>
          <w:tcPr>
            <w:tcW w:type="dxa" w:w="4675"/>
            <w:shd w:fill="F4F5F7" w:val="clear"/>
            <w:tcMar>
              <w:top w:type="dxa" w:w="90"/>
              <w:left w:type="dxa" w:w="120"/>
              <w:bottom w:type="dxa" w:w="90"/>
              <w:right w:type="dxa" w:w="120"/>
            </w:tcMar>
            <w:vAlign w:val="center"/>
          </w:tcPr>
          <w:p>
            <w:r>
              <w:rPr>
                <w:color w:val="2B2B2B"/>
                <w:sz w:val="19"/>
                <w:szCs w:val="19"/>
              </w:rPr>
              <w:t xml:space="preserve">Avg_Flights_Month</w:t>
            </w:r>
          </w:p>
        </w:tc>
        <w:tc>
          <w:tcPr>
            <w:tcW w:type="dxa" w:w="4675"/>
            <w:shd w:fill="F4F5F7" w:val="clear"/>
            <w:tcMar>
              <w:top w:type="dxa" w:w="90"/>
              <w:left w:type="dxa" w:w="120"/>
              <w:bottom w:type="dxa" w:w="90"/>
              <w:right w:type="dxa" w:w="120"/>
            </w:tcMar>
            <w:vAlign w:val="center"/>
          </w:tcPr>
          <w:p>
            <w:r>
              <w:rPr>
                <w:color w:val="2B2B2B"/>
                <w:sz w:val="19"/>
                <w:szCs w:val="19"/>
              </w:rPr>
              <w:t xml:space="preserve">6.9%</w:t>
            </w:r>
          </w:p>
        </w:tc>
      </w:tr>
      <w:tr>
        <w:tc>
          <w:tcPr>
            <w:tcW w:type="dxa" w:w="4675"/>
            <w:shd w:fill="FFFFFF" w:val="clear"/>
            <w:tcMar>
              <w:top w:type="dxa" w:w="90"/>
              <w:left w:type="dxa" w:w="120"/>
              <w:bottom w:type="dxa" w:w="90"/>
              <w:right w:type="dxa" w:w="120"/>
            </w:tcMar>
            <w:vAlign w:val="center"/>
          </w:tcPr>
          <w:p>
            <w:r>
              <w:rPr>
                <w:color w:val="2B2B2B"/>
                <w:sz w:val="19"/>
                <w:szCs w:val="19"/>
              </w:rPr>
              <w:t xml:space="preserve">Enrollment Type</w:t>
            </w:r>
          </w:p>
        </w:tc>
        <w:tc>
          <w:tcPr>
            <w:tcW w:type="dxa" w:w="4675"/>
            <w:shd w:fill="FFFFFF" w:val="clear"/>
            <w:tcMar>
              <w:top w:type="dxa" w:w="90"/>
              <w:left w:type="dxa" w:w="120"/>
              <w:bottom w:type="dxa" w:w="90"/>
              <w:right w:type="dxa" w:w="120"/>
            </w:tcMar>
            <w:vAlign w:val="center"/>
          </w:tcPr>
          <w:p>
            <w:r>
              <w:rPr>
                <w:color w:val="2B2B2B"/>
                <w:sz w:val="19"/>
                <w:szCs w:val="19"/>
              </w:rPr>
              <w:t xml:space="preserve">6.0%</w:t>
            </w:r>
          </w:p>
        </w:tc>
      </w:tr>
      <w:tr>
        <w:tc>
          <w:tcPr>
            <w:tcW w:type="dxa" w:w="4675"/>
            <w:shd w:fill="F4F5F7" w:val="clear"/>
            <w:tcMar>
              <w:top w:type="dxa" w:w="90"/>
              <w:left w:type="dxa" w:w="120"/>
              <w:bottom w:type="dxa" w:w="90"/>
              <w:right w:type="dxa" w:w="120"/>
            </w:tcMar>
            <w:vAlign w:val="center"/>
          </w:tcPr>
          <w:p>
            <w:r>
              <w:rPr>
                <w:color w:val="2B2B2B"/>
                <w:sz w:val="19"/>
                <w:szCs w:val="19"/>
              </w:rPr>
              <w:t xml:space="preserve">Zero_Activity_Months</w:t>
            </w:r>
          </w:p>
        </w:tc>
        <w:tc>
          <w:tcPr>
            <w:tcW w:type="dxa" w:w="4675"/>
            <w:shd w:fill="F4F5F7" w:val="clear"/>
            <w:tcMar>
              <w:top w:type="dxa" w:w="90"/>
              <w:left w:type="dxa" w:w="120"/>
              <w:bottom w:type="dxa" w:w="90"/>
              <w:right w:type="dxa" w:w="120"/>
            </w:tcMar>
            <w:vAlign w:val="center"/>
          </w:tcPr>
          <w:p>
            <w:r>
              <w:rPr>
                <w:color w:val="2B2B2B"/>
                <w:sz w:val="19"/>
                <w:szCs w:val="19"/>
              </w:rPr>
              <w:t xml:space="preserve">3.5%</w:t>
            </w:r>
          </w:p>
        </w:tc>
      </w:tr>
    </w:tbl>
    <w:p>
      <w:pPr>
        <w:spacing w:after="100"/>
      </w:pPr>
    </w:p>
    <w:p>
      <w:pPr>
        <w:spacing w:after="160" w:line="300"/>
      </w:pPr>
      <w:r>
        <w:rPr>
          <w:i w:val="false"/>
          <w:iCs w:val="false"/>
          <w:color w:val="2B2B2B"/>
          <w:sz w:val="21"/>
          <w:szCs w:val="21"/>
        </w:rPr>
        <w:t xml:space="preserve">Recency (Months_Since_Last_Flight) and Fall-season inactivity together account for roughly half of the model's total predictive power. The seasonal signal is a notable finding on its own: a customer's behavior during the airline's traditionally quieter months (Fall/Winter) turned out to be more diagnostic of genuine disengagement than behavior during peak summer travel, when almost everyone flies regardless of loyalty.</w:t>
      </w:r>
    </w:p>
    <w:p>
      <w:pPr>
        <w:spacing w:after="100" w:before="220"/>
      </w:pPr>
      <w:r>
        <w:rPr>
          <w:b/>
          <w:bCs/>
          <w:color w:val="1F2A44"/>
          <w:sz w:val="22"/>
          <w:szCs w:val="22"/>
        </w:rPr>
        <w:t xml:space="preserve">From Probability to Action — Risk Tiers</w:t>
      </w:r>
    </w:p>
    <w:p>
      <w:pPr>
        <w:spacing w:after="160" w:line="300"/>
      </w:pPr>
      <w:r>
        <w:rPr>
          <w:i w:val="false"/>
          <w:iCs w:val="false"/>
          <w:color w:val="2B2B2B"/>
          <w:sz w:val="21"/>
          <w:szCs w:val="21"/>
        </w:rPr>
        <w:t xml:space="preserve">Rather than only outputting a binary churned/not-churned label, the model produces a continuous churn probability (0 to 1) for every customer, which is more useful operationally — a 45% risk customer needs a different response than a 2% risk customer. These probabilities were bucketed into three actionable tiers: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350"/>
        <w:gridCol w:w="2350"/>
        <w:gridCol w:w="1975"/>
        <w:gridCol w:w="2350"/>
      </w:tblGrid>
      <w:tr>
        <w:trPr>
          <w:tblHeader/>
        </w:trPr>
        <w:tc>
          <w:tcPr>
            <w:tcW w:type="dxa" w:w="2350"/>
            <w:shd w:fill="1F2A44" w:val="clear"/>
            <w:tcMar>
              <w:top w:type="dxa" w:w="100"/>
              <w:left w:type="dxa" w:w="120"/>
              <w:bottom w:type="dxa" w:w="100"/>
              <w:right w:type="dxa" w:w="120"/>
            </w:tcMar>
            <w:vAlign w:val="center"/>
          </w:tcPr>
          <w:p>
            <w:r>
              <w:rPr>
                <w:b/>
                <w:bCs/>
                <w:color w:val="FFFFFF"/>
                <w:sz w:val="19"/>
                <w:szCs w:val="19"/>
              </w:rPr>
              <w:t xml:space="preserve">Risk Tier</w:t>
            </w:r>
          </w:p>
        </w:tc>
        <w:tc>
          <w:tcPr>
            <w:tcW w:type="dxa" w:w="2350"/>
            <w:shd w:fill="1F2A44" w:val="clear"/>
            <w:tcMar>
              <w:top w:type="dxa" w:w="100"/>
              <w:left w:type="dxa" w:w="120"/>
              <w:bottom w:type="dxa" w:w="100"/>
              <w:right w:type="dxa" w:w="120"/>
            </w:tcMar>
            <w:vAlign w:val="center"/>
          </w:tcPr>
          <w:p>
            <w:r>
              <w:rPr>
                <w:b/>
                <w:bCs/>
                <w:color w:val="FFFFFF"/>
                <w:sz w:val="19"/>
                <w:szCs w:val="19"/>
              </w:rPr>
              <w:t xml:space="preserve">Probability</w:t>
            </w:r>
          </w:p>
        </w:tc>
        <w:tc>
          <w:tcPr>
            <w:tcW w:type="dxa" w:w="1975"/>
            <w:shd w:fill="1F2A44" w:val="clear"/>
            <w:tcMar>
              <w:top w:type="dxa" w:w="100"/>
              <w:left w:type="dxa" w:w="120"/>
              <w:bottom w:type="dxa" w:w="100"/>
              <w:right w:type="dxa" w:w="120"/>
            </w:tcMar>
            <w:vAlign w:val="center"/>
          </w:tcPr>
          <w:p>
            <w:r>
              <w:rPr>
                <w:b/>
                <w:bCs/>
                <w:color w:val="FFFFFF"/>
                <w:sz w:val="19"/>
                <w:szCs w:val="19"/>
              </w:rPr>
              <w:t xml:space="preserve">% of Base</w:t>
            </w:r>
          </w:p>
        </w:tc>
        <w:tc>
          <w:tcPr>
            <w:tcW w:type="dxa" w:w="2350"/>
            <w:shd w:fill="1F2A44" w:val="clear"/>
            <w:tcMar>
              <w:top w:type="dxa" w:w="100"/>
              <w:left w:type="dxa" w:w="120"/>
              <w:bottom w:type="dxa" w:w="100"/>
              <w:right w:type="dxa" w:w="120"/>
            </w:tcMar>
            <w:vAlign w:val="center"/>
          </w:tcPr>
          <w:p>
            <w:r>
              <w:rPr>
                <w:b/>
                <w:bCs/>
                <w:color w:val="FFFFFF"/>
                <w:sz w:val="19"/>
                <w:szCs w:val="19"/>
              </w:rPr>
              <w:t xml:space="preserve">Actual Churn Rate Observed</w:t>
            </w:r>
          </w:p>
        </w:tc>
      </w:tr>
      <w:tr>
        <w:tc>
          <w:tcPr>
            <w:tcW w:type="dxa" w:w="2350"/>
            <w:shd w:fill="FFFFFF" w:val="clear"/>
            <w:tcMar>
              <w:top w:type="dxa" w:w="90"/>
              <w:left w:type="dxa" w:w="120"/>
              <w:bottom w:type="dxa" w:w="90"/>
              <w:right w:type="dxa" w:w="120"/>
            </w:tcMar>
            <w:vAlign w:val="center"/>
          </w:tcPr>
          <w:p>
            <w:r>
              <w:rPr>
                <w:color w:val="2B2B2B"/>
                <w:sz w:val="19"/>
                <w:szCs w:val="19"/>
              </w:rPr>
              <w:t xml:space="preserve">High Risk</w:t>
            </w:r>
          </w:p>
        </w:tc>
        <w:tc>
          <w:tcPr>
            <w:tcW w:type="dxa" w:w="2350"/>
            <w:shd w:fill="FFFFFF" w:val="clear"/>
            <w:tcMar>
              <w:top w:type="dxa" w:w="90"/>
              <w:left w:type="dxa" w:w="120"/>
              <w:bottom w:type="dxa" w:w="90"/>
              <w:right w:type="dxa" w:w="120"/>
            </w:tcMar>
            <w:vAlign w:val="center"/>
          </w:tcPr>
          <w:p>
            <w:r>
              <w:rPr>
                <w:color w:val="2B2B2B"/>
                <w:sz w:val="19"/>
                <w:szCs w:val="19"/>
              </w:rPr>
              <w:t xml:space="preserve">≥ 0.50</w:t>
            </w:r>
          </w:p>
        </w:tc>
        <w:tc>
          <w:tcPr>
            <w:tcW w:type="dxa" w:w="1975"/>
            <w:shd w:fill="FFFFFF" w:val="clear"/>
            <w:tcMar>
              <w:top w:type="dxa" w:w="90"/>
              <w:left w:type="dxa" w:w="120"/>
              <w:bottom w:type="dxa" w:w="90"/>
              <w:right w:type="dxa" w:w="120"/>
            </w:tcMar>
            <w:vAlign w:val="center"/>
          </w:tcPr>
          <w:p>
            <w:r>
              <w:rPr>
                <w:color w:val="2B2B2B"/>
                <w:sz w:val="19"/>
                <w:szCs w:val="19"/>
              </w:rPr>
              <w:t xml:space="preserve">17.5%</w:t>
            </w:r>
          </w:p>
        </w:tc>
        <w:tc>
          <w:tcPr>
            <w:tcW w:type="dxa" w:w="2350"/>
            <w:shd w:fill="FFFFFF" w:val="clear"/>
            <w:tcMar>
              <w:top w:type="dxa" w:w="90"/>
              <w:left w:type="dxa" w:w="120"/>
              <w:bottom w:type="dxa" w:w="90"/>
              <w:right w:type="dxa" w:w="120"/>
            </w:tcMar>
            <w:vAlign w:val="center"/>
          </w:tcPr>
          <w:p>
            <w:r>
              <w:rPr>
                <w:color w:val="2B2B2B"/>
                <w:sz w:val="19"/>
                <w:szCs w:val="19"/>
              </w:rPr>
              <w:t xml:space="preserve">95.4%</w:t>
            </w:r>
          </w:p>
        </w:tc>
      </w:tr>
      <w:tr>
        <w:tc>
          <w:tcPr>
            <w:tcW w:type="dxa" w:w="2350"/>
            <w:shd w:fill="F4F5F7" w:val="clear"/>
            <w:tcMar>
              <w:top w:type="dxa" w:w="90"/>
              <w:left w:type="dxa" w:w="120"/>
              <w:bottom w:type="dxa" w:w="90"/>
              <w:right w:type="dxa" w:w="120"/>
            </w:tcMar>
            <w:vAlign w:val="center"/>
          </w:tcPr>
          <w:p>
            <w:r>
              <w:rPr>
                <w:color w:val="2B2B2B"/>
                <w:sz w:val="19"/>
                <w:szCs w:val="19"/>
              </w:rPr>
              <w:t xml:space="preserve">Medium Risk</w:t>
            </w:r>
          </w:p>
        </w:tc>
        <w:tc>
          <w:tcPr>
            <w:tcW w:type="dxa" w:w="2350"/>
            <w:shd w:fill="F4F5F7" w:val="clear"/>
            <w:tcMar>
              <w:top w:type="dxa" w:w="90"/>
              <w:left w:type="dxa" w:w="120"/>
              <w:bottom w:type="dxa" w:w="90"/>
              <w:right w:type="dxa" w:w="120"/>
            </w:tcMar>
            <w:vAlign w:val="center"/>
          </w:tcPr>
          <w:p>
            <w:r>
              <w:rPr>
                <w:color w:val="2B2B2B"/>
                <w:sz w:val="19"/>
                <w:szCs w:val="19"/>
              </w:rPr>
              <w:t xml:space="preserve">0.20 – 0.49</w:t>
            </w:r>
          </w:p>
        </w:tc>
        <w:tc>
          <w:tcPr>
            <w:tcW w:type="dxa" w:w="1975"/>
            <w:shd w:fill="F4F5F7" w:val="clear"/>
            <w:tcMar>
              <w:top w:type="dxa" w:w="90"/>
              <w:left w:type="dxa" w:w="120"/>
              <w:bottom w:type="dxa" w:w="90"/>
              <w:right w:type="dxa" w:w="120"/>
            </w:tcMar>
            <w:vAlign w:val="center"/>
          </w:tcPr>
          <w:p>
            <w:r>
              <w:rPr>
                <w:color w:val="2B2B2B"/>
                <w:sz w:val="19"/>
                <w:szCs w:val="19"/>
              </w:rPr>
              <w:t xml:space="preserve">4.4%</w:t>
            </w:r>
          </w:p>
        </w:tc>
        <w:tc>
          <w:tcPr>
            <w:tcW w:type="dxa" w:w="2350"/>
            <w:shd w:fill="F4F5F7" w:val="clear"/>
            <w:tcMar>
              <w:top w:type="dxa" w:w="90"/>
              <w:left w:type="dxa" w:w="120"/>
              <w:bottom w:type="dxa" w:w="90"/>
              <w:right w:type="dxa" w:w="120"/>
            </w:tcMar>
            <w:vAlign w:val="center"/>
          </w:tcPr>
          <w:p>
            <w:r>
              <w:rPr>
                <w:color w:val="2B2B2B"/>
                <w:sz w:val="19"/>
                <w:szCs w:val="19"/>
              </w:rPr>
              <w:t xml:space="preserve">~2.6%</w:t>
            </w:r>
          </w:p>
        </w:tc>
      </w:tr>
      <w:tr>
        <w:tc>
          <w:tcPr>
            <w:tcW w:type="dxa" w:w="2350"/>
            <w:shd w:fill="FFFFFF" w:val="clear"/>
            <w:tcMar>
              <w:top w:type="dxa" w:w="90"/>
              <w:left w:type="dxa" w:w="120"/>
              <w:bottom w:type="dxa" w:w="90"/>
              <w:right w:type="dxa" w:w="120"/>
            </w:tcMar>
            <w:vAlign w:val="center"/>
          </w:tcPr>
          <w:p>
            <w:r>
              <w:rPr>
                <w:color w:val="2B2B2B"/>
                <w:sz w:val="19"/>
                <w:szCs w:val="19"/>
              </w:rPr>
              <w:t xml:space="preserve">Low Risk</w:t>
            </w:r>
          </w:p>
        </w:tc>
        <w:tc>
          <w:tcPr>
            <w:tcW w:type="dxa" w:w="2350"/>
            <w:shd w:fill="FFFFFF" w:val="clear"/>
            <w:tcMar>
              <w:top w:type="dxa" w:w="90"/>
              <w:left w:type="dxa" w:w="120"/>
              <w:bottom w:type="dxa" w:w="90"/>
              <w:right w:type="dxa" w:w="120"/>
            </w:tcMar>
            <w:vAlign w:val="center"/>
          </w:tcPr>
          <w:p>
            <w:r>
              <w:rPr>
                <w:color w:val="2B2B2B"/>
                <w:sz w:val="19"/>
                <w:szCs w:val="19"/>
              </w:rPr>
              <w:t xml:space="preserve">&lt; 0.20</w:t>
            </w:r>
          </w:p>
        </w:tc>
        <w:tc>
          <w:tcPr>
            <w:tcW w:type="dxa" w:w="1975"/>
            <w:shd w:fill="FFFFFF" w:val="clear"/>
            <w:tcMar>
              <w:top w:type="dxa" w:w="90"/>
              <w:left w:type="dxa" w:w="120"/>
              <w:bottom w:type="dxa" w:w="90"/>
              <w:right w:type="dxa" w:w="120"/>
            </w:tcMar>
            <w:vAlign w:val="center"/>
          </w:tcPr>
          <w:p>
            <w:r>
              <w:rPr>
                <w:color w:val="2B2B2B"/>
                <w:sz w:val="19"/>
                <w:szCs w:val="19"/>
              </w:rPr>
              <w:t xml:space="preserve">78.1%</w:t>
            </w:r>
          </w:p>
        </w:tc>
        <w:tc>
          <w:tcPr>
            <w:tcW w:type="dxa" w:w="2350"/>
            <w:shd w:fill="FFFFFF" w:val="clear"/>
            <w:tcMar>
              <w:top w:type="dxa" w:w="90"/>
              <w:left w:type="dxa" w:w="120"/>
              <w:bottom w:type="dxa" w:w="90"/>
              <w:right w:type="dxa" w:w="120"/>
            </w:tcMar>
            <w:vAlign w:val="center"/>
          </w:tcPr>
          <w:p>
            <w:r>
              <w:rPr>
                <w:color w:val="2B2B2B"/>
                <w:sz w:val="19"/>
                <w:szCs w:val="19"/>
              </w:rPr>
              <w:t xml:space="preserve">~2.0%</w:t>
            </w:r>
          </w:p>
        </w:tc>
      </w:tr>
    </w:tbl>
    <w:p>
      <w:pPr>
        <w:spacing w:after="100"/>
      </w:pPr>
    </w:p>
    <w:tbl>
      <w:tblPr>
        <w:tblW w:type="pct" w:w="100%"/>
        <w:tblBorders>
          <w:top w:val="single" w:color="1D9E75" w:sz="4"/>
          <w:left w:val="single" w:color="1D9E75" w:sz="24"/>
          <w:bottom w:val="single" w:color="1D9E75"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Business impact: instead of running a retention campaign against all 16,737 members, the airline can focus spend on the ~22% of members in the High + Medium tiers and still catch the overwhelming majority of actual churners — a large efficiency gain in retention budget.</w:t>
            </w:r>
          </w:p>
        </w:tc>
      </w:tr>
    </w:tbl>
    <w:p>
      <w:pPr>
        <w:pStyle w:val="Heading2"/>
        <w:spacing w:after="140" w:before="320"/>
      </w:pPr>
      <w:r>
        <w:rPr>
          <w:b/>
          <w:bCs/>
          <w:color w:val="534AB7"/>
          <w:sz w:val="24"/>
          <w:szCs w:val="24"/>
        </w:rPr>
        <w:t xml:space="preserve">5.2 Task B — Customer Segmentation (K-Means)</w:t>
      </w:r>
    </w:p>
    <w:p>
      <w:pPr>
        <w:spacing w:after="100" w:before="220"/>
      </w:pPr>
      <w:r>
        <w:rPr>
          <w:b/>
          <w:bCs/>
          <w:color w:val="1F2A44"/>
          <w:sz w:val="22"/>
          <w:szCs w:val="22"/>
        </w:rPr>
        <w:t xml:space="preserve">Why K-Means</w:t>
      </w:r>
    </w:p>
    <w:p>
      <w:pPr>
        <w:pStyle w:val="ListParagraph"/>
        <w:numPr>
          <w:ilvl w:val="0"/>
          <w:numId w:val="1"/>
        </w:numPr>
        <w:spacing w:after="90" w:line="290"/>
      </w:pPr>
      <w:r>
        <w:rPr>
          <w:color w:val="2B2B2B"/>
          <w:sz w:val="21"/>
          <w:szCs w:val="21"/>
        </w:rPr>
        <w:t xml:space="preserve">Simple, interpretable, and well understood by non-technical stakeholders.</w:t>
      </w:r>
    </w:p>
    <w:p>
      <w:pPr>
        <w:pStyle w:val="ListParagraph"/>
        <w:numPr>
          <w:ilvl w:val="0"/>
          <w:numId w:val="1"/>
        </w:numPr>
        <w:spacing w:after="90" w:line="290"/>
      </w:pPr>
      <w:r>
        <w:rPr>
          <w:color w:val="2B2B2B"/>
          <w:sz w:val="21"/>
          <w:szCs w:val="21"/>
        </w:rPr>
        <w:t xml:space="preserve">Works well once behavioral features are properly scaled.</w:t>
      </w:r>
    </w:p>
    <w:p>
      <w:pPr>
        <w:pStyle w:val="ListParagraph"/>
        <w:numPr>
          <w:ilvl w:val="0"/>
          <w:numId w:val="1"/>
        </w:numPr>
        <w:spacing w:after="90" w:line="290"/>
      </w:pPr>
      <w:r>
        <w:rPr>
          <w:color w:val="2B2B2B"/>
          <w:sz w:val="21"/>
          <w:szCs w:val="21"/>
        </w:rPr>
        <w:t xml:space="preserve">Produces a single hard cluster assignment per customer, which is easy for a marketing team to act on directly.</w:t>
      </w:r>
    </w:p>
    <w:p>
      <w:pPr>
        <w:spacing w:after="160" w:line="300"/>
      </w:pPr>
      <w:r>
        <w:rPr>
          <w:i w:val="false"/>
          <w:iCs w:val="false"/>
          <w:color w:val="2B2B2B"/>
          <w:sz w:val="21"/>
          <w:szCs w:val="21"/>
        </w:rPr>
        <w:t xml:space="preserve">The churned label itself was deliberately excluded from the clustering features. Including it would have biased the clusters toward simply separating 'churned vs not', defeating the purpose — the goal here was to find genuine behavioral archetypes, independent of the churn outcome, and then compare risk across those archetypes afterward.</w:t>
      </w:r>
    </w:p>
    <w:p>
      <w:pPr>
        <w:spacing w:after="100" w:before="220"/>
      </w:pPr>
      <w:r>
        <w:rPr>
          <w:b/>
          <w:bCs/>
          <w:color w:val="1F2A44"/>
          <w:sz w:val="22"/>
          <w:szCs w:val="22"/>
        </w:rPr>
        <w:t xml:space="preserve">Scaling</w:t>
      </w:r>
    </w:p>
    <w:p>
      <w:pPr>
        <w:spacing w:after="160" w:line="300"/>
      </w:pPr>
      <w:r>
        <w:rPr>
          <w:i w:val="false"/>
          <w:iCs w:val="false"/>
          <w:color w:val="2B2B2B"/>
          <w:sz w:val="21"/>
          <w:szCs w:val="21"/>
        </w:rPr>
        <w:t xml:space="preserve">K-Means is a distance-based algorithm, so all features were standardized with StandardScaler (mean 0, standard deviation 1) before clustering. Without this step, a high-magnitude feature like Salary (tens of thousands) would completely dominate the distance calculation over a feature like Redemption_Rate (0 to 1), regardless of which one is actually more meaningful for grouping customers.</w:t>
      </w:r>
    </w:p>
    <w:p>
      <w:pPr>
        <w:spacing w:after="100" w:before="220"/>
      </w:pPr>
      <w:r>
        <w:rPr>
          <w:b/>
          <w:bCs/>
          <w:color w:val="1F2A44"/>
          <w:sz w:val="22"/>
          <w:szCs w:val="22"/>
        </w:rPr>
        <w:t xml:space="preserve">Choosing the Number of Clusters (k)</w:t>
      </w:r>
    </w:p>
    <w:p>
      <w:pPr>
        <w:spacing w:after="160" w:line="300"/>
      </w:pPr>
      <w:r>
        <w:rPr>
          <w:i w:val="false"/>
          <w:iCs w:val="false"/>
          <w:color w:val="2B2B2B"/>
          <w:sz w:val="21"/>
          <w:szCs w:val="21"/>
        </w:rPr>
        <w:t xml:space="preserve">Two complementary diagnostics were used together across k = 2 to 8: the Elbow Method (where the within-cluster variance / inertia curve flattens) and the Silhouette Score (how well-separated and internally consistent each cluster is, from −1 to +1, higher is better).</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900"/>
        <w:gridCol w:w="2450"/>
        <w:gridCol w:w="2900"/>
        <w:gridCol w:w="3100"/>
      </w:tblGrid>
      <w:tr>
        <w:trPr>
          <w:tblHeader/>
        </w:trPr>
        <w:tc>
          <w:tcPr>
            <w:tcW w:type="dxa" w:w="900"/>
            <w:shd w:fill="1F2A44" w:val="clear"/>
            <w:tcMar>
              <w:top w:type="dxa" w:w="100"/>
              <w:left w:type="dxa" w:w="120"/>
              <w:bottom w:type="dxa" w:w="100"/>
              <w:right w:type="dxa" w:w="120"/>
            </w:tcMar>
            <w:vAlign w:val="center"/>
          </w:tcPr>
          <w:p>
            <w:r>
              <w:rPr>
                <w:b/>
                <w:bCs/>
                <w:color w:val="FFFFFF"/>
                <w:sz w:val="19"/>
                <w:szCs w:val="19"/>
              </w:rPr>
              <w:t xml:space="preserve">k</w:t>
            </w:r>
          </w:p>
        </w:tc>
        <w:tc>
          <w:tcPr>
            <w:tcW w:type="dxa" w:w="2450"/>
            <w:shd w:fill="1F2A44" w:val="clear"/>
            <w:tcMar>
              <w:top w:type="dxa" w:w="100"/>
              <w:left w:type="dxa" w:w="120"/>
              <w:bottom w:type="dxa" w:w="100"/>
              <w:right w:type="dxa" w:w="120"/>
            </w:tcMar>
            <w:vAlign w:val="center"/>
          </w:tcPr>
          <w:p>
            <w:r>
              <w:rPr>
                <w:b/>
                <w:bCs/>
                <w:color w:val="FFFFFF"/>
                <w:sz w:val="19"/>
                <w:szCs w:val="19"/>
              </w:rPr>
              <w:t xml:space="preserve">Inertia</w:t>
            </w:r>
          </w:p>
        </w:tc>
        <w:tc>
          <w:tcPr>
            <w:tcW w:type="dxa" w:w="2900"/>
            <w:shd w:fill="1F2A44" w:val="clear"/>
            <w:tcMar>
              <w:top w:type="dxa" w:w="100"/>
              <w:left w:type="dxa" w:w="120"/>
              <w:bottom w:type="dxa" w:w="100"/>
              <w:right w:type="dxa" w:w="120"/>
            </w:tcMar>
            <w:vAlign w:val="center"/>
          </w:tcPr>
          <w:p>
            <w:r>
              <w:rPr>
                <w:b/>
                <w:bCs/>
                <w:color w:val="FFFFFF"/>
                <w:sz w:val="19"/>
                <w:szCs w:val="19"/>
              </w:rPr>
              <w:t xml:space="preserve">Silhouette Score</w:t>
            </w:r>
          </w:p>
        </w:tc>
        <w:tc>
          <w:tcPr>
            <w:tcW w:type="dxa" w:w="3100"/>
            <w:shd w:fill="1F2A44" w:val="clear"/>
            <w:tcMar>
              <w:top w:type="dxa" w:w="100"/>
              <w:left w:type="dxa" w:w="120"/>
              <w:bottom w:type="dxa" w:w="100"/>
              <w:right w:type="dxa" w:w="120"/>
            </w:tcMar>
            <w:vAlign w:val="center"/>
          </w:tcPr>
          <w:p>
            <w:r>
              <w:rPr>
                <w:b/>
                <w:bCs/>
                <w:color w:val="FFFFFF"/>
                <w:sz w:val="19"/>
                <w:szCs w:val="19"/>
              </w:rPr>
              <w:t xml:space="preserve">Verdict</w:t>
            </w:r>
          </w:p>
        </w:tc>
      </w:tr>
      <w:tr>
        <w:tc>
          <w:tcPr>
            <w:tcW w:type="dxa" w:w="900"/>
            <w:shd w:fill="FFFFFF" w:val="clear"/>
            <w:tcMar>
              <w:top w:type="dxa" w:w="90"/>
              <w:left w:type="dxa" w:w="120"/>
              <w:bottom w:type="dxa" w:w="90"/>
              <w:right w:type="dxa" w:w="120"/>
            </w:tcMar>
            <w:vAlign w:val="center"/>
          </w:tcPr>
          <w:p>
            <w:r>
              <w:rPr>
                <w:color w:val="2B2B2B"/>
                <w:sz w:val="19"/>
                <w:szCs w:val="19"/>
              </w:rPr>
              <w:t xml:space="preserve">2</w:t>
            </w:r>
          </w:p>
        </w:tc>
        <w:tc>
          <w:tcPr>
            <w:tcW w:type="dxa" w:w="2450"/>
            <w:shd w:fill="FFFFFF" w:val="clear"/>
            <w:tcMar>
              <w:top w:type="dxa" w:w="90"/>
              <w:left w:type="dxa" w:w="120"/>
              <w:bottom w:type="dxa" w:w="90"/>
              <w:right w:type="dxa" w:w="120"/>
            </w:tcMar>
            <w:vAlign w:val="center"/>
          </w:tcPr>
          <w:p>
            <w:r>
              <w:rPr>
                <w:color w:val="2B2B2B"/>
                <w:sz w:val="19"/>
                <w:szCs w:val="19"/>
              </w:rPr>
              <w:t xml:space="preserve">300,697</w:t>
            </w:r>
          </w:p>
        </w:tc>
        <w:tc>
          <w:tcPr>
            <w:tcW w:type="dxa" w:w="2900"/>
            <w:shd w:fill="FFFFFF" w:val="clear"/>
            <w:tcMar>
              <w:top w:type="dxa" w:w="90"/>
              <w:left w:type="dxa" w:w="120"/>
              <w:bottom w:type="dxa" w:w="90"/>
              <w:right w:type="dxa" w:w="120"/>
            </w:tcMar>
            <w:vAlign w:val="center"/>
          </w:tcPr>
          <w:p>
            <w:r>
              <w:rPr>
                <w:color w:val="2B2B2B"/>
                <w:sz w:val="19"/>
                <w:szCs w:val="19"/>
              </w:rPr>
              <w:t xml:space="preserve">0.2650</w:t>
            </w:r>
          </w:p>
        </w:tc>
        <w:tc>
          <w:tcPr>
            <w:tcW w:type="dxa" w:w="3100"/>
            <w:shd w:fill="FFFFFF" w:val="clear"/>
            <w:tcMar>
              <w:top w:type="dxa" w:w="90"/>
              <w:left w:type="dxa" w:w="120"/>
              <w:bottom w:type="dxa" w:w="90"/>
              <w:right w:type="dxa" w:w="120"/>
            </w:tcMar>
            <w:vAlign w:val="center"/>
          </w:tcPr>
          <w:p>
            <w:r>
              <w:rPr>
                <w:color w:val="2B2B2B"/>
                <w:sz w:val="19"/>
                <w:szCs w:val="19"/>
              </w:rPr>
              <w:t xml:space="preserve">Too coarse — merges genuinely different groups</w:t>
            </w:r>
          </w:p>
        </w:tc>
      </w:tr>
      <w:tr>
        <w:tc>
          <w:tcPr>
            <w:tcW w:type="dxa" w:w="900"/>
            <w:shd w:fill="F4F5F7" w:val="clear"/>
            <w:tcMar>
              <w:top w:type="dxa" w:w="90"/>
              <w:left w:type="dxa" w:w="120"/>
              <w:bottom w:type="dxa" w:w="90"/>
              <w:right w:type="dxa" w:w="120"/>
            </w:tcMar>
            <w:vAlign w:val="center"/>
          </w:tcPr>
          <w:p>
            <w:r>
              <w:rPr>
                <w:color w:val="2B2B2B"/>
                <w:sz w:val="19"/>
                <w:szCs w:val="19"/>
              </w:rPr>
              <w:t xml:space="preserve">3</w:t>
            </w:r>
          </w:p>
        </w:tc>
        <w:tc>
          <w:tcPr>
            <w:tcW w:type="dxa" w:w="2450"/>
            <w:shd w:fill="F4F5F7" w:val="clear"/>
            <w:tcMar>
              <w:top w:type="dxa" w:w="90"/>
              <w:left w:type="dxa" w:w="120"/>
              <w:bottom w:type="dxa" w:w="90"/>
              <w:right w:type="dxa" w:w="120"/>
            </w:tcMar>
            <w:vAlign w:val="center"/>
          </w:tcPr>
          <w:p>
            <w:r>
              <w:rPr>
                <w:color w:val="2B2B2B"/>
                <w:sz w:val="19"/>
                <w:szCs w:val="19"/>
              </w:rPr>
              <w:t xml:space="preserve">252,769</w:t>
            </w:r>
          </w:p>
        </w:tc>
        <w:tc>
          <w:tcPr>
            <w:tcW w:type="dxa" w:w="2900"/>
            <w:shd w:fill="F4F5F7" w:val="clear"/>
            <w:tcMar>
              <w:top w:type="dxa" w:w="90"/>
              <w:left w:type="dxa" w:w="120"/>
              <w:bottom w:type="dxa" w:w="90"/>
              <w:right w:type="dxa" w:w="120"/>
            </w:tcMar>
            <w:vAlign w:val="center"/>
          </w:tcPr>
          <w:p>
            <w:r>
              <w:rPr>
                <w:color w:val="2B2B2B"/>
                <w:sz w:val="19"/>
                <w:szCs w:val="19"/>
              </w:rPr>
              <w:t xml:space="preserve">0.2931</w:t>
            </w:r>
          </w:p>
        </w:tc>
        <w:tc>
          <w:tcPr>
            <w:tcW w:type="dxa" w:w="3100"/>
            <w:shd w:fill="F4F5F7" w:val="clear"/>
            <w:tcMar>
              <w:top w:type="dxa" w:w="90"/>
              <w:left w:type="dxa" w:w="120"/>
              <w:bottom w:type="dxa" w:w="90"/>
              <w:right w:type="dxa" w:w="120"/>
            </w:tcMar>
            <w:vAlign w:val="center"/>
          </w:tcPr>
          <w:p>
            <w:r>
              <w:rPr>
                <w:color w:val="2B2B2B"/>
                <w:sz w:val="19"/>
                <w:szCs w:val="19"/>
              </w:rPr>
              <w:t xml:space="preserve">Selected — steepest elbow drop and the highest silhouette score</w:t>
            </w:r>
          </w:p>
        </w:tc>
      </w:tr>
      <w:tr>
        <w:tc>
          <w:tcPr>
            <w:tcW w:type="dxa" w:w="900"/>
            <w:shd w:fill="FFFFFF" w:val="clear"/>
            <w:tcMar>
              <w:top w:type="dxa" w:w="90"/>
              <w:left w:type="dxa" w:w="120"/>
              <w:bottom w:type="dxa" w:w="90"/>
              <w:right w:type="dxa" w:w="120"/>
            </w:tcMar>
            <w:vAlign w:val="center"/>
          </w:tcPr>
          <w:p>
            <w:r>
              <w:rPr>
                <w:color w:val="2B2B2B"/>
                <w:sz w:val="19"/>
                <w:szCs w:val="19"/>
              </w:rPr>
              <w:t xml:space="preserve">4</w:t>
            </w:r>
          </w:p>
        </w:tc>
        <w:tc>
          <w:tcPr>
            <w:tcW w:type="dxa" w:w="2450"/>
            <w:shd w:fill="FFFFFF" w:val="clear"/>
            <w:tcMar>
              <w:top w:type="dxa" w:w="90"/>
              <w:left w:type="dxa" w:w="120"/>
              <w:bottom w:type="dxa" w:w="90"/>
              <w:right w:type="dxa" w:w="120"/>
            </w:tcMar>
            <w:vAlign w:val="center"/>
          </w:tcPr>
          <w:p>
            <w:r>
              <w:rPr>
                <w:color w:val="2B2B2B"/>
                <w:sz w:val="19"/>
                <w:szCs w:val="19"/>
              </w:rPr>
              <w:t xml:space="preserve">235,607</w:t>
            </w:r>
          </w:p>
        </w:tc>
        <w:tc>
          <w:tcPr>
            <w:tcW w:type="dxa" w:w="2900"/>
            <w:shd w:fill="FFFFFF" w:val="clear"/>
            <w:tcMar>
              <w:top w:type="dxa" w:w="90"/>
              <w:left w:type="dxa" w:w="120"/>
              <w:bottom w:type="dxa" w:w="90"/>
              <w:right w:type="dxa" w:w="120"/>
            </w:tcMar>
            <w:vAlign w:val="center"/>
          </w:tcPr>
          <w:p>
            <w:r>
              <w:rPr>
                <w:color w:val="2B2B2B"/>
                <w:sz w:val="19"/>
                <w:szCs w:val="19"/>
              </w:rPr>
              <w:t xml:space="preserve">0.1984</w:t>
            </w:r>
          </w:p>
        </w:tc>
        <w:tc>
          <w:tcPr>
            <w:tcW w:type="dxa" w:w="3100"/>
            <w:shd w:fill="FFFFFF" w:val="clear"/>
            <w:tcMar>
              <w:top w:type="dxa" w:w="90"/>
              <w:left w:type="dxa" w:w="120"/>
              <w:bottom w:type="dxa" w:w="90"/>
              <w:right w:type="dxa" w:w="120"/>
            </w:tcMar>
            <w:vAlign w:val="center"/>
          </w:tcPr>
          <w:p>
            <w:r>
              <w:rPr>
                <w:color w:val="2B2B2B"/>
                <w:sz w:val="19"/>
                <w:szCs w:val="19"/>
              </w:rPr>
              <w:t xml:space="preserve">Silhouette drops sharply — clusters become less distinct</w:t>
            </w:r>
          </w:p>
        </w:tc>
      </w:tr>
      <w:tr>
        <w:tc>
          <w:tcPr>
            <w:tcW w:type="dxa" w:w="900"/>
            <w:shd w:fill="F4F5F7" w:val="clear"/>
            <w:tcMar>
              <w:top w:type="dxa" w:w="90"/>
              <w:left w:type="dxa" w:w="120"/>
              <w:bottom w:type="dxa" w:w="90"/>
              <w:right w:type="dxa" w:w="120"/>
            </w:tcMar>
            <w:vAlign w:val="center"/>
          </w:tcPr>
          <w:p>
            <w:r>
              <w:rPr>
                <w:color w:val="2B2B2B"/>
                <w:sz w:val="19"/>
                <w:szCs w:val="19"/>
              </w:rPr>
              <w:t xml:space="preserve">5+</w:t>
            </w:r>
          </w:p>
        </w:tc>
        <w:tc>
          <w:tcPr>
            <w:tcW w:type="dxa" w:w="2450"/>
            <w:shd w:fill="F4F5F7" w:val="clear"/>
            <w:tcMar>
              <w:top w:type="dxa" w:w="90"/>
              <w:left w:type="dxa" w:w="120"/>
              <w:bottom w:type="dxa" w:w="90"/>
              <w:right w:type="dxa" w:w="120"/>
            </w:tcMar>
            <w:vAlign w:val="center"/>
          </w:tcPr>
          <w:p>
            <w:r>
              <w:rPr>
                <w:color w:val="2B2B2B"/>
                <w:sz w:val="19"/>
                <w:szCs w:val="19"/>
              </w:rPr>
              <w:t xml:space="preserve">&lt; 222,000</w:t>
            </w:r>
          </w:p>
        </w:tc>
        <w:tc>
          <w:tcPr>
            <w:tcW w:type="dxa" w:w="2900"/>
            <w:shd w:fill="F4F5F7" w:val="clear"/>
            <w:tcMar>
              <w:top w:type="dxa" w:w="90"/>
              <w:left w:type="dxa" w:w="120"/>
              <w:bottom w:type="dxa" w:w="90"/>
              <w:right w:type="dxa" w:w="120"/>
            </w:tcMar>
            <w:vAlign w:val="center"/>
          </w:tcPr>
          <w:p>
            <w:r>
              <w:rPr>
                <w:color w:val="2B2B2B"/>
                <w:sz w:val="19"/>
                <w:szCs w:val="19"/>
              </w:rPr>
              <w:t xml:space="preserve">&lt; 0.20</w:t>
            </w:r>
          </w:p>
        </w:tc>
        <w:tc>
          <w:tcPr>
            <w:tcW w:type="dxa" w:w="3100"/>
            <w:shd w:fill="F4F5F7" w:val="clear"/>
            <w:tcMar>
              <w:top w:type="dxa" w:w="90"/>
              <w:left w:type="dxa" w:w="120"/>
              <w:bottom w:type="dxa" w:w="90"/>
              <w:right w:type="dxa" w:w="120"/>
            </w:tcMar>
            <w:vAlign w:val="center"/>
          </w:tcPr>
          <w:p>
            <w:r>
              <w:rPr>
                <w:color w:val="2B2B2B"/>
                <w:sz w:val="19"/>
                <w:szCs w:val="19"/>
              </w:rPr>
              <w:t xml:space="preserve">Diminishing returns — more clusters, less interpretability</w:t>
            </w:r>
          </w:p>
        </w:tc>
      </w:tr>
    </w:tbl>
    <w:p>
      <w:pPr>
        <w:spacing w:after="100"/>
      </w:pPr>
    </w:p>
    <w:p>
      <w:pPr>
        <w:spacing w:after="160" w:line="300"/>
      </w:pPr>
      <w:r>
        <w:rPr>
          <w:i w:val="false"/>
          <w:iCs w:val="false"/>
          <w:color w:val="2B2B2B"/>
          <w:sz w:val="21"/>
          <w:szCs w:val="21"/>
        </w:rPr>
        <w:t xml:space="preserve">Both diagnostics agreed on k=3, and three segments also satisfied a practical business constraint: a marketing team can meaningfully design and remember three distinct playbooks, but segmentation with 7–8 tiny, overlapping clusters would be difficult to act on even if it scored marginally better statistically.</w:t>
      </w:r>
    </w:p>
    <w:p>
      <w:pPr>
        <w:spacing w:after="100" w:before="220"/>
      </w:pPr>
      <w:r>
        <w:rPr>
          <w:b/>
          <w:bCs/>
          <w:color w:val="1F2A44"/>
          <w:sz w:val="22"/>
          <w:szCs w:val="22"/>
        </w:rPr>
        <w:t xml:space="preserve">Final Model &amp; Cluster Profiling</w:t>
      </w:r>
    </w:p>
    <w:p>
      <w:pPr>
        <w:spacing w:after="160" w:line="300"/>
      </w:pPr>
      <w:r>
        <w:rPr>
          <w:i w:val="false"/>
          <w:iCs w:val="false"/>
          <w:color w:val="2B2B2B"/>
          <w:sz w:val="21"/>
          <w:szCs w:val="21"/>
        </w:rPr>
        <w:t xml:space="preserve">The final K-Means model was trained with k=3 and n_init=10 (running the algorithm 10 times from different random starting points and keeping the best result, to avoid getting stuck in a poor local minimum). Cluster profiles were then computed using the original, unscaled values (not the standardized ones) — a scaled 'Salary = 0.87' is meaningless to a business reader, while 'Salary = 72,000' is immediately interpretable.</w:t>
      </w:r>
    </w:p>
    <w:p>
      <w:pPr>
        <w:spacing w:after="100" w:before="220"/>
      </w:pPr>
      <w:r>
        <w:rPr>
          <w:b/>
          <w:bCs/>
          <w:color w:val="1F2A44"/>
          <w:sz w:val="22"/>
          <w:szCs w:val="22"/>
        </w:rPr>
        <w:t xml:space="preserve">Segment vs Risk Tier — Bringing Both Models Together</w:t>
      </w:r>
    </w:p>
    <w:p>
      <w:pPr>
        <w:spacing w:after="160" w:line="300"/>
      </w:pPr>
      <w:r>
        <w:rPr>
          <w:i w:val="false"/>
          <w:iCs w:val="false"/>
          <w:color w:val="2B2B2B"/>
          <w:sz w:val="21"/>
          <w:szCs w:val="21"/>
        </w:rPr>
        <w:t xml:space="preserve">Combining the K-Means segment with the XGBoost churn-probability risk tier for every customer produced the single most important cross-cutting table in the whole project:</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200"/>
        <w:gridCol w:w="1800"/>
        <w:gridCol w:w="1700"/>
        <w:gridCol w:w="2650"/>
      </w:tblGrid>
      <w:tr>
        <w:trPr>
          <w:tblHeader/>
        </w:trPr>
        <w:tc>
          <w:tcPr>
            <w:tcW w:type="dxa" w:w="3200"/>
            <w:shd w:fill="1F2A44" w:val="clear"/>
            <w:tcMar>
              <w:top w:type="dxa" w:w="100"/>
              <w:left w:type="dxa" w:w="120"/>
              <w:bottom w:type="dxa" w:w="100"/>
              <w:right w:type="dxa" w:w="120"/>
            </w:tcMar>
            <w:vAlign w:val="center"/>
          </w:tcPr>
          <w:p>
            <w:r>
              <w:rPr>
                <w:b/>
                <w:bCs/>
                <w:color w:val="FFFFFF"/>
                <w:sz w:val="19"/>
                <w:szCs w:val="19"/>
              </w:rPr>
              <w:t xml:space="preserve">Segment</w:t>
            </w:r>
          </w:p>
        </w:tc>
        <w:tc>
          <w:tcPr>
            <w:tcW w:type="dxa" w:w="1800"/>
            <w:shd w:fill="1F2A44" w:val="clear"/>
            <w:tcMar>
              <w:top w:type="dxa" w:w="100"/>
              <w:left w:type="dxa" w:w="120"/>
              <w:bottom w:type="dxa" w:w="100"/>
              <w:right w:type="dxa" w:w="120"/>
            </w:tcMar>
            <w:vAlign w:val="center"/>
          </w:tcPr>
          <w:p>
            <w:r>
              <w:rPr>
                <w:b/>
                <w:bCs/>
                <w:color w:val="FFFFFF"/>
                <w:sz w:val="19"/>
                <w:szCs w:val="19"/>
              </w:rPr>
              <w:t xml:space="preserve">Size</w:t>
            </w:r>
          </w:p>
        </w:tc>
        <w:tc>
          <w:tcPr>
            <w:tcW w:type="dxa" w:w="1700"/>
            <w:shd w:fill="1F2A44" w:val="clear"/>
            <w:tcMar>
              <w:top w:type="dxa" w:w="100"/>
              <w:left w:type="dxa" w:w="120"/>
              <w:bottom w:type="dxa" w:w="100"/>
              <w:right w:type="dxa" w:w="120"/>
            </w:tcMar>
            <w:vAlign w:val="center"/>
          </w:tcPr>
          <w:p>
            <w:r>
              <w:rPr>
                <w:b/>
                <w:bCs/>
                <w:color w:val="FFFFFF"/>
                <w:sz w:val="19"/>
                <w:szCs w:val="19"/>
              </w:rPr>
              <w:t xml:space="preserve">% High Risk</w:t>
            </w:r>
          </w:p>
        </w:tc>
        <w:tc>
          <w:tcPr>
            <w:tcW w:type="dxa" w:w="2650"/>
            <w:shd w:fill="1F2A44" w:val="clear"/>
            <w:tcMar>
              <w:top w:type="dxa" w:w="100"/>
              <w:left w:type="dxa" w:w="120"/>
              <w:bottom w:type="dxa" w:w="100"/>
              <w:right w:type="dxa" w:w="120"/>
            </w:tcMar>
            <w:vAlign w:val="center"/>
          </w:tcPr>
          <w:p>
            <w:r>
              <w:rPr>
                <w:b/>
                <w:bCs/>
                <w:color w:val="FFFFFF"/>
                <w:sz w:val="19"/>
                <w:szCs w:val="19"/>
              </w:rPr>
              <w:t xml:space="preserve">Interpretation</w:t>
            </w:r>
          </w:p>
        </w:tc>
      </w:tr>
      <w:tr>
        <w:tc>
          <w:tcPr>
            <w:tcW w:type="dxa" w:w="3200"/>
            <w:shd w:fill="FFFFFF" w:val="clear"/>
            <w:tcMar>
              <w:top w:type="dxa" w:w="90"/>
              <w:left w:type="dxa" w:w="120"/>
              <w:bottom w:type="dxa" w:w="90"/>
              <w:right w:type="dxa" w:w="120"/>
            </w:tcMar>
            <w:vAlign w:val="center"/>
          </w:tcPr>
          <w:p>
            <w:r>
              <w:rPr>
                <w:color w:val="2B2B2B"/>
                <w:sz w:val="19"/>
                <w:szCs w:val="19"/>
              </w:rPr>
              <w:t xml:space="preserve">Disengaged At-Risk Members</w:t>
            </w:r>
          </w:p>
        </w:tc>
        <w:tc>
          <w:tcPr>
            <w:tcW w:type="dxa" w:w="1800"/>
            <w:shd w:fill="FFFFFF" w:val="clear"/>
            <w:tcMar>
              <w:top w:type="dxa" w:w="90"/>
              <w:left w:type="dxa" w:w="120"/>
              <w:bottom w:type="dxa" w:w="90"/>
              <w:right w:type="dxa" w:w="120"/>
            </w:tcMar>
            <w:vAlign w:val="center"/>
          </w:tcPr>
          <w:p>
            <w:r>
              <w:rPr>
                <w:color w:val="2B2B2B"/>
                <w:sz w:val="19"/>
                <w:szCs w:val="19"/>
              </w:rPr>
              <w:t xml:space="preserve">4,420 (26.4%)</w:t>
            </w:r>
          </w:p>
        </w:tc>
        <w:tc>
          <w:tcPr>
            <w:tcW w:type="dxa" w:w="1700"/>
            <w:shd w:fill="FFFFFF" w:val="clear"/>
            <w:tcMar>
              <w:top w:type="dxa" w:w="90"/>
              <w:left w:type="dxa" w:w="120"/>
              <w:bottom w:type="dxa" w:w="90"/>
              <w:right w:type="dxa" w:w="120"/>
            </w:tcMar>
            <w:vAlign w:val="center"/>
          </w:tcPr>
          <w:p>
            <w:r>
              <w:rPr>
                <w:color w:val="2B2B2B"/>
                <w:sz w:val="19"/>
                <w:szCs w:val="19"/>
              </w:rPr>
              <w:t xml:space="preserve">54.5%</w:t>
            </w:r>
          </w:p>
        </w:tc>
        <w:tc>
          <w:tcPr>
            <w:tcW w:type="dxa" w:w="2650"/>
            <w:shd w:fill="FFFFFF" w:val="clear"/>
            <w:tcMar>
              <w:top w:type="dxa" w:w="90"/>
              <w:left w:type="dxa" w:w="120"/>
              <w:bottom w:type="dxa" w:w="90"/>
              <w:right w:type="dxa" w:w="120"/>
            </w:tcMar>
            <w:vAlign w:val="center"/>
          </w:tcPr>
          <w:p>
            <w:r>
              <w:rPr>
                <w:color w:val="2B2B2B"/>
                <w:sz w:val="19"/>
                <w:szCs w:val="19"/>
              </w:rPr>
              <w:t xml:space="preserve">Over half already high risk — needs immediate action, not a newsletter</w:t>
            </w:r>
          </w:p>
        </w:tc>
      </w:tr>
      <w:tr>
        <w:tc>
          <w:tcPr>
            <w:tcW w:type="dxa" w:w="3200"/>
            <w:shd w:fill="F4F5F7" w:val="clear"/>
            <w:tcMar>
              <w:top w:type="dxa" w:w="90"/>
              <w:left w:type="dxa" w:w="120"/>
              <w:bottom w:type="dxa" w:w="90"/>
              <w:right w:type="dxa" w:w="120"/>
            </w:tcMar>
            <w:vAlign w:val="center"/>
          </w:tcPr>
          <w:p>
            <w:r>
              <w:rPr>
                <w:color w:val="2B2B2B"/>
                <w:sz w:val="19"/>
                <w:szCs w:val="19"/>
              </w:rPr>
              <w:t xml:space="preserve">High-Frequency New Flyers</w:t>
            </w:r>
          </w:p>
        </w:tc>
        <w:tc>
          <w:tcPr>
            <w:tcW w:type="dxa" w:w="1800"/>
            <w:shd w:fill="F4F5F7" w:val="clear"/>
            <w:tcMar>
              <w:top w:type="dxa" w:w="90"/>
              <w:left w:type="dxa" w:w="120"/>
              <w:bottom w:type="dxa" w:w="90"/>
              <w:right w:type="dxa" w:w="120"/>
            </w:tcMar>
            <w:vAlign w:val="center"/>
          </w:tcPr>
          <w:p>
            <w:r>
              <w:rPr>
                <w:color w:val="2B2B2B"/>
                <w:sz w:val="19"/>
                <w:szCs w:val="19"/>
              </w:rPr>
              <w:t xml:space="preserve">835 (5.0%)</w:t>
            </w:r>
          </w:p>
        </w:tc>
        <w:tc>
          <w:tcPr>
            <w:tcW w:type="dxa" w:w="1700"/>
            <w:shd w:fill="F4F5F7" w:val="clear"/>
            <w:tcMar>
              <w:top w:type="dxa" w:w="90"/>
              <w:left w:type="dxa" w:w="120"/>
              <w:bottom w:type="dxa" w:w="90"/>
              <w:right w:type="dxa" w:w="120"/>
            </w:tcMar>
            <w:vAlign w:val="center"/>
          </w:tcPr>
          <w:p>
            <w:r>
              <w:rPr>
                <w:color w:val="2B2B2B"/>
                <w:sz w:val="19"/>
                <w:szCs w:val="19"/>
              </w:rPr>
              <w:t xml:space="preserve">19.0%</w:t>
            </w:r>
          </w:p>
        </w:tc>
        <w:tc>
          <w:tcPr>
            <w:tcW w:type="dxa" w:w="2650"/>
            <w:shd w:fill="F4F5F7" w:val="clear"/>
            <w:tcMar>
              <w:top w:type="dxa" w:w="90"/>
              <w:left w:type="dxa" w:w="120"/>
              <w:bottom w:type="dxa" w:w="90"/>
              <w:right w:type="dxa" w:w="120"/>
            </w:tcMar>
            <w:vAlign w:val="center"/>
          </w:tcPr>
          <w:p>
            <w:r>
              <w:rPr>
                <w:color w:val="2B2B2B"/>
                <w:sz w:val="19"/>
                <w:szCs w:val="19"/>
              </w:rPr>
              <w:t xml:space="preserve">Frequent flying does not equal loyalty — early intervention needed</w:t>
            </w:r>
          </w:p>
        </w:tc>
      </w:tr>
      <w:tr>
        <w:tc>
          <w:tcPr>
            <w:tcW w:type="dxa" w:w="3200"/>
            <w:shd w:fill="FFFFFF" w:val="clear"/>
            <w:tcMar>
              <w:top w:type="dxa" w:w="90"/>
              <w:left w:type="dxa" w:w="120"/>
              <w:bottom w:type="dxa" w:w="90"/>
              <w:right w:type="dxa" w:w="120"/>
            </w:tcMar>
            <w:vAlign w:val="center"/>
          </w:tcPr>
          <w:p>
            <w:r>
              <w:rPr>
                <w:color w:val="2B2B2B"/>
                <w:sz w:val="19"/>
                <w:szCs w:val="19"/>
              </w:rPr>
              <w:t xml:space="preserve">Loyal Core Members</w:t>
            </w:r>
          </w:p>
        </w:tc>
        <w:tc>
          <w:tcPr>
            <w:tcW w:type="dxa" w:w="1800"/>
            <w:shd w:fill="FFFFFF" w:val="clear"/>
            <w:tcMar>
              <w:top w:type="dxa" w:w="90"/>
              <w:left w:type="dxa" w:w="120"/>
              <w:bottom w:type="dxa" w:w="90"/>
              <w:right w:type="dxa" w:w="120"/>
            </w:tcMar>
            <w:vAlign w:val="center"/>
          </w:tcPr>
          <w:p>
            <w:r>
              <w:rPr>
                <w:color w:val="2B2B2B"/>
                <w:sz w:val="19"/>
                <w:szCs w:val="19"/>
              </w:rPr>
              <w:t xml:space="preserve">11,482 (68.6%)</w:t>
            </w:r>
          </w:p>
        </w:tc>
        <w:tc>
          <w:tcPr>
            <w:tcW w:type="dxa" w:w="1700"/>
            <w:shd w:fill="FFFFFF" w:val="clear"/>
            <w:tcMar>
              <w:top w:type="dxa" w:w="90"/>
              <w:left w:type="dxa" w:w="120"/>
              <w:bottom w:type="dxa" w:w="90"/>
              <w:right w:type="dxa" w:w="120"/>
            </w:tcMar>
            <w:vAlign w:val="center"/>
          </w:tcPr>
          <w:p>
            <w:r>
              <w:rPr>
                <w:color w:val="2B2B2B"/>
                <w:sz w:val="19"/>
                <w:szCs w:val="19"/>
              </w:rPr>
              <w:t xml:space="preserve">2.3%</w:t>
            </w:r>
          </w:p>
        </w:tc>
        <w:tc>
          <w:tcPr>
            <w:tcW w:type="dxa" w:w="2650"/>
            <w:shd w:fill="FFFFFF" w:val="clear"/>
            <w:tcMar>
              <w:top w:type="dxa" w:w="90"/>
              <w:left w:type="dxa" w:w="120"/>
              <w:bottom w:type="dxa" w:w="90"/>
              <w:right w:type="dxa" w:w="120"/>
            </w:tcMar>
            <w:vAlign w:val="center"/>
          </w:tcPr>
          <w:p>
            <w:r>
              <w:rPr>
                <w:color w:val="2B2B2B"/>
                <w:sz w:val="19"/>
                <w:szCs w:val="19"/>
              </w:rPr>
              <w:t xml:space="preserve">Very stable — monitor only, protect proactively</w:t>
            </w:r>
          </w:p>
        </w:tc>
      </w:tr>
    </w:tbl>
    <w:p>
      <w:pPr>
        <w:spacing w:after="100"/>
      </w:pPr>
    </w:p>
    <w:p>
      <w:pPr>
        <w:spacing w:after="160" w:line="300"/>
      </w:pPr>
      <w:r>
        <w:rPr>
          <w:i w:val="false"/>
          <w:iCs w:val="false"/>
          <w:color w:val="2B2B2B"/>
          <w:sz w:val="21"/>
          <w:szCs w:val="21"/>
        </w:rPr>
        <w:t xml:space="preserve">The most striking single number in this table is that 19% of the airline's most frequent flyers are already flagged as high churn risk — despite flying more than anyone else, because they are transactional customers with a redemption rate of exactly zero, not emotionally invested in the programme.</w:t>
      </w:r>
    </w:p>
    <w:p>
      <w:r>
        <w:br w:type="page"/>
      </w:r>
    </w:p>
    <w:p>
      <w:pPr>
        <w:pStyle w:val="Heading1"/>
        <w:pBdr>
          <w:bottom w:val="single" w:color="534AB7" w:sz="8" w:space="4"/>
        </w:pBdr>
        <w:spacing w:after="200" w:before="420"/>
      </w:pPr>
      <w:r>
        <w:rPr>
          <w:b/>
          <w:bCs/>
          <w:color w:val="1F2A44"/>
          <w:sz w:val="30"/>
          <w:szCs w:val="30"/>
        </w:rPr>
        <w:t xml:space="preserve">6. The Three Customer Segments</w:t>
      </w:r>
    </w:p>
    <w:p>
      <w:pPr>
        <w:spacing w:after="160" w:line="300"/>
      </w:pPr>
      <w:r>
        <w:rPr>
          <w:i w:val="false"/>
          <w:iCs w:val="false"/>
          <w:color w:val="2B2B2B"/>
          <w:sz w:val="21"/>
          <w:szCs w:val="21"/>
        </w:rPr>
        <w:t xml:space="preserve">Every one of the 16,737 members falls into exactly one of three behavioral profiles: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200"/>
        <w:gridCol w:w="2400"/>
        <w:gridCol w:w="2400"/>
        <w:gridCol w:w="2350"/>
      </w:tblGrid>
      <w:tr>
        <w:trPr>
          <w:tblHeader/>
        </w:trPr>
        <w:tc>
          <w:tcPr>
            <w:tcW w:type="dxa" w:w="2200"/>
            <w:shd w:fill="1F2A44" w:val="clear"/>
            <w:tcMar>
              <w:top w:type="dxa" w:w="100"/>
              <w:left w:type="dxa" w:w="120"/>
              <w:bottom w:type="dxa" w:w="100"/>
              <w:right w:type="dxa" w:w="120"/>
            </w:tcMar>
            <w:vAlign w:val="center"/>
          </w:tcPr>
          <w:p>
            <w:r>
              <w:rPr>
                <w:b/>
                <w:bCs/>
                <w:color w:val="FFFFFF"/>
                <w:sz w:val="19"/>
                <w:szCs w:val="19"/>
              </w:rPr>
              <w:t xml:space="preserve"/>
            </w:r>
          </w:p>
        </w:tc>
        <w:tc>
          <w:tcPr>
            <w:tcW w:type="dxa" w:w="2400"/>
            <w:shd w:fill="1F2A44" w:val="clear"/>
            <w:tcMar>
              <w:top w:type="dxa" w:w="100"/>
              <w:left w:type="dxa" w:w="120"/>
              <w:bottom w:type="dxa" w:w="100"/>
              <w:right w:type="dxa" w:w="120"/>
            </w:tcMar>
            <w:vAlign w:val="center"/>
          </w:tcPr>
          <w:p>
            <w:r>
              <w:rPr>
                <w:b/>
                <w:bCs/>
                <w:color w:val="FFFFFF"/>
                <w:sz w:val="19"/>
                <w:szCs w:val="19"/>
              </w:rPr>
              <w:t xml:space="preserve">Disengaged At-Risk</w:t>
            </w:r>
          </w:p>
        </w:tc>
        <w:tc>
          <w:tcPr>
            <w:tcW w:type="dxa" w:w="2400"/>
            <w:shd w:fill="1F2A44" w:val="clear"/>
            <w:tcMar>
              <w:top w:type="dxa" w:w="100"/>
              <w:left w:type="dxa" w:w="120"/>
              <w:bottom w:type="dxa" w:w="100"/>
              <w:right w:type="dxa" w:w="120"/>
            </w:tcMar>
            <w:vAlign w:val="center"/>
          </w:tcPr>
          <w:p>
            <w:r>
              <w:rPr>
                <w:b/>
                <w:bCs/>
                <w:color w:val="FFFFFF"/>
                <w:sz w:val="19"/>
                <w:szCs w:val="19"/>
              </w:rPr>
              <w:t xml:space="preserve">Loyal Core</w:t>
            </w:r>
          </w:p>
        </w:tc>
        <w:tc>
          <w:tcPr>
            <w:tcW w:type="dxa" w:w="2350"/>
            <w:shd w:fill="1F2A44" w:val="clear"/>
            <w:tcMar>
              <w:top w:type="dxa" w:w="100"/>
              <w:left w:type="dxa" w:w="120"/>
              <w:bottom w:type="dxa" w:w="100"/>
              <w:right w:type="dxa" w:w="120"/>
            </w:tcMar>
            <w:vAlign w:val="center"/>
          </w:tcPr>
          <w:p>
            <w:r>
              <w:rPr>
                <w:b/>
                <w:bCs/>
                <w:color w:val="FFFFFF"/>
                <w:sz w:val="19"/>
                <w:szCs w:val="19"/>
              </w:rPr>
              <w:t xml:space="preserve">High-Frequency New Flyers</w:t>
            </w:r>
          </w:p>
        </w:tc>
      </w:tr>
      <w:tr>
        <w:tc>
          <w:tcPr>
            <w:tcW w:type="dxa" w:w="2200"/>
            <w:shd w:fill="FFFFFF" w:val="clear"/>
            <w:tcMar>
              <w:top w:type="dxa" w:w="90"/>
              <w:left w:type="dxa" w:w="120"/>
              <w:bottom w:type="dxa" w:w="90"/>
              <w:right w:type="dxa" w:w="120"/>
            </w:tcMar>
            <w:vAlign w:val="center"/>
          </w:tcPr>
          <w:p>
            <w:r>
              <w:rPr>
                <w:color w:val="2B2B2B"/>
                <w:sz w:val="19"/>
                <w:szCs w:val="19"/>
              </w:rPr>
              <w:t xml:space="preserve">Share of base</w:t>
            </w:r>
          </w:p>
        </w:tc>
        <w:tc>
          <w:tcPr>
            <w:tcW w:type="dxa" w:w="2400"/>
            <w:shd w:fill="FFFFFF" w:val="clear"/>
            <w:tcMar>
              <w:top w:type="dxa" w:w="90"/>
              <w:left w:type="dxa" w:w="120"/>
              <w:bottom w:type="dxa" w:w="90"/>
              <w:right w:type="dxa" w:w="120"/>
            </w:tcMar>
            <w:vAlign w:val="center"/>
          </w:tcPr>
          <w:p>
            <w:r>
              <w:rPr>
                <w:color w:val="2B2B2B"/>
                <w:sz w:val="19"/>
                <w:szCs w:val="19"/>
              </w:rPr>
              <w:t xml:space="preserve">25.0% (4,420)</w:t>
            </w:r>
          </w:p>
        </w:tc>
        <w:tc>
          <w:tcPr>
            <w:tcW w:type="dxa" w:w="2400"/>
            <w:shd w:fill="FFFFFF" w:val="clear"/>
            <w:tcMar>
              <w:top w:type="dxa" w:w="90"/>
              <w:left w:type="dxa" w:w="120"/>
              <w:bottom w:type="dxa" w:w="90"/>
              <w:right w:type="dxa" w:w="120"/>
            </w:tcMar>
            <w:vAlign w:val="center"/>
          </w:tcPr>
          <w:p>
            <w:r>
              <w:rPr>
                <w:color w:val="2B2B2B"/>
                <w:sz w:val="19"/>
                <w:szCs w:val="19"/>
              </w:rPr>
              <w:t xml:space="preserve">68.6% (11,482)</w:t>
            </w:r>
          </w:p>
        </w:tc>
        <w:tc>
          <w:tcPr>
            <w:tcW w:type="dxa" w:w="2350"/>
            <w:shd w:fill="FFFFFF" w:val="clear"/>
            <w:tcMar>
              <w:top w:type="dxa" w:w="90"/>
              <w:left w:type="dxa" w:w="120"/>
              <w:bottom w:type="dxa" w:w="90"/>
              <w:right w:type="dxa" w:w="120"/>
            </w:tcMar>
            <w:vAlign w:val="center"/>
          </w:tcPr>
          <w:p>
            <w:r>
              <w:rPr>
                <w:color w:val="2B2B2B"/>
                <w:sz w:val="19"/>
                <w:szCs w:val="19"/>
              </w:rPr>
              <w:t xml:space="preserve">5.0% (835)</w:t>
            </w:r>
          </w:p>
        </w:tc>
      </w:tr>
      <w:tr>
        <w:tc>
          <w:tcPr>
            <w:tcW w:type="dxa" w:w="2200"/>
            <w:shd w:fill="F4F5F7" w:val="clear"/>
            <w:tcMar>
              <w:top w:type="dxa" w:w="90"/>
              <w:left w:type="dxa" w:w="120"/>
              <w:bottom w:type="dxa" w:w="90"/>
              <w:right w:type="dxa" w:w="120"/>
            </w:tcMar>
            <w:vAlign w:val="center"/>
          </w:tcPr>
          <w:p>
            <w:r>
              <w:rPr>
                <w:color w:val="2B2B2B"/>
                <w:sz w:val="19"/>
                <w:szCs w:val="19"/>
              </w:rPr>
              <w:t xml:space="preserve">Churn rate</w:t>
            </w:r>
          </w:p>
        </w:tc>
        <w:tc>
          <w:tcPr>
            <w:tcW w:type="dxa" w:w="2400"/>
            <w:shd w:fill="F4F5F7" w:val="clear"/>
            <w:tcMar>
              <w:top w:type="dxa" w:w="90"/>
              <w:left w:type="dxa" w:w="120"/>
              <w:bottom w:type="dxa" w:w="90"/>
              <w:right w:type="dxa" w:w="120"/>
            </w:tcMar>
            <w:vAlign w:val="center"/>
          </w:tcPr>
          <w:p>
            <w:r>
              <w:rPr>
                <w:color w:val="2B2B2B"/>
                <w:sz w:val="19"/>
                <w:szCs w:val="19"/>
              </w:rPr>
              <w:t xml:space="preserve">53.4%</w:t>
            </w:r>
          </w:p>
        </w:tc>
        <w:tc>
          <w:tcPr>
            <w:tcW w:type="dxa" w:w="2400"/>
            <w:shd w:fill="F4F5F7" w:val="clear"/>
            <w:tcMar>
              <w:top w:type="dxa" w:w="90"/>
              <w:left w:type="dxa" w:w="120"/>
              <w:bottom w:type="dxa" w:w="90"/>
              <w:right w:type="dxa" w:w="120"/>
            </w:tcMar>
            <w:vAlign w:val="center"/>
          </w:tcPr>
          <w:p>
            <w:r>
              <w:rPr>
                <w:color w:val="2B2B2B"/>
                <w:sz w:val="19"/>
                <w:szCs w:val="19"/>
              </w:rPr>
              <w:t xml:space="preserve">2.0%</w:t>
            </w:r>
          </w:p>
        </w:tc>
        <w:tc>
          <w:tcPr>
            <w:tcW w:type="dxa" w:w="2350"/>
            <w:shd w:fill="F4F5F7" w:val="clear"/>
            <w:tcMar>
              <w:top w:type="dxa" w:w="90"/>
              <w:left w:type="dxa" w:w="120"/>
              <w:bottom w:type="dxa" w:w="90"/>
              <w:right w:type="dxa" w:w="120"/>
            </w:tcMar>
            <w:vAlign w:val="center"/>
          </w:tcPr>
          <w:p>
            <w:r>
              <w:rPr>
                <w:color w:val="2B2B2B"/>
                <w:sz w:val="19"/>
                <w:szCs w:val="19"/>
              </w:rPr>
              <w:t xml:space="preserve">11.3%</w:t>
            </w:r>
          </w:p>
        </w:tc>
      </w:tr>
      <w:tr>
        <w:tc>
          <w:tcPr>
            <w:tcW w:type="dxa" w:w="2200"/>
            <w:shd w:fill="FFFFFF" w:val="clear"/>
            <w:tcMar>
              <w:top w:type="dxa" w:w="90"/>
              <w:left w:type="dxa" w:w="120"/>
              <w:bottom w:type="dxa" w:w="90"/>
              <w:right w:type="dxa" w:w="120"/>
            </w:tcMar>
            <w:vAlign w:val="center"/>
          </w:tcPr>
          <w:p>
            <w:r>
              <w:rPr>
                <w:color w:val="2B2B2B"/>
                <w:sz w:val="19"/>
                <w:szCs w:val="19"/>
              </w:rPr>
              <w:t xml:space="preserve">Avg. tenure</w:t>
            </w:r>
          </w:p>
        </w:tc>
        <w:tc>
          <w:tcPr>
            <w:tcW w:type="dxa" w:w="2400"/>
            <w:shd w:fill="FFFFFF" w:val="clear"/>
            <w:tcMar>
              <w:top w:type="dxa" w:w="90"/>
              <w:left w:type="dxa" w:w="120"/>
              <w:bottom w:type="dxa" w:w="90"/>
              <w:right w:type="dxa" w:w="120"/>
            </w:tcMar>
            <w:vAlign w:val="center"/>
          </w:tcPr>
          <w:p>
            <w:r>
              <w:rPr>
                <w:color w:val="2B2B2B"/>
                <w:sz w:val="19"/>
                <w:szCs w:val="19"/>
              </w:rPr>
              <w:t xml:space="preserve">24.6 months</w:t>
            </w:r>
          </w:p>
        </w:tc>
        <w:tc>
          <w:tcPr>
            <w:tcW w:type="dxa" w:w="2400"/>
            <w:shd w:fill="FFFFFF" w:val="clear"/>
            <w:tcMar>
              <w:top w:type="dxa" w:w="90"/>
              <w:left w:type="dxa" w:w="120"/>
              <w:bottom w:type="dxa" w:w="90"/>
              <w:right w:type="dxa" w:w="120"/>
            </w:tcMar>
            <w:vAlign w:val="center"/>
          </w:tcPr>
          <w:p>
            <w:r>
              <w:rPr>
                <w:color w:val="2B2B2B"/>
                <w:sz w:val="19"/>
                <w:szCs w:val="19"/>
              </w:rPr>
              <w:t xml:space="preserve">45.7 months</w:t>
            </w:r>
          </w:p>
        </w:tc>
        <w:tc>
          <w:tcPr>
            <w:tcW w:type="dxa" w:w="2350"/>
            <w:shd w:fill="FFFFFF" w:val="clear"/>
            <w:tcMar>
              <w:top w:type="dxa" w:w="90"/>
              <w:left w:type="dxa" w:w="120"/>
              <w:bottom w:type="dxa" w:w="90"/>
              <w:right w:type="dxa" w:w="120"/>
            </w:tcMar>
            <w:vAlign w:val="center"/>
          </w:tcPr>
          <w:p>
            <w:r>
              <w:rPr>
                <w:color w:val="2B2B2B"/>
                <w:sz w:val="19"/>
                <w:szCs w:val="19"/>
              </w:rPr>
              <w:t xml:space="preserve">9 months</w:t>
            </w:r>
          </w:p>
        </w:tc>
      </w:tr>
      <w:tr>
        <w:tc>
          <w:tcPr>
            <w:tcW w:type="dxa" w:w="2200"/>
            <w:shd w:fill="F4F5F7" w:val="clear"/>
            <w:tcMar>
              <w:top w:type="dxa" w:w="90"/>
              <w:left w:type="dxa" w:w="120"/>
              <w:bottom w:type="dxa" w:w="90"/>
              <w:right w:type="dxa" w:w="120"/>
            </w:tcMar>
            <w:vAlign w:val="center"/>
          </w:tcPr>
          <w:p>
            <w:r>
              <w:rPr>
                <w:color w:val="2B2B2B"/>
                <w:sz w:val="19"/>
                <w:szCs w:val="19"/>
              </w:rPr>
              <w:t xml:space="preserve">Last flew</w:t>
            </w:r>
          </w:p>
        </w:tc>
        <w:tc>
          <w:tcPr>
            <w:tcW w:type="dxa" w:w="2400"/>
            <w:shd w:fill="F4F5F7" w:val="clear"/>
            <w:tcMar>
              <w:top w:type="dxa" w:w="90"/>
              <w:left w:type="dxa" w:w="120"/>
              <w:bottom w:type="dxa" w:w="90"/>
              <w:right w:type="dxa" w:w="120"/>
            </w:tcMar>
            <w:vAlign w:val="center"/>
          </w:tcPr>
          <w:p>
            <w:r>
              <w:rPr>
                <w:color w:val="2B2B2B"/>
                <w:sz w:val="19"/>
                <w:szCs w:val="19"/>
              </w:rPr>
              <w:t xml:space="preserve">Over a year ago on average</w:t>
            </w:r>
          </w:p>
        </w:tc>
        <w:tc>
          <w:tcPr>
            <w:tcW w:type="dxa" w:w="2400"/>
            <w:shd w:fill="F4F5F7" w:val="clear"/>
            <w:tcMar>
              <w:top w:type="dxa" w:w="90"/>
              <w:left w:type="dxa" w:w="120"/>
              <w:bottom w:type="dxa" w:w="90"/>
              <w:right w:type="dxa" w:w="120"/>
            </w:tcMar>
            <w:vAlign w:val="center"/>
          </w:tcPr>
          <w:p>
            <w:r>
              <w:rPr>
                <w:color w:val="2B2B2B"/>
                <w:sz w:val="19"/>
                <w:szCs w:val="19"/>
              </w:rPr>
              <w:t xml:space="preserve">Flies consistently year-round</w:t>
            </w:r>
          </w:p>
        </w:tc>
        <w:tc>
          <w:tcPr>
            <w:tcW w:type="dxa" w:w="2350"/>
            <w:shd w:fill="F4F5F7" w:val="clear"/>
            <w:tcMar>
              <w:top w:type="dxa" w:w="90"/>
              <w:left w:type="dxa" w:w="120"/>
              <w:bottom w:type="dxa" w:w="90"/>
              <w:right w:type="dxa" w:w="120"/>
            </w:tcMar>
            <w:vAlign w:val="center"/>
          </w:tcPr>
          <w:p>
            <w:r>
              <w:rPr>
                <w:color w:val="2B2B2B"/>
                <w:sz w:val="19"/>
                <w:szCs w:val="19"/>
              </w:rPr>
              <w:t xml:space="preserve">Most active flyers in the base</w:t>
            </w:r>
          </w:p>
        </w:tc>
      </w:tr>
      <w:tr>
        <w:tc>
          <w:tcPr>
            <w:tcW w:type="dxa" w:w="2200"/>
            <w:shd w:fill="FFFFFF" w:val="clear"/>
            <w:tcMar>
              <w:top w:type="dxa" w:w="90"/>
              <w:left w:type="dxa" w:w="120"/>
              <w:bottom w:type="dxa" w:w="90"/>
              <w:right w:type="dxa" w:w="120"/>
            </w:tcMar>
            <w:vAlign w:val="center"/>
          </w:tcPr>
          <w:p>
            <w:r>
              <w:rPr>
                <w:color w:val="2B2B2B"/>
                <w:sz w:val="19"/>
                <w:szCs w:val="19"/>
              </w:rPr>
              <w:t xml:space="preserve">Redemption behavior</w:t>
            </w:r>
          </w:p>
        </w:tc>
        <w:tc>
          <w:tcPr>
            <w:tcW w:type="dxa" w:w="2400"/>
            <w:shd w:fill="FFFFFF" w:val="clear"/>
            <w:tcMar>
              <w:top w:type="dxa" w:w="90"/>
              <w:left w:type="dxa" w:w="120"/>
              <w:bottom w:type="dxa" w:w="90"/>
              <w:right w:type="dxa" w:w="120"/>
            </w:tcMar>
            <w:vAlign w:val="center"/>
          </w:tcPr>
          <w:p>
            <w:r>
              <w:rPr>
                <w:color w:val="2B2B2B"/>
                <w:sz w:val="19"/>
                <w:szCs w:val="19"/>
              </w:rPr>
              <w:t xml:space="preserve">Redemption rate ≈ 0.97 — burning points before leaving</w:t>
            </w:r>
          </w:p>
        </w:tc>
        <w:tc>
          <w:tcPr>
            <w:tcW w:type="dxa" w:w="2400"/>
            <w:shd w:fill="FFFFFF" w:val="clear"/>
            <w:tcMar>
              <w:top w:type="dxa" w:w="90"/>
              <w:left w:type="dxa" w:w="120"/>
              <w:bottom w:type="dxa" w:w="90"/>
              <w:right w:type="dxa" w:w="120"/>
            </w:tcMar>
            <w:vAlign w:val="center"/>
          </w:tcPr>
          <w:p>
            <w:r>
              <w:rPr>
                <w:color w:val="2B2B2B"/>
                <w:sz w:val="19"/>
                <w:szCs w:val="19"/>
              </w:rPr>
              <w:t xml:space="preserve">Steady, moderate redemption</w:t>
            </w:r>
          </w:p>
        </w:tc>
        <w:tc>
          <w:tcPr>
            <w:tcW w:type="dxa" w:w="2350"/>
            <w:shd w:fill="FFFFFF" w:val="clear"/>
            <w:tcMar>
              <w:top w:type="dxa" w:w="90"/>
              <w:left w:type="dxa" w:w="120"/>
              <w:bottom w:type="dxa" w:w="90"/>
              <w:right w:type="dxa" w:w="120"/>
            </w:tcMar>
            <w:vAlign w:val="center"/>
          </w:tcPr>
          <w:p>
            <w:r>
              <w:rPr>
                <w:color w:val="2B2B2B"/>
                <w:sz w:val="19"/>
                <w:szCs w:val="19"/>
              </w:rPr>
              <w:t xml:space="preserve">Redemption rate ≈ 0.00 — never redeemed</w:t>
            </w:r>
          </w:p>
        </w:tc>
      </w:tr>
      <w:tr>
        <w:tc>
          <w:tcPr>
            <w:tcW w:type="dxa" w:w="2200"/>
            <w:shd w:fill="F4F5F7" w:val="clear"/>
            <w:tcMar>
              <w:top w:type="dxa" w:w="90"/>
              <w:left w:type="dxa" w:w="120"/>
              <w:bottom w:type="dxa" w:w="90"/>
              <w:right w:type="dxa" w:w="120"/>
            </w:tcMar>
            <w:vAlign w:val="center"/>
          </w:tcPr>
          <w:p>
            <w:r>
              <w:rPr>
                <w:color w:val="2B2B2B"/>
                <w:sz w:val="19"/>
                <w:szCs w:val="19"/>
              </w:rPr>
              <w:t xml:space="preserve">What it means</w:t>
            </w:r>
          </w:p>
        </w:tc>
        <w:tc>
          <w:tcPr>
            <w:tcW w:type="dxa" w:w="2400"/>
            <w:shd w:fill="F4F5F7" w:val="clear"/>
            <w:tcMar>
              <w:top w:type="dxa" w:w="90"/>
              <w:left w:type="dxa" w:w="120"/>
              <w:bottom w:type="dxa" w:w="90"/>
              <w:right w:type="dxa" w:w="120"/>
            </w:tcMar>
            <w:vAlign w:val="center"/>
          </w:tcPr>
          <w:p>
            <w:r>
              <w:rPr>
                <w:color w:val="2B2B2B"/>
                <w:sz w:val="19"/>
                <w:szCs w:val="19"/>
              </w:rPr>
              <w:t xml:space="preserve">Silent quitters, cashing out before they go</w:t>
            </w:r>
          </w:p>
        </w:tc>
        <w:tc>
          <w:tcPr>
            <w:tcW w:type="dxa" w:w="2400"/>
            <w:shd w:fill="F4F5F7" w:val="clear"/>
            <w:tcMar>
              <w:top w:type="dxa" w:w="90"/>
              <w:left w:type="dxa" w:w="120"/>
              <w:bottom w:type="dxa" w:w="90"/>
              <w:right w:type="dxa" w:w="120"/>
            </w:tcMar>
            <w:vAlign w:val="center"/>
          </w:tcPr>
          <w:p>
            <w:r>
              <w:rPr>
                <w:color w:val="2B2B2B"/>
                <w:sz w:val="19"/>
                <w:szCs w:val="19"/>
              </w:rPr>
              <w:t xml:space="preserve">The programme's foundation, easy to take for granted</w:t>
            </w:r>
          </w:p>
        </w:tc>
        <w:tc>
          <w:tcPr>
            <w:tcW w:type="dxa" w:w="2350"/>
            <w:shd w:fill="F4F5F7" w:val="clear"/>
            <w:tcMar>
              <w:top w:type="dxa" w:w="90"/>
              <w:left w:type="dxa" w:w="120"/>
              <w:bottom w:type="dxa" w:w="90"/>
              <w:right w:type="dxa" w:w="120"/>
            </w:tcMar>
            <w:vAlign w:val="center"/>
          </w:tcPr>
          <w:p>
            <w:r>
              <w:rPr>
                <w:color w:val="2B2B2B"/>
                <w:sz w:val="19"/>
                <w:szCs w:val="19"/>
              </w:rPr>
              <w:t xml:space="preserve">Treat the airline like a bus service — useful, not meaningful</w:t>
            </w:r>
          </w:p>
        </w:tc>
      </w:tr>
    </w:tbl>
    <w:p>
      <w:pPr>
        <w:spacing w:after="100"/>
      </w:pPr>
    </w:p>
    <w:p>
      <w:pPr>
        <w:spacing w:after="100" w:before="220"/>
      </w:pPr>
      <w:r>
        <w:rPr>
          <w:b/>
          <w:bCs/>
          <w:color w:val="1F2A44"/>
          <w:sz w:val="22"/>
          <w:szCs w:val="22"/>
        </w:rPr>
        <w:t xml:space="preserve">Why loyalty card tier does not explain any of this</w:t>
      </w:r>
    </w:p>
    <w:p>
      <w:pPr>
        <w:spacing w:after="160" w:line="300"/>
      </w:pPr>
      <w:r>
        <w:rPr>
          <w:i w:val="false"/>
          <w:iCs w:val="false"/>
          <w:color w:val="2B2B2B"/>
          <w:sz w:val="21"/>
          <w:szCs w:val="21"/>
        </w:rPr>
        <w:t xml:space="preserve">A natural assumption going in was that Aurora (top-tier) cardholders would be the most loyal and Star (entry-tier) cardholders the most at-risk. The data rejected this: the distribution of Star, Nova, and Aurora cardholders was nearly identical across all three behavioral segments, including the most disengaged one. This means retention spend allocated purely by card tier would be substantially wasted — behavior, not badge, is what actually predicts and explains customer value and risk.</w:t>
      </w:r>
    </w:p>
    <w:p>
      <w:r>
        <w:br w:type="page"/>
      </w:r>
    </w:p>
    <w:p>
      <w:pPr>
        <w:pStyle w:val="Heading1"/>
        <w:pBdr>
          <w:bottom w:val="single" w:color="534AB7" w:sz="8" w:space="4"/>
        </w:pBdr>
        <w:spacing w:after="200" w:before="420"/>
      </w:pPr>
      <w:r>
        <w:rPr>
          <w:b/>
          <w:bCs/>
          <w:color w:val="1F2A44"/>
          <w:sz w:val="30"/>
          <w:szCs w:val="30"/>
        </w:rPr>
        <w:t xml:space="preserve">7. Key Findings</w:t>
      </w:r>
    </w:p>
    <w:p>
      <w:pPr>
        <w:spacing w:after="100" w:before="220"/>
      </w:pPr>
      <w:r>
        <w:rPr>
          <w:b/>
          <w:bCs/>
          <w:color w:val="1F2A44"/>
          <w:sz w:val="22"/>
          <w:szCs w:val="22"/>
        </w:rPr>
        <w:t xml:space="preserve">1. Recency beats everything else, by a wide margin</w:t>
      </w:r>
    </w:p>
    <w:p>
      <w:pPr>
        <w:spacing w:after="160" w:line="300"/>
      </w:pPr>
      <w:r>
        <w:rPr>
          <w:i w:val="false"/>
          <w:iCs w:val="false"/>
          <w:color w:val="2B2B2B"/>
          <w:sz w:val="21"/>
          <w:szCs w:val="21"/>
        </w:rPr>
        <w:t xml:space="preserve">How long ago a customer last flew was roughly six times more predictive of churn than the next-best signal, regardless of tier, salary, or accumulated points. The practical implication: a single CRM rule — 'flag anyone inactive for 90 days' — would capture most of the model's predictive value on its own.</w:t>
      </w:r>
    </w:p>
    <w:p>
      <w:pPr>
        <w:spacing w:after="100" w:before="220"/>
      </w:pPr>
      <w:r>
        <w:rPr>
          <w:b/>
          <w:bCs/>
          <w:color w:val="1F2A44"/>
          <w:sz w:val="22"/>
          <w:szCs w:val="22"/>
        </w:rPr>
        <w:t xml:space="preserve">2. Your most frequent flyers are not necessarily loyal</w:t>
      </w:r>
    </w:p>
    <w:p>
      <w:pPr>
        <w:spacing w:after="160" w:line="300"/>
      </w:pPr>
      <w:r>
        <w:rPr>
          <w:i w:val="false"/>
          <w:iCs w:val="false"/>
          <w:color w:val="2B2B2B"/>
          <w:sz w:val="21"/>
          <w:szCs w:val="21"/>
        </w:rPr>
        <w:t xml:space="preserve">813+ of the newest, most active flyers (over 4 flights/month on average) have never redeemed a single point, and 19% of this group is already high-risk. They are price-sensitive transactional flyers, not programme believers — vulnerable to any competitor's next fare sale.</w:t>
      </w:r>
    </w:p>
    <w:p>
      <w:pPr>
        <w:spacing w:after="100" w:before="220"/>
      </w:pPr>
      <w:r>
        <w:rPr>
          <w:b/>
          <w:bCs/>
          <w:color w:val="1F2A44"/>
          <w:sz w:val="22"/>
          <w:szCs w:val="22"/>
        </w:rPr>
        <w:t xml:space="preserve">3. Loyalty card tier tells you almost nothing about churn risk</w:t>
      </w:r>
    </w:p>
    <w:p>
      <w:pPr>
        <w:spacing w:after="160" w:line="300"/>
      </w:pPr>
      <w:r>
        <w:rPr>
          <w:i w:val="false"/>
          <w:iCs w:val="false"/>
          <w:color w:val="2B2B2B"/>
          <w:sz w:val="21"/>
          <w:szCs w:val="21"/>
        </w:rPr>
        <w:t xml:space="preserve">Star, Nova, and Aurora members were distributed almost identically across all three behavioral segments. Tier reflects historical spend, not current engagement or future risk.</w:t>
      </w:r>
    </w:p>
    <w:p>
      <w:pPr>
        <w:spacing w:after="100" w:before="220"/>
      </w:pPr>
      <w:r>
        <w:rPr>
          <w:b/>
          <w:bCs/>
          <w:color w:val="1F2A44"/>
          <w:sz w:val="22"/>
          <w:szCs w:val="22"/>
        </w:rPr>
        <w:t xml:space="preserve">4. A quarter of the base is already in trouble</w:t>
      </w:r>
    </w:p>
    <w:p>
      <w:pPr>
        <w:spacing w:after="160" w:line="300"/>
      </w:pPr>
      <w:r>
        <w:rPr>
          <w:i w:val="false"/>
          <w:iCs w:val="false"/>
          <w:color w:val="2B2B2B"/>
          <w:sz w:val="21"/>
          <w:szCs w:val="21"/>
        </w:rPr>
        <w:t xml:space="preserve">4,420 members (26.4%) show every warning sign at once: infrequent flying, long inactivity, and an unusually high redemption rate (a sign of cashing out before leaving). Over half of this group is already flagged high-risk.</w:t>
      </w:r>
    </w:p>
    <w:p>
      <w:pPr>
        <w:spacing w:after="100" w:before="220"/>
      </w:pPr>
      <w:r>
        <w:rPr>
          <w:b/>
          <w:bCs/>
          <w:color w:val="1F2A44"/>
          <w:sz w:val="22"/>
          <w:szCs w:val="22"/>
        </w:rPr>
        <w:t xml:space="preserve">5. Roughly 70% of the base is stable and almost entirely ignored</w:t>
      </w:r>
    </w:p>
    <w:p>
      <w:pPr>
        <w:spacing w:after="160" w:line="300"/>
      </w:pPr>
      <w:r>
        <w:rPr>
          <w:i w:val="false"/>
          <w:iCs w:val="false"/>
          <w:color w:val="2B2B2B"/>
          <w:sz w:val="21"/>
          <w:szCs w:val="21"/>
        </w:rPr>
        <w:t xml:space="preserve">11,482 Loyal Core members have been enrolled for nearly four years on average, fly consistently, and churn at just 1–2%. Because they're quiet, they rarely trigger any retention flag — but neglecting a loyal customer is a slow-acting risk, not a safe default.</w:t>
      </w:r>
    </w:p>
    <w:p>
      <w:r>
        <w:br w:type="page"/>
      </w:r>
    </w:p>
    <w:p>
      <w:pPr>
        <w:pStyle w:val="Heading1"/>
        <w:pBdr>
          <w:bottom w:val="single" w:color="534AB7" w:sz="8" w:space="4"/>
        </w:pBdr>
        <w:spacing w:after="200" w:before="420"/>
      </w:pPr>
      <w:r>
        <w:rPr>
          <w:b/>
          <w:bCs/>
          <w:color w:val="1F2A44"/>
          <w:sz w:val="30"/>
          <w:szCs w:val="30"/>
        </w:rPr>
        <w:t xml:space="preserve">8. Business Recommendations</w:t>
      </w:r>
    </w:p>
    <w:p>
      <w:pPr>
        <w:pStyle w:val="Heading2"/>
        <w:spacing w:after="140" w:before="320"/>
      </w:pPr>
      <w:r>
        <w:rPr>
          <w:b/>
          <w:bCs/>
          <w:color w:val="534AB7"/>
          <w:sz w:val="24"/>
          <w:szCs w:val="24"/>
        </w:rPr>
        <w:t xml:space="preserve">Recommendation 1 — Build a 90-Day Inactivity Early Warning System</w:t>
      </w:r>
    </w:p>
    <w:p>
      <w:pPr>
        <w:spacing w:after="160" w:line="300"/>
      </w:pPr>
      <w:r>
        <w:rPr>
          <w:i w:val="false"/>
          <w:iCs w:val="false"/>
          <w:color w:val="2B2B2B"/>
          <w:sz w:val="21"/>
          <w:szCs w:val="21"/>
        </w:rPr>
        <w:t xml:space="preserve">Owner: CMO / CRM &amp; Retention team.</w:t>
      </w:r>
    </w:p>
    <w:p>
      <w:pPr>
        <w:spacing w:after="160" w:line="300"/>
      </w:pPr>
      <w:r>
        <w:rPr>
          <w:i w:val="false"/>
          <w:iCs w:val="false"/>
          <w:color w:val="2B2B2B"/>
          <w:sz w:val="21"/>
          <w:szCs w:val="21"/>
        </w:rPr>
        <w:t xml:space="preserve">Automatically flag any member with no flight activity in 90 days and send a personally framed re-engagement message within the first week of that window. Escalate to a voucher or double-miles offer at 6 months of continued inactivity. This should be a standing CRM rule, not a one-off campaign.</w:t>
      </w:r>
    </w:p>
    <w:p>
      <w:pPr>
        <w:spacing w:after="160" w:line="300"/>
      </w:pPr>
      <w:r>
        <w:rPr>
          <w:i w:val="false"/>
          <w:iCs w:val="false"/>
          <w:color w:val="2B2B2B"/>
          <w:sz w:val="21"/>
          <w:szCs w:val="21"/>
        </w:rPr>
        <w:t xml:space="preserve">Rationale: recency is six times more predictive of churn than any other factor. Acting at 90 days — rather than waiting 6–12 months — converts an expensive win-back effort into a cheap, timely nudge. Estimated reduction in preventable churn among the at-risk segment: 20–30%.</w:t>
      </w:r>
    </w:p>
    <w:p>
      <w:pPr>
        <w:pStyle w:val="Heading2"/>
        <w:spacing w:after="140" w:before="320"/>
      </w:pPr>
      <w:r>
        <w:rPr>
          <w:b/>
          <w:bCs/>
          <w:color w:val="534AB7"/>
          <w:sz w:val="24"/>
          <w:szCs w:val="24"/>
        </w:rPr>
        <w:t xml:space="preserve">Recommendation 2 — Convert High-Frequency New Flyers into Believers Before Month 6</w:t>
      </w:r>
    </w:p>
    <w:p>
      <w:pPr>
        <w:spacing w:after="160" w:line="300"/>
      </w:pPr>
      <w:r>
        <w:rPr>
          <w:i w:val="false"/>
          <w:iCs w:val="false"/>
          <w:color w:val="2B2B2B"/>
          <w:sz w:val="21"/>
          <w:szCs w:val="21"/>
        </w:rPr>
        <w:t xml:space="preserve">Owner: CMO / Onboarding &amp; Loyalty Engagement team.</w:t>
      </w:r>
    </w:p>
    <w:p>
      <w:pPr>
        <w:spacing w:after="160" w:line="300"/>
      </w:pPr>
      <w:r>
        <w:rPr>
          <w:i w:val="false"/>
          <w:iCs w:val="false"/>
          <w:color w:val="2B2B2B"/>
          <w:sz w:val="21"/>
          <w:szCs w:val="21"/>
        </w:rPr>
        <w:t xml:space="preserve">Launch a 'First Redemption' campaign for any member under 12 months' tenure who has accumulated points but never redeemed them, offering a low-threshold reward (upgrade, lounge pass, small voucher) purely to build the habit of redeeming.</w:t>
      </w:r>
    </w:p>
    <w:p>
      <w:pPr>
        <w:spacing w:after="160" w:line="300"/>
      </w:pPr>
      <w:r>
        <w:rPr>
          <w:i w:val="false"/>
          <w:iCs w:val="false"/>
          <w:color w:val="2B2B2B"/>
          <w:sz w:val="21"/>
          <w:szCs w:val="21"/>
        </w:rPr>
        <w:t xml:space="preserve">Rationale: this group's redemption rate is currently exactly zero — they are fare-payers with a card, not programme members. Getting one redemption on record before month 6 builds psychological investment and meaningfully reduces the odds of losing them to a competitor's next cheaper fare.</w:t>
      </w:r>
    </w:p>
    <w:p>
      <w:pPr>
        <w:pStyle w:val="Heading2"/>
        <w:spacing w:after="140" w:before="320"/>
      </w:pPr>
      <w:r>
        <w:rPr>
          <w:b/>
          <w:bCs/>
          <w:color w:val="534AB7"/>
          <w:sz w:val="24"/>
          <w:szCs w:val="24"/>
        </w:rPr>
        <w:t xml:space="preserve">Recommendation 3 — Invest in the Loyal Core Before They Have a Reason to Leave</w:t>
      </w:r>
    </w:p>
    <w:p>
      <w:pPr>
        <w:spacing w:after="160" w:line="300"/>
      </w:pPr>
      <w:r>
        <w:rPr>
          <w:i w:val="false"/>
          <w:iCs w:val="false"/>
          <w:color w:val="2B2B2B"/>
          <w:sz w:val="21"/>
          <w:szCs w:val="21"/>
        </w:rPr>
        <w:t xml:space="preserve">Owner: CMO + CFO jointly (a budget allocation decision).</w:t>
      </w:r>
    </w:p>
    <w:p>
      <w:pPr>
        <w:spacing w:after="160" w:line="300"/>
      </w:pPr>
      <w:r>
        <w:rPr>
          <w:i w:val="false"/>
          <w:iCs w:val="false"/>
          <w:color w:val="2B2B2B"/>
          <w:sz w:val="21"/>
          <w:szCs w:val="21"/>
        </w:rPr>
        <w:t xml:space="preserve">Proactively reward the 11,482 Loyal Core members — e.g. tenure-anniversary rewards, surprise upgrades, priority access to new routes — rather than waiting for a churn signal that, by definition, this group rarely produces.</w:t>
      </w:r>
    </w:p>
    <w:p>
      <w:pPr>
        <w:spacing w:after="160" w:line="300"/>
      </w:pPr>
      <w:r>
        <w:rPr>
          <w:i w:val="false"/>
          <w:iCs w:val="false"/>
          <w:color w:val="2B2B2B"/>
          <w:sz w:val="21"/>
          <w:szCs w:val="21"/>
        </w:rPr>
        <w:t xml:space="preserve">Rationale: it costs far less to retain a loyal customer than to win back a lost one. If the Loyal Core's 1–2% churn rate drifted to 5%, the programme would lose roughly 580 long-tenured, high-value members per year — preventive investment here is the highest-return retention spend available.</w:t>
      </w:r>
    </w:p>
    <w:p>
      <w:r>
        <w:br w:type="page"/>
      </w:r>
    </w:p>
    <w:p>
      <w:pPr>
        <w:pStyle w:val="Heading1"/>
        <w:pBdr>
          <w:bottom w:val="single" w:color="534AB7" w:sz="8" w:space="4"/>
        </w:pBdr>
        <w:spacing w:after="200" w:before="420"/>
      </w:pPr>
      <w:r>
        <w:rPr>
          <w:b/>
          <w:bCs/>
          <w:color w:val="1F2A44"/>
          <w:sz w:val="30"/>
          <w:szCs w:val="30"/>
        </w:rPr>
        <w:t xml:space="preserve">9. Deliverables &amp; Tools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300"/>
        <w:gridCol w:w="3550"/>
        <w:gridCol w:w="3500"/>
      </w:tblGrid>
      <w:tr>
        <w:trPr>
          <w:tblHeader/>
        </w:trPr>
        <w:tc>
          <w:tcPr>
            <w:tcW w:type="dxa" w:w="2300"/>
            <w:shd w:fill="1F2A44" w:val="clear"/>
            <w:tcMar>
              <w:top w:type="dxa" w:w="100"/>
              <w:left w:type="dxa" w:w="120"/>
              <w:bottom w:type="dxa" w:w="100"/>
              <w:right w:type="dxa" w:w="120"/>
            </w:tcMar>
            <w:vAlign w:val="center"/>
          </w:tcPr>
          <w:p>
            <w:r>
              <w:rPr>
                <w:b/>
                <w:bCs/>
                <w:color w:val="FFFFFF"/>
                <w:sz w:val="19"/>
                <w:szCs w:val="19"/>
              </w:rPr>
              <w:t xml:space="preserve">Deliverable</w:t>
            </w:r>
          </w:p>
        </w:tc>
        <w:tc>
          <w:tcPr>
            <w:tcW w:type="dxa" w:w="3550"/>
            <w:shd w:fill="1F2A44" w:val="clear"/>
            <w:tcMar>
              <w:top w:type="dxa" w:w="100"/>
              <w:left w:type="dxa" w:w="120"/>
              <w:bottom w:type="dxa" w:w="100"/>
              <w:right w:type="dxa" w:w="120"/>
            </w:tcMar>
            <w:vAlign w:val="center"/>
          </w:tcPr>
          <w:p>
            <w:r>
              <w:rPr>
                <w:b/>
                <w:bCs/>
                <w:color w:val="FFFFFF"/>
                <w:sz w:val="19"/>
                <w:szCs w:val="19"/>
              </w:rPr>
              <w:t xml:space="preserve">File</w:t>
            </w:r>
          </w:p>
        </w:tc>
        <w:tc>
          <w:tcPr>
            <w:tcW w:type="dxa" w:w="3500"/>
            <w:shd w:fill="1F2A44" w:val="clear"/>
            <w:tcMar>
              <w:top w:type="dxa" w:w="100"/>
              <w:left w:type="dxa" w:w="120"/>
              <w:bottom w:type="dxa" w:w="100"/>
              <w:right w:type="dxa" w:w="120"/>
            </w:tcMar>
            <w:vAlign w:val="center"/>
          </w:tcPr>
          <w:p>
            <w:r>
              <w:rPr>
                <w:b/>
                <w:bCs/>
                <w:color w:val="FFFFFF"/>
                <w:sz w:val="19"/>
                <w:szCs w:val="19"/>
              </w:rPr>
              <w:t xml:space="preserve">Purpose</w:t>
            </w:r>
          </w:p>
        </w:tc>
      </w:tr>
      <w:tr>
        <w:tc>
          <w:tcPr>
            <w:tcW w:type="dxa" w:w="2300"/>
            <w:shd w:fill="FFFFFF" w:val="clear"/>
            <w:tcMar>
              <w:top w:type="dxa" w:w="90"/>
              <w:left w:type="dxa" w:w="120"/>
              <w:bottom w:type="dxa" w:w="90"/>
              <w:right w:type="dxa" w:w="120"/>
            </w:tcMar>
            <w:vAlign w:val="center"/>
          </w:tcPr>
          <w:p>
            <w:r>
              <w:rPr>
                <w:color w:val="2B2B2B"/>
                <w:sz w:val="19"/>
                <w:szCs w:val="19"/>
              </w:rPr>
              <w:t xml:space="preserve">Non-technical report</w:t>
            </w:r>
          </w:p>
        </w:tc>
        <w:tc>
          <w:tcPr>
            <w:tcW w:type="dxa" w:w="3550"/>
            <w:shd w:fill="FFFFFF" w:val="clear"/>
            <w:tcMar>
              <w:top w:type="dxa" w:w="90"/>
              <w:left w:type="dxa" w:w="120"/>
              <w:bottom w:type="dxa" w:w="90"/>
              <w:right w:type="dxa" w:w="120"/>
            </w:tcMar>
            <w:vAlign w:val="center"/>
          </w:tcPr>
          <w:p>
            <w:r>
              <w:rPr>
                <w:color w:val="2B2B2B"/>
                <w:sz w:val="19"/>
                <w:szCs w:val="19"/>
              </w:rPr>
              <w:t xml:space="preserve">Airline_Loyalty_NonTechnical_final_Report.pdf</w:t>
            </w:r>
          </w:p>
        </w:tc>
        <w:tc>
          <w:tcPr>
            <w:tcW w:type="dxa" w:w="3500"/>
            <w:shd w:fill="FFFFFF" w:val="clear"/>
            <w:tcMar>
              <w:top w:type="dxa" w:w="90"/>
              <w:left w:type="dxa" w:w="120"/>
              <w:bottom w:type="dxa" w:w="90"/>
              <w:right w:type="dxa" w:w="120"/>
            </w:tcMar>
            <w:vAlign w:val="center"/>
          </w:tcPr>
          <w:p>
            <w:r>
              <w:rPr>
                <w:color w:val="2B2B2B"/>
                <w:sz w:val="19"/>
                <w:szCs w:val="19"/>
              </w:rPr>
              <w:t xml:space="preserve">7-page narrative report for a non-technical business reader (CMO/CFO)</w:t>
            </w:r>
          </w:p>
        </w:tc>
      </w:tr>
      <w:tr>
        <w:tc>
          <w:tcPr>
            <w:tcW w:type="dxa" w:w="2300"/>
            <w:shd w:fill="F4F5F7" w:val="clear"/>
            <w:tcMar>
              <w:top w:type="dxa" w:w="90"/>
              <w:left w:type="dxa" w:w="120"/>
              <w:bottom w:type="dxa" w:w="90"/>
              <w:right w:type="dxa" w:w="120"/>
            </w:tcMar>
            <w:vAlign w:val="center"/>
          </w:tcPr>
          <w:p>
            <w:r>
              <w:rPr>
                <w:color w:val="2B2B2B"/>
                <w:sz w:val="19"/>
                <w:szCs w:val="19"/>
              </w:rPr>
              <w:t xml:space="preserve">Full analysis notebook</w:t>
            </w:r>
          </w:p>
        </w:tc>
        <w:tc>
          <w:tcPr>
            <w:tcW w:type="dxa" w:w="3550"/>
            <w:shd w:fill="F4F5F7" w:val="clear"/>
            <w:tcMar>
              <w:top w:type="dxa" w:w="90"/>
              <w:left w:type="dxa" w:w="120"/>
              <w:bottom w:type="dxa" w:w="90"/>
              <w:right w:type="dxa" w:w="120"/>
            </w:tcMar>
            <w:vAlign w:val="center"/>
          </w:tcPr>
          <w:p>
            <w:r>
              <w:rPr>
                <w:color w:val="2B2B2B"/>
                <w:sz w:val="19"/>
                <w:szCs w:val="19"/>
              </w:rPr>
              <w:t xml:space="preserve">Airline_Loyalty_Complete_Report.ipynb</w:t>
            </w:r>
          </w:p>
        </w:tc>
        <w:tc>
          <w:tcPr>
            <w:tcW w:type="dxa" w:w="3500"/>
            <w:shd w:fill="F4F5F7" w:val="clear"/>
            <w:tcMar>
              <w:top w:type="dxa" w:w="90"/>
              <w:left w:type="dxa" w:w="120"/>
              <w:bottom w:type="dxa" w:w="90"/>
              <w:right w:type="dxa" w:w="120"/>
            </w:tcMar>
            <w:vAlign w:val="center"/>
          </w:tcPr>
          <w:p>
            <w:r>
              <w:rPr>
                <w:color w:val="2B2B2B"/>
                <w:sz w:val="19"/>
                <w:szCs w:val="19"/>
              </w:rPr>
              <w:t xml:space="preserve">125-cell Jupyter notebook: every phase, every decision, all code and outputs</w:t>
            </w:r>
          </w:p>
        </w:tc>
      </w:tr>
      <w:tr>
        <w:tc>
          <w:tcPr>
            <w:tcW w:type="dxa" w:w="2300"/>
            <w:shd w:fill="FFFFFF" w:val="clear"/>
            <w:tcMar>
              <w:top w:type="dxa" w:w="90"/>
              <w:left w:type="dxa" w:w="120"/>
              <w:bottom w:type="dxa" w:w="90"/>
              <w:right w:type="dxa" w:w="120"/>
            </w:tcMar>
            <w:vAlign w:val="center"/>
          </w:tcPr>
          <w:p>
            <w:r>
              <w:rPr>
                <w:color w:val="2B2B2B"/>
                <w:sz w:val="19"/>
                <w:szCs w:val="19"/>
              </w:rPr>
              <w:t xml:space="preserve">Scored dataset</w:t>
            </w:r>
          </w:p>
        </w:tc>
        <w:tc>
          <w:tcPr>
            <w:tcW w:type="dxa" w:w="3550"/>
            <w:shd w:fill="FFFFFF" w:val="clear"/>
            <w:tcMar>
              <w:top w:type="dxa" w:w="90"/>
              <w:left w:type="dxa" w:w="120"/>
              <w:bottom w:type="dxa" w:w="90"/>
              <w:right w:type="dxa" w:w="120"/>
            </w:tcMar>
            <w:vAlign w:val="center"/>
          </w:tcPr>
          <w:p>
            <w:r>
              <w:rPr>
                <w:color w:val="2B2B2B"/>
                <w:sz w:val="19"/>
                <w:szCs w:val="19"/>
              </w:rPr>
              <w:t xml:space="preserve">final_customer_segments.csv</w:t>
            </w:r>
          </w:p>
        </w:tc>
        <w:tc>
          <w:tcPr>
            <w:tcW w:type="dxa" w:w="3500"/>
            <w:shd w:fill="FFFFFF" w:val="clear"/>
            <w:tcMar>
              <w:top w:type="dxa" w:w="90"/>
              <w:left w:type="dxa" w:w="120"/>
              <w:bottom w:type="dxa" w:w="90"/>
              <w:right w:type="dxa" w:w="120"/>
            </w:tcMar>
            <w:vAlign w:val="center"/>
          </w:tcPr>
          <w:p>
            <w:r>
              <w:rPr>
                <w:color w:val="2B2B2B"/>
                <w:sz w:val="19"/>
                <w:szCs w:val="19"/>
              </w:rPr>
              <w:t xml:space="preserve">16,737 customers with churn probability, risk tier, and cluster/segment label</w:t>
            </w:r>
          </w:p>
        </w:tc>
      </w:tr>
      <w:tr>
        <w:tc>
          <w:tcPr>
            <w:tcW w:type="dxa" w:w="2300"/>
            <w:shd w:fill="F4F5F7" w:val="clear"/>
            <w:tcMar>
              <w:top w:type="dxa" w:w="90"/>
              <w:left w:type="dxa" w:w="120"/>
              <w:bottom w:type="dxa" w:w="90"/>
              <w:right w:type="dxa" w:w="120"/>
            </w:tcMar>
            <w:vAlign w:val="center"/>
          </w:tcPr>
          <w:p>
            <w:r>
              <w:rPr>
                <w:color w:val="2B2B2B"/>
                <w:sz w:val="19"/>
                <w:szCs w:val="19"/>
              </w:rPr>
              <w:t xml:space="preserve">Interactive dashboard</w:t>
            </w:r>
          </w:p>
        </w:tc>
        <w:tc>
          <w:tcPr>
            <w:tcW w:type="dxa" w:w="3550"/>
            <w:shd w:fill="F4F5F7" w:val="clear"/>
            <w:tcMar>
              <w:top w:type="dxa" w:w="90"/>
              <w:left w:type="dxa" w:w="120"/>
              <w:bottom w:type="dxa" w:w="90"/>
              <w:right w:type="dxa" w:w="120"/>
            </w:tcMar>
            <w:vAlign w:val="center"/>
          </w:tcPr>
          <w:p>
            <w:r>
              <w:rPr>
                <w:color w:val="2B2B2B"/>
                <w:sz w:val="19"/>
                <w:szCs w:val="19"/>
              </w:rPr>
              <w:t xml:space="preserve">app.py (Streamlit)</w:t>
            </w:r>
          </w:p>
        </w:tc>
        <w:tc>
          <w:tcPr>
            <w:tcW w:type="dxa" w:w="3500"/>
            <w:shd w:fill="F4F5F7" w:val="clear"/>
            <w:tcMar>
              <w:top w:type="dxa" w:w="90"/>
              <w:left w:type="dxa" w:w="120"/>
              <w:bottom w:type="dxa" w:w="90"/>
              <w:right w:type="dxa" w:w="120"/>
            </w:tcMar>
            <w:vAlign w:val="center"/>
          </w:tcPr>
          <w:p>
            <w:r>
              <w:rPr>
                <w:color w:val="2B2B2B"/>
                <w:sz w:val="19"/>
                <w:szCs w:val="19"/>
              </w:rPr>
              <w:t xml:space="preserve">Executive summary, campaign planner, and customer lookup views</w:t>
            </w:r>
          </w:p>
        </w:tc>
      </w:tr>
    </w:tbl>
    <w:p>
      <w:pPr>
        <w:spacing w:after="100"/>
      </w:pPr>
    </w:p>
    <w:p>
      <w:pPr>
        <w:spacing w:after="160" w:line="300"/>
      </w:pPr>
      <w:r>
        <w:rPr>
          <w:i w:val="false"/>
          <w:iCs w:val="false"/>
          <w:color w:val="2B2B2B"/>
          <w:sz w:val="21"/>
          <w:szCs w:val="21"/>
        </w:rPr>
        <w:t xml:space="preserve">Live dashboard link: https://airlineloyaltyretention-fcazb9b8zccwwk6gtzudaf.streamlit.app/</w:t>
      </w:r>
    </w:p>
    <w:p>
      <w:pPr>
        <w:spacing w:after="160" w:line="300"/>
      </w:pPr>
      <w:r>
        <w:rPr>
          <w:i w:val="false"/>
          <w:iCs w:val="false"/>
          <w:color w:val="2B2B2B"/>
          <w:sz w:val="21"/>
          <w:szCs w:val="21"/>
        </w:rPr>
        <w:t xml:space="preserve">The models and outputs are designed to be refreshed as new flight data arrives, rather than treated as a one-time deliverable — the churn model and segmentation should be re-run periodically so the marketing team's view of the customer base stays current.</w:t>
      </w:r>
    </w:p>
    <w:p>
      <w:r>
        <w:br w:type="page"/>
      </w:r>
    </w:p>
    <w:p>
      <w:pPr>
        <w:pStyle w:val="Heading1"/>
        <w:pBdr>
          <w:bottom w:val="single" w:color="534AB7" w:sz="8" w:space="4"/>
        </w:pBdr>
        <w:spacing w:after="200" w:before="420"/>
      </w:pPr>
      <w:r>
        <w:rPr>
          <w:b/>
          <w:bCs/>
          <w:color w:val="1F2A44"/>
          <w:sz w:val="30"/>
          <w:szCs w:val="30"/>
        </w:rPr>
        <w:t xml:space="preserve">10. Glossary of Terms Used</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300"/>
        <w:gridCol w:w="7050"/>
      </w:tblGrid>
      <w:tr>
        <w:trPr>
          <w:tblHeader/>
        </w:trPr>
        <w:tc>
          <w:tcPr>
            <w:tcW w:type="dxa" w:w="2300"/>
            <w:shd w:fill="1F2A44" w:val="clear"/>
            <w:tcMar>
              <w:top w:type="dxa" w:w="100"/>
              <w:left w:type="dxa" w:w="120"/>
              <w:bottom w:type="dxa" w:w="100"/>
              <w:right w:type="dxa" w:w="120"/>
            </w:tcMar>
            <w:vAlign w:val="center"/>
          </w:tcPr>
          <w:p>
            <w:r>
              <w:rPr>
                <w:b/>
                <w:bCs/>
                <w:color w:val="FFFFFF"/>
                <w:sz w:val="19"/>
                <w:szCs w:val="19"/>
              </w:rPr>
              <w:t xml:space="preserve">Term</w:t>
            </w:r>
          </w:p>
        </w:tc>
        <w:tc>
          <w:tcPr>
            <w:tcW w:type="dxa" w:w="7050"/>
            <w:shd w:fill="1F2A44" w:val="clear"/>
            <w:tcMar>
              <w:top w:type="dxa" w:w="100"/>
              <w:left w:type="dxa" w:w="120"/>
              <w:bottom w:type="dxa" w:w="100"/>
              <w:right w:type="dxa" w:w="120"/>
            </w:tcMar>
            <w:vAlign w:val="center"/>
          </w:tcPr>
          <w:p>
            <w:r>
              <w:rPr>
                <w:b/>
                <w:bCs/>
                <w:color w:val="FFFFFF"/>
                <w:sz w:val="19"/>
                <w:szCs w:val="19"/>
              </w:rPr>
              <w:t xml:space="preserve">Meaning</w:t>
            </w:r>
          </w:p>
        </w:tc>
      </w:tr>
      <w:tr>
        <w:tc>
          <w:tcPr>
            <w:tcW w:type="dxa" w:w="2300"/>
            <w:shd w:fill="FFFFFF" w:val="clear"/>
            <w:tcMar>
              <w:top w:type="dxa" w:w="90"/>
              <w:left w:type="dxa" w:w="120"/>
              <w:bottom w:type="dxa" w:w="90"/>
              <w:right w:type="dxa" w:w="120"/>
            </w:tcMar>
            <w:vAlign w:val="center"/>
          </w:tcPr>
          <w:p>
            <w:r>
              <w:rPr>
                <w:color w:val="2B2B2B"/>
                <w:sz w:val="19"/>
                <w:szCs w:val="19"/>
              </w:rPr>
              <w:t xml:space="preserve">Churn</w:t>
            </w:r>
          </w:p>
        </w:tc>
        <w:tc>
          <w:tcPr>
            <w:tcW w:type="dxa" w:w="7050"/>
            <w:shd w:fill="FFFFFF" w:val="clear"/>
            <w:tcMar>
              <w:top w:type="dxa" w:w="90"/>
              <w:left w:type="dxa" w:w="120"/>
              <w:bottom w:type="dxa" w:w="90"/>
              <w:right w:type="dxa" w:w="120"/>
            </w:tcMar>
            <w:vAlign w:val="center"/>
          </w:tcPr>
          <w:p>
            <w:r>
              <w:rPr>
                <w:color w:val="2B2B2B"/>
                <w:sz w:val="19"/>
                <w:szCs w:val="19"/>
              </w:rPr>
              <w:t xml:space="preserve">A customer disengaging from the loyalty programme — defined here as formally cancelling OR having no flight activity in the 12 months leading up to the end of the observation period</w:t>
            </w:r>
          </w:p>
        </w:tc>
      </w:tr>
      <w:tr>
        <w:tc>
          <w:tcPr>
            <w:tcW w:type="dxa" w:w="2300"/>
            <w:shd w:fill="F4F5F7" w:val="clear"/>
            <w:tcMar>
              <w:top w:type="dxa" w:w="90"/>
              <w:left w:type="dxa" w:w="120"/>
              <w:bottom w:type="dxa" w:w="90"/>
              <w:right w:type="dxa" w:w="120"/>
            </w:tcMar>
            <w:vAlign w:val="center"/>
          </w:tcPr>
          <w:p>
            <w:r>
              <w:rPr>
                <w:color w:val="2B2B2B"/>
                <w:sz w:val="19"/>
                <w:szCs w:val="19"/>
              </w:rPr>
              <w:t xml:space="preserve">CLV</w:t>
            </w:r>
          </w:p>
        </w:tc>
        <w:tc>
          <w:tcPr>
            <w:tcW w:type="dxa" w:w="7050"/>
            <w:shd w:fill="F4F5F7" w:val="clear"/>
            <w:tcMar>
              <w:top w:type="dxa" w:w="90"/>
              <w:left w:type="dxa" w:w="120"/>
              <w:bottom w:type="dxa" w:w="90"/>
              <w:right w:type="dxa" w:w="120"/>
            </w:tcMar>
            <w:vAlign w:val="center"/>
          </w:tcPr>
          <w:p>
            <w:r>
              <w:rPr>
                <w:color w:val="2B2B2B"/>
                <w:sz w:val="19"/>
                <w:szCs w:val="19"/>
              </w:rPr>
              <w:t xml:space="preserve">Customer Lifetime Value — the estimated total value a customer brings over their relationship with the airline</w:t>
            </w:r>
          </w:p>
        </w:tc>
      </w:tr>
      <w:tr>
        <w:tc>
          <w:tcPr>
            <w:tcW w:type="dxa" w:w="2300"/>
            <w:shd w:fill="FFFFFF" w:val="clear"/>
            <w:tcMar>
              <w:top w:type="dxa" w:w="90"/>
              <w:left w:type="dxa" w:w="120"/>
              <w:bottom w:type="dxa" w:w="90"/>
              <w:right w:type="dxa" w:w="120"/>
            </w:tcMar>
            <w:vAlign w:val="center"/>
          </w:tcPr>
          <w:p>
            <w:r>
              <w:rPr>
                <w:color w:val="2B2B2B"/>
                <w:sz w:val="19"/>
                <w:szCs w:val="19"/>
              </w:rPr>
              <w:t xml:space="preserve">Recency</w:t>
            </w:r>
          </w:p>
        </w:tc>
        <w:tc>
          <w:tcPr>
            <w:tcW w:type="dxa" w:w="7050"/>
            <w:shd w:fill="FFFFFF" w:val="clear"/>
            <w:tcMar>
              <w:top w:type="dxa" w:w="90"/>
              <w:left w:type="dxa" w:w="120"/>
              <w:bottom w:type="dxa" w:w="90"/>
              <w:right w:type="dxa" w:w="120"/>
            </w:tcMar>
            <w:vAlign w:val="center"/>
          </w:tcPr>
          <w:p>
            <w:r>
              <w:rPr>
                <w:color w:val="2B2B2B"/>
                <w:sz w:val="19"/>
                <w:szCs w:val="19"/>
              </w:rPr>
              <w:t xml:space="preserve">How recently a customer was active (flew); measured here as Months_Since_Last_Flight</w:t>
            </w:r>
          </w:p>
        </w:tc>
      </w:tr>
      <w:tr>
        <w:tc>
          <w:tcPr>
            <w:tcW w:type="dxa" w:w="2300"/>
            <w:shd w:fill="F4F5F7" w:val="clear"/>
            <w:tcMar>
              <w:top w:type="dxa" w:w="90"/>
              <w:left w:type="dxa" w:w="120"/>
              <w:bottom w:type="dxa" w:w="90"/>
              <w:right w:type="dxa" w:w="120"/>
            </w:tcMar>
            <w:vAlign w:val="center"/>
          </w:tcPr>
          <w:p>
            <w:r>
              <w:rPr>
                <w:color w:val="2B2B2B"/>
                <w:sz w:val="19"/>
                <w:szCs w:val="19"/>
              </w:rPr>
              <w:t xml:space="preserve">Redemption Rate</w:t>
            </w:r>
          </w:p>
        </w:tc>
        <w:tc>
          <w:tcPr>
            <w:tcW w:type="dxa" w:w="7050"/>
            <w:shd w:fill="F4F5F7" w:val="clear"/>
            <w:tcMar>
              <w:top w:type="dxa" w:w="90"/>
              <w:left w:type="dxa" w:w="120"/>
              <w:bottom w:type="dxa" w:w="90"/>
              <w:right w:type="dxa" w:w="120"/>
            </w:tcMar>
            <w:vAlign w:val="center"/>
          </w:tcPr>
          <w:p>
            <w:r>
              <w:rPr>
                <w:color w:val="2B2B2B"/>
                <w:sz w:val="19"/>
                <w:szCs w:val="19"/>
              </w:rPr>
              <w:t xml:space="preserve">Points redeemed ÷ points accumulated — how actively a member 'cashes in' their earned points</w:t>
            </w:r>
          </w:p>
        </w:tc>
      </w:tr>
      <w:tr>
        <w:tc>
          <w:tcPr>
            <w:tcW w:type="dxa" w:w="2300"/>
            <w:shd w:fill="FFFFFF" w:val="clear"/>
            <w:tcMar>
              <w:top w:type="dxa" w:w="90"/>
              <w:left w:type="dxa" w:w="120"/>
              <w:bottom w:type="dxa" w:w="90"/>
              <w:right w:type="dxa" w:w="120"/>
            </w:tcMar>
            <w:vAlign w:val="center"/>
          </w:tcPr>
          <w:p>
            <w:r>
              <w:rPr>
                <w:color w:val="2B2B2B"/>
                <w:sz w:val="19"/>
                <w:szCs w:val="19"/>
              </w:rPr>
              <w:t xml:space="preserve">scale_pos_weight</w:t>
            </w:r>
          </w:p>
        </w:tc>
        <w:tc>
          <w:tcPr>
            <w:tcW w:type="dxa" w:w="7050"/>
            <w:shd w:fill="FFFFFF" w:val="clear"/>
            <w:tcMar>
              <w:top w:type="dxa" w:w="90"/>
              <w:left w:type="dxa" w:w="120"/>
              <w:bottom w:type="dxa" w:w="90"/>
              <w:right w:type="dxa" w:w="120"/>
            </w:tcMar>
            <w:vAlign w:val="center"/>
          </w:tcPr>
          <w:p>
            <w:r>
              <w:rPr>
                <w:color w:val="2B2B2B"/>
                <w:sz w:val="19"/>
                <w:szCs w:val="19"/>
              </w:rPr>
              <w:t xml:space="preserve">An XGBoost parameter that corrects for class imbalance by penalizing missed positive (churned) cases more heavily during training</w:t>
            </w:r>
          </w:p>
        </w:tc>
      </w:tr>
      <w:tr>
        <w:tc>
          <w:tcPr>
            <w:tcW w:type="dxa" w:w="2300"/>
            <w:shd w:fill="F4F5F7" w:val="clear"/>
            <w:tcMar>
              <w:top w:type="dxa" w:w="90"/>
              <w:left w:type="dxa" w:w="120"/>
              <w:bottom w:type="dxa" w:w="90"/>
              <w:right w:type="dxa" w:w="120"/>
            </w:tcMar>
            <w:vAlign w:val="center"/>
          </w:tcPr>
          <w:p>
            <w:r>
              <w:rPr>
                <w:color w:val="2B2B2B"/>
                <w:sz w:val="19"/>
                <w:szCs w:val="19"/>
              </w:rPr>
              <w:t xml:space="preserve">Recall</w:t>
            </w:r>
          </w:p>
        </w:tc>
        <w:tc>
          <w:tcPr>
            <w:tcW w:type="dxa" w:w="7050"/>
            <w:shd w:fill="F4F5F7" w:val="clear"/>
            <w:tcMar>
              <w:top w:type="dxa" w:w="90"/>
              <w:left w:type="dxa" w:w="120"/>
              <w:bottom w:type="dxa" w:w="90"/>
              <w:right w:type="dxa" w:w="120"/>
            </w:tcMar>
            <w:vAlign w:val="center"/>
          </w:tcPr>
          <w:p>
            <w:r>
              <w:rPr>
                <w:color w:val="2B2B2B"/>
                <w:sz w:val="19"/>
                <w:szCs w:val="19"/>
              </w:rPr>
              <w:t xml:space="preserve">Of all customers who actually churned, the percentage the model correctly identified</w:t>
            </w:r>
          </w:p>
        </w:tc>
      </w:tr>
      <w:tr>
        <w:tc>
          <w:tcPr>
            <w:tcW w:type="dxa" w:w="2300"/>
            <w:shd w:fill="FFFFFF" w:val="clear"/>
            <w:tcMar>
              <w:top w:type="dxa" w:w="90"/>
              <w:left w:type="dxa" w:w="120"/>
              <w:bottom w:type="dxa" w:w="90"/>
              <w:right w:type="dxa" w:w="120"/>
            </w:tcMar>
            <w:vAlign w:val="center"/>
          </w:tcPr>
          <w:p>
            <w:r>
              <w:rPr>
                <w:color w:val="2B2B2B"/>
                <w:sz w:val="19"/>
                <w:szCs w:val="19"/>
              </w:rPr>
              <w:t xml:space="preserve">Precision</w:t>
            </w:r>
          </w:p>
        </w:tc>
        <w:tc>
          <w:tcPr>
            <w:tcW w:type="dxa" w:w="7050"/>
            <w:shd w:fill="FFFFFF" w:val="clear"/>
            <w:tcMar>
              <w:top w:type="dxa" w:w="90"/>
              <w:left w:type="dxa" w:w="120"/>
              <w:bottom w:type="dxa" w:w="90"/>
              <w:right w:type="dxa" w:w="120"/>
            </w:tcMar>
            <w:vAlign w:val="center"/>
          </w:tcPr>
          <w:p>
            <w:r>
              <w:rPr>
                <w:color w:val="2B2B2B"/>
                <w:sz w:val="19"/>
                <w:szCs w:val="19"/>
              </w:rPr>
              <w:t xml:space="preserve">Of all customers the model flagged as churn risks, the percentage that actually churned</w:t>
            </w:r>
          </w:p>
        </w:tc>
      </w:tr>
      <w:tr>
        <w:tc>
          <w:tcPr>
            <w:tcW w:type="dxa" w:w="2300"/>
            <w:shd w:fill="F4F5F7" w:val="clear"/>
            <w:tcMar>
              <w:top w:type="dxa" w:w="90"/>
              <w:left w:type="dxa" w:w="120"/>
              <w:bottom w:type="dxa" w:w="90"/>
              <w:right w:type="dxa" w:w="120"/>
            </w:tcMar>
            <w:vAlign w:val="center"/>
          </w:tcPr>
          <w:p>
            <w:r>
              <w:rPr>
                <w:color w:val="2B2B2B"/>
                <w:sz w:val="19"/>
                <w:szCs w:val="19"/>
              </w:rPr>
              <w:t xml:space="preserve">AUC-ROC</w:t>
            </w:r>
          </w:p>
        </w:tc>
        <w:tc>
          <w:tcPr>
            <w:tcW w:type="dxa" w:w="7050"/>
            <w:shd w:fill="F4F5F7" w:val="clear"/>
            <w:tcMar>
              <w:top w:type="dxa" w:w="90"/>
              <w:left w:type="dxa" w:w="120"/>
              <w:bottom w:type="dxa" w:w="90"/>
              <w:right w:type="dxa" w:w="120"/>
            </w:tcMar>
            <w:vAlign w:val="center"/>
          </w:tcPr>
          <w:p>
            <w:r>
              <w:rPr>
                <w:color w:val="2B2B2B"/>
                <w:sz w:val="19"/>
                <w:szCs w:val="19"/>
              </w:rPr>
              <w:t xml:space="preserve">A threshold-independent score (0–1) of how well a model separates the two classes; 1.0 is perfect, 0.5 is random guessing</w:t>
            </w:r>
          </w:p>
        </w:tc>
      </w:tr>
      <w:tr>
        <w:tc>
          <w:tcPr>
            <w:tcW w:type="dxa" w:w="2300"/>
            <w:shd w:fill="FFFFFF" w:val="clear"/>
            <w:tcMar>
              <w:top w:type="dxa" w:w="90"/>
              <w:left w:type="dxa" w:w="120"/>
              <w:bottom w:type="dxa" w:w="90"/>
              <w:right w:type="dxa" w:w="120"/>
            </w:tcMar>
            <w:vAlign w:val="center"/>
          </w:tcPr>
          <w:p>
            <w:r>
              <w:rPr>
                <w:color w:val="2B2B2B"/>
                <w:sz w:val="19"/>
                <w:szCs w:val="19"/>
              </w:rPr>
              <w:t xml:space="preserve">Silhouette Score</w:t>
            </w:r>
          </w:p>
        </w:tc>
        <w:tc>
          <w:tcPr>
            <w:tcW w:type="dxa" w:w="7050"/>
            <w:shd w:fill="FFFFFF" w:val="clear"/>
            <w:tcMar>
              <w:top w:type="dxa" w:w="90"/>
              <w:left w:type="dxa" w:w="120"/>
              <w:bottom w:type="dxa" w:w="90"/>
              <w:right w:type="dxa" w:w="120"/>
            </w:tcMar>
            <w:vAlign w:val="center"/>
          </w:tcPr>
          <w:p>
            <w:r>
              <w:rPr>
                <w:color w:val="2B2B2B"/>
                <w:sz w:val="19"/>
                <w:szCs w:val="19"/>
              </w:rPr>
              <w:t xml:space="preserve">A clustering quality metric (−1 to 1) measuring how similar a point is to its own cluster versus other clusters</w:t>
            </w:r>
          </w:p>
        </w:tc>
      </w:tr>
      <w:tr>
        <w:tc>
          <w:tcPr>
            <w:tcW w:type="dxa" w:w="2300"/>
            <w:shd w:fill="F4F5F7" w:val="clear"/>
            <w:tcMar>
              <w:top w:type="dxa" w:w="90"/>
              <w:left w:type="dxa" w:w="120"/>
              <w:bottom w:type="dxa" w:w="90"/>
              <w:right w:type="dxa" w:w="120"/>
            </w:tcMar>
            <w:vAlign w:val="center"/>
          </w:tcPr>
          <w:p>
            <w:r>
              <w:rPr>
                <w:color w:val="2B2B2B"/>
                <w:sz w:val="19"/>
                <w:szCs w:val="19"/>
              </w:rPr>
              <w:t xml:space="preserve">K-Means</w:t>
            </w:r>
          </w:p>
        </w:tc>
        <w:tc>
          <w:tcPr>
            <w:tcW w:type="dxa" w:w="7050"/>
            <w:shd w:fill="F4F5F7" w:val="clear"/>
            <w:tcMar>
              <w:top w:type="dxa" w:w="90"/>
              <w:left w:type="dxa" w:w="120"/>
              <w:bottom w:type="dxa" w:w="90"/>
              <w:right w:type="dxa" w:w="120"/>
            </w:tcMar>
            <w:vAlign w:val="center"/>
          </w:tcPr>
          <w:p>
            <w:r>
              <w:rPr>
                <w:color w:val="2B2B2B"/>
                <w:sz w:val="19"/>
                <w:szCs w:val="19"/>
              </w:rPr>
              <w:t xml:space="preserve">An unsupervised algorithm that groups data points into k clusters by minimizing distance to each cluster's center</w:t>
            </w:r>
          </w:p>
        </w:tc>
      </w:tr>
      <w:tr>
        <w:tc>
          <w:tcPr>
            <w:tcW w:type="dxa" w:w="2300"/>
            <w:shd w:fill="FFFFFF" w:val="clear"/>
            <w:tcMar>
              <w:top w:type="dxa" w:w="90"/>
              <w:left w:type="dxa" w:w="120"/>
              <w:bottom w:type="dxa" w:w="90"/>
              <w:right w:type="dxa" w:w="120"/>
            </w:tcMar>
            <w:vAlign w:val="center"/>
          </w:tcPr>
          <w:p>
            <w:r>
              <w:rPr>
                <w:color w:val="2B2B2B"/>
                <w:sz w:val="19"/>
                <w:szCs w:val="19"/>
              </w:rPr>
              <w:t xml:space="preserve">One-hot encoding</w:t>
            </w:r>
          </w:p>
        </w:tc>
        <w:tc>
          <w:tcPr>
            <w:tcW w:type="dxa" w:w="7050"/>
            <w:shd w:fill="FFFFFF" w:val="clear"/>
            <w:tcMar>
              <w:top w:type="dxa" w:w="90"/>
              <w:left w:type="dxa" w:w="120"/>
              <w:bottom w:type="dxa" w:w="90"/>
              <w:right w:type="dxa" w:w="120"/>
            </w:tcMar>
            <w:vAlign w:val="center"/>
          </w:tcPr>
          <w:p>
            <w:r>
              <w:rPr>
                <w:color w:val="2B2B2B"/>
                <w:sz w:val="19"/>
                <w:szCs w:val="19"/>
              </w:rPr>
              <w:t xml:space="preserve">Turning a categorical column into multiple 0/1 columns, one per category, with no implied order</w:t>
            </w:r>
          </w:p>
        </w:tc>
      </w:tr>
      <w:tr>
        <w:tc>
          <w:tcPr>
            <w:tcW w:type="dxa" w:w="2300"/>
            <w:shd w:fill="F4F5F7" w:val="clear"/>
            <w:tcMar>
              <w:top w:type="dxa" w:w="90"/>
              <w:left w:type="dxa" w:w="120"/>
              <w:bottom w:type="dxa" w:w="90"/>
              <w:right w:type="dxa" w:w="120"/>
            </w:tcMar>
            <w:vAlign w:val="center"/>
          </w:tcPr>
          <w:p>
            <w:r>
              <w:rPr>
                <w:color w:val="2B2B2B"/>
                <w:sz w:val="19"/>
                <w:szCs w:val="19"/>
              </w:rPr>
              <w:t xml:space="preserve">Label encoding</w:t>
            </w:r>
          </w:p>
        </w:tc>
        <w:tc>
          <w:tcPr>
            <w:tcW w:type="dxa" w:w="7050"/>
            <w:shd w:fill="F4F5F7" w:val="clear"/>
            <w:tcMar>
              <w:top w:type="dxa" w:w="90"/>
              <w:left w:type="dxa" w:w="120"/>
              <w:bottom w:type="dxa" w:w="90"/>
              <w:right w:type="dxa" w:w="120"/>
            </w:tcMar>
            <w:vAlign w:val="center"/>
          </w:tcPr>
          <w:p>
            <w:r>
              <w:rPr>
                <w:color w:val="2B2B2B"/>
                <w:sz w:val="19"/>
                <w:szCs w:val="19"/>
              </w:rPr>
              <w:t xml:space="preserve">Turning an ordered categorical column into a single numeric column that preserves rank order</w:t>
            </w:r>
          </w:p>
        </w:tc>
      </w:tr>
    </w:tbl>
    <w:p>
      <w:pPr>
        <w:spacing w:after="200"/>
      </w:pPr>
    </w:p>
    <w:p>
      <w:pPr>
        <w:spacing w:after="160" w:line="300"/>
      </w:pPr>
      <w:r>
        <w:rPr>
          <w:i/>
          <w:iCs/>
          <w:color w:val="2B2B2B"/>
          <w:sz w:val="21"/>
          <w:szCs w:val="21"/>
        </w:rPr>
        <w:t xml:space="preserve">This report was written from the project's Jupyter notebook, non-technical PDF report, dashboard code, and final scored dataset, in order to give a single, complete reference to the data, the reasoning behind every decision, and the statistics that back them up.</w:t>
      </w:r>
    </w:p>
    <w:sectPr>
      <w:headerReference w:type="default" r:id="rId7"/>
      <w:footerReference w:type="default" r:id="rId8"/>
      <w:pgSz w:w="12240" w:h="15840" w:orient="portrait"/>
      <w:pgMar w:top="1250" w:right="1200" w:bottom="12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5"/>
        <w:szCs w:val="15"/>
      </w:rPr>
      <w:t xml:space="preserve">Page </w:t>
    </w:r>
    <w:r>
      <w:rPr>
        <w:color w:val="5B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AE0" w:sz="4" w:space="4"/>
      </w:pBdr>
      <w:tabs>
        <w:tab w:val="right" w:pos="9026"/>
      </w:tabs>
    </w:pPr>
    <w:r>
      <w:rPr>
        <w:color w:val="5B6472"/>
        <w:sz w:val="15"/>
        <w:szCs w:val="15"/>
      </w:rPr>
      <w:t xml:space="preserve">Airline Loyalty Behavioral Intelligence — Project Detail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2026-09-03T05:37:14.709Z</dcterms:created>
  <dcterms:modified xsi:type="dcterms:W3CDTF">2026-09-03T05:37:14.722Z</dcterms:modified>
</cp:coreProperties>
</file>

<file path=docProps/custom.xml><?xml version="1.0" encoding="utf-8"?>
<Properties xmlns="http://schemas.openxmlformats.org/officeDocument/2006/custom-properties" xmlns:vt="http://schemas.openxmlformats.org/officeDocument/2006/docPropsVTypes"/>
</file>