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aps/>
          <w:color w:val="2E75B6"/>
          <w:sz w:val="20"/>
          <w:szCs w:val="20"/>
        </w:rPr>
        <w:t xml:space="preserve">PHASE 3</w:t>
      </w:r>
    </w:p>
    <w:p>
      <w:pPr>
        <w:spacing w:after="240"/>
        <w:jc w:val="center"/>
      </w:pPr>
      <w:r>
        <w:rPr>
          <w:b/>
          <w:bCs/>
          <w:color w:val="1E2761"/>
          <w:sz w:val="52"/>
          <w:szCs w:val="52"/>
        </w:rPr>
        <w:t xml:space="preserve">Modelling Report</w:t>
      </w:r>
    </w:p>
    <w:p>
      <w:pPr>
        <w:spacing w:after="600"/>
        <w:jc w:val="center"/>
      </w:pPr>
      <w:r>
        <w:rPr>
          <w:color w:val="2E75B6"/>
          <w:sz w:val="22"/>
          <w:szCs w:val="22"/>
        </w:rPr>
        <w:t xml:space="preserve">Feature Engineering  |  Statistical Testing  |  Model Training</w:t>
      </w:r>
    </w:p>
    <w:p>
      <w:pPr>
        <w:pBdr>
          <w:top w:val="single" w:color="1E2761" w:sz="4"/>
        </w:pBdr>
        <w:spacing w:after="400"/>
      </w:pPr>
    </w:p>
    <w:p>
      <w:pPr>
        <w:spacing w:after="120"/>
        <w:jc w:val="center"/>
      </w:pPr>
      <w:r>
        <w:rPr>
          <w:color w:val="1E293B"/>
          <w:sz w:val="22"/>
          <w:szCs w:val="22"/>
        </w:rPr>
        <w:t xml:space="preserve">Credit Risk Prediction Project</w:t>
      </w:r>
    </w:p>
    <w:p>
      <w:pPr>
        <w:jc w:val="center"/>
      </w:pPr>
      <w:r>
        <w:rPr>
          <w:i/>
          <w:iCs/>
          <w:color w:val="64748B"/>
          <w:sz w:val="20"/>
          <w:szCs w:val="20"/>
        </w:rPr>
        <w:t xml:space="preserve">Explainable ML in Corporate Banking</w:t>
      </w:r>
    </w:p>
    <w:p>
      <w:r>
        <w:br w:type="page"/>
      </w:r>
    </w:p>
    <w:p>
      <w:pPr>
        <w:pBdr>
          <w:bottom w:val="single" w:color="1E2761" w:sz="6"/>
        </w:pBdr>
        <w:spacing w:after="120" w:before="400"/>
      </w:pPr>
      <w:r>
        <w:rPr>
          <w:b/>
          <w:bCs/>
          <w:color w:val="1E2761"/>
          <w:sz w:val="30"/>
          <w:szCs w:val="30"/>
        </w:rPr>
        <w:t xml:space="preserve">1. Overview</w:t>
      </w:r>
    </w:p>
    <w:p>
      <w:pPr>
        <w:spacing w:after="100"/>
        <w:jc w:val="both"/>
      </w:pPr>
      <w:r>
        <w:rPr>
          <w:color w:val="1E293B"/>
          <w:sz w:val="20"/>
          <w:szCs w:val="20"/>
        </w:rPr>
        <w:t xml:space="preserve">This report covers Phase 3 of the credit risk prediction project — feature engineering, statistical feature selection, and model training. The phase is split across two notebooks: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E2761" w:val="clear"/>
            <w:tcMar>
              <w:top w:type="dxa" w:w="80"/>
              <w:left w:type="dxa" w:w="120"/>
              <w:bottom w:type="dxa" w:w="80"/>
              <w:right w:type="dxa" w:w="120"/>
            </w:tcMar>
          </w:tcPr>
          <w:p>
            <w:pPr>
              <w:jc w:val="left"/>
            </w:pPr>
            <w:r>
              <w:rPr>
                <w:b/>
                <w:bCs/>
                <w:color w:val="FFFFFF"/>
                <w:sz w:val="18"/>
                <w:szCs w:val="18"/>
              </w:rPr>
              <w:t xml:space="preserve">Notebook</w:t>
            </w:r>
          </w:p>
        </w:tc>
        <w:tc>
          <w:tcPr>
            <w:tcW w:type="dxa" w:w="5760"/>
            <w:shd w:fill="1E2761" w:val="clear"/>
            <w:tcMar>
              <w:top w:type="dxa" w:w="80"/>
              <w:left w:type="dxa" w:w="120"/>
              <w:bottom w:type="dxa" w:w="80"/>
              <w:right w:type="dxa" w:w="120"/>
            </w:tcMar>
          </w:tcPr>
          <w:p>
            <w:pPr>
              <w:jc w:val="left"/>
            </w:pPr>
            <w:r>
              <w:rPr>
                <w:b/>
                <w:bCs/>
                <w:color w:val="FFFFFF"/>
                <w:sz w:val="18"/>
                <w:szCs w:val="18"/>
              </w:rPr>
              <w:t xml:space="preserve">Purpose</w:t>
            </w:r>
          </w:p>
        </w:tc>
      </w:tr>
      <w:tr>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modelling_preprocessing.ipynb</w:t>
            </w:r>
          </w:p>
        </w:tc>
        <w:tc>
          <w:tcPr>
            <w:tcW w:type="dxa" w:w="5760"/>
            <w:shd w:fill="F4F6F9" w:val="clear"/>
            <w:tcMar>
              <w:top w:type="dxa" w:w="80"/>
              <w:left w:type="dxa" w:w="120"/>
              <w:bottom w:type="dxa" w:w="80"/>
              <w:right w:type="dxa" w:w="120"/>
            </w:tcMar>
          </w:tcPr>
          <w:p>
            <w:pPr>
              <w:jc w:val="left"/>
            </w:pPr>
            <w:r>
              <w:rPr>
                <w:b w:val="false"/>
                <w:bCs w:val="false"/>
                <w:color w:val="1E293B"/>
                <w:sz w:val="18"/>
                <w:szCs w:val="18"/>
              </w:rPr>
              <w:t xml:space="preserve">Statistical testing, feature engineering, binning, and final dataset preparation</w:t>
            </w:r>
          </w:p>
        </w:tc>
      </w:tr>
      <w:tr>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modelling_2.ipynb</w:t>
            </w:r>
          </w:p>
        </w:tc>
        <w:tc>
          <w:tcPr>
            <w:tcW w:type="dxa" w:w="5760"/>
            <w:shd w:fill="FFFFFF" w:val="clear"/>
            <w:tcMar>
              <w:top w:type="dxa" w:w="80"/>
              <w:left w:type="dxa" w:w="120"/>
              <w:bottom w:type="dxa" w:w="80"/>
              <w:right w:type="dxa" w:w="120"/>
            </w:tcMar>
          </w:tcPr>
          <w:p>
            <w:pPr>
              <w:jc w:val="left"/>
            </w:pPr>
            <w:r>
              <w:rPr>
                <w:b w:val="false"/>
                <w:bCs w:val="false"/>
                <w:color w:val="1E293B"/>
                <w:sz w:val="18"/>
                <w:szCs w:val="18"/>
              </w:rPr>
              <w:t xml:space="preserve">Default rate analysis per feature, continuous variable binning decisions, and model training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pPr>
              <w:jc w:val="left"/>
            </w:pPr>
            <w:r>
              <w:rPr>
                <w:b/>
                <w:bCs/>
                <w:color w:val="FFFFFF"/>
                <w:sz w:val="18"/>
                <w:szCs w:val="18"/>
              </w:rPr>
              <w:t xml:space="preserve">Property</w:t>
            </w:r>
          </w:p>
        </w:tc>
        <w:tc>
          <w:tcPr>
            <w:tcW w:type="dxa" w:w="6360"/>
            <w:shd w:fill="1E2761" w:val="clear"/>
            <w:tcMar>
              <w:top w:type="dxa" w:w="80"/>
              <w:left w:type="dxa" w:w="120"/>
              <w:bottom w:type="dxa" w:w="80"/>
              <w:right w:type="dxa" w:w="120"/>
            </w:tcMar>
          </w:tcPr>
          <w:p>
            <w:pPr>
              <w:jc w:val="left"/>
            </w:pPr>
            <w:r>
              <w:rPr>
                <w:b/>
                <w:bCs/>
                <w:color w:val="FFFFFF"/>
                <w:sz w:val="18"/>
                <w:szCs w:val="18"/>
              </w:rPr>
              <w:t xml:space="preserve">Value</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Input dataset</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modelling_ready_data.csv (output of preprocessing notebook)</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Records</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230,288 resolved loans</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Final features</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15 columns + target variable (loan_status)</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Target</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loan_status — 0 = Not Defaulter, 1 = Defaulter</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Class split</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81% Not Defaulter  |  19% Defaulter</w:t>
            </w:r>
          </w:p>
        </w:tc>
      </w:tr>
    </w:tbl>
    <w:p>
      <w:pPr>
        <w:spacing w:after="240"/>
      </w:pPr>
    </w:p>
    <w:p>
      <w:pPr>
        <w:pBdr>
          <w:bottom w:val="single" w:color="1E2761" w:sz="6"/>
        </w:pBdr>
        <w:spacing w:after="120" w:before="400"/>
      </w:pPr>
      <w:r>
        <w:rPr>
          <w:b/>
          <w:bCs/>
          <w:color w:val="1E2761"/>
          <w:sz w:val="30"/>
          <w:szCs w:val="30"/>
        </w:rPr>
        <w:t xml:space="preserve">2. Initial Data Preparation</w:t>
      </w:r>
    </w:p>
    <w:p>
      <w:pPr>
        <w:spacing w:after="80" w:before="240"/>
      </w:pPr>
      <w:r>
        <w:rPr>
          <w:b/>
          <w:bCs/>
          <w:color w:val="2E75B6"/>
          <w:sz w:val="24"/>
          <w:szCs w:val="24"/>
        </w:rPr>
        <w:t xml:space="preserve">2.1 Columns Dropped Immediately</w:t>
      </w:r>
    </w:p>
    <w:p>
      <w:pPr>
        <w:spacing w:after="100"/>
        <w:jc w:val="both"/>
      </w:pPr>
      <w:r>
        <w:rPr>
          <w:color w:val="1E293B"/>
          <w:sz w:val="20"/>
          <w:szCs w:val="20"/>
        </w:rPr>
        <w:t xml:space="preserve">Before any statistical testing, the following columns were removed: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E2761" w:val="clear"/>
            <w:tcMar>
              <w:top w:type="dxa" w:w="80"/>
              <w:left w:type="dxa" w:w="120"/>
              <w:bottom w:type="dxa" w:w="80"/>
              <w:right w:type="dxa" w:w="120"/>
            </w:tcMar>
          </w:tcPr>
          <w:p>
            <w:pPr>
              <w:jc w:val="left"/>
            </w:pPr>
            <w:r>
              <w:rPr>
                <w:b/>
                <w:bCs/>
                <w:color w:val="FFFFFF"/>
                <w:sz w:val="18"/>
                <w:szCs w:val="18"/>
              </w:rPr>
              <w:t xml:space="preserve">Column</w:t>
            </w:r>
          </w:p>
        </w:tc>
        <w:tc>
          <w:tcPr>
            <w:tcW w:type="dxa" w:w="6560"/>
            <w:shd w:fill="1E2761" w:val="clear"/>
            <w:tcMar>
              <w:top w:type="dxa" w:w="80"/>
              <w:left w:type="dxa" w:w="120"/>
              <w:bottom w:type="dxa" w:w="80"/>
              <w:right w:type="dxa" w:w="120"/>
            </w:tcMar>
          </w:tcPr>
          <w:p>
            <w:pPr>
              <w:jc w:val="left"/>
            </w:pPr>
            <w:r>
              <w:rPr>
                <w:b/>
                <w:bCs/>
                <w:color w:val="FFFFFF"/>
                <w:sz w:val="18"/>
                <w:szCs w:val="18"/>
              </w:rPr>
              <w:t xml:space="preserve">Reason</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funded_amnt, funded_amnt_inv</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Post-approval features — occur after loan is sanctioned, causing data leakage</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installment</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Correlation of 0.956 with loan_amnt — nearly identical information, dropped to reduce multicollinearity</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mths_since_last_major_derog</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78.8% missing — already filled with 0 in cleaning; converted to binary flag</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revol_bal</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Zero discriminative power — confirmed in EDA; both groups had identical distributions</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application_type</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Chi-Square p-value = 1.0 — completely independent of loan_status, dropped</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earliest_cr_line</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Date column with data quality issues (years 2046–2075 present) — dropped after analysis</w:t>
            </w:r>
          </w:p>
        </w:tc>
      </w:tr>
    </w:tbl>
    <w:p>
      <w:pPr>
        <w:spacing w:after="160"/>
      </w:pPr>
    </w:p>
    <w:p>
      <w:pPr>
        <w:spacing w:after="80" w:before="240"/>
      </w:pPr>
      <w:r>
        <w:rPr>
          <w:b/>
          <w:bCs/>
          <w:color w:val="2E75B6"/>
          <w:sz w:val="24"/>
          <w:szCs w:val="24"/>
        </w:rPr>
        <w:t xml:space="preserve">2.2 Purpose Grouping — 13 Categories → 5 Groups</w:t>
      </w:r>
    </w:p>
    <w:p>
      <w:pPr>
        <w:spacing w:after="100"/>
        <w:jc w:val="both"/>
      </w:pPr>
      <w:r>
        <w:rPr>
          <w:color w:val="1E293B"/>
          <w:sz w:val="20"/>
          <w:szCs w:val="20"/>
        </w:rPr>
        <w:t xml:space="preserve">The raw purpose column contained 13 categories, many with very small counts. These were consolidated into 5 business-oriented groups to reduce noise and improve model stability: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Group</w:t>
            </w:r>
          </w:p>
        </w:tc>
        <w:tc>
          <w:tcPr>
            <w:tcW w:type="dxa" w:w="6960"/>
            <w:shd w:fill="1E2761" w:val="clear"/>
            <w:tcMar>
              <w:top w:type="dxa" w:w="80"/>
              <w:left w:type="dxa" w:w="120"/>
              <w:bottom w:type="dxa" w:w="80"/>
              <w:right w:type="dxa" w:w="120"/>
            </w:tcMar>
          </w:tcPr>
          <w:p>
            <w:pPr>
              <w:jc w:val="left"/>
            </w:pPr>
            <w:r>
              <w:rPr>
                <w:b/>
                <w:bCs/>
                <w:color w:val="FFFFFF"/>
                <w:sz w:val="18"/>
                <w:szCs w:val="18"/>
              </w:rPr>
              <w:t xml:space="preserve">Original Categories</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Debt Management</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debt_consolidation, credit_card</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Home &amp; Property</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home_improvement, house, moving</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Personal Expenses</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medical, vacation, wedding, other</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Business &amp; Education</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small_business, educational, renewable_energy</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Vehicle &amp; Major Purchases</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car, major_purchase</w:t>
            </w:r>
          </w:p>
        </w:tc>
      </w:tr>
    </w:tbl>
    <w:p>
      <w:pPr>
        <w:spacing w:after="160"/>
      </w:pPr>
    </w:p>
    <w:p>
      <w:pPr>
        <w:spacing w:after="80" w:before="240"/>
      </w:pPr>
      <w:r>
        <w:rPr>
          <w:b/>
          <w:bCs/>
          <w:color w:val="2E75B6"/>
          <w:sz w:val="24"/>
          <w:szCs w:val="24"/>
        </w:rPr>
        <w:t xml:space="preserve">2.3 Home Ownership — Rare Category Merging</w:t>
      </w:r>
    </w:p>
    <w:p>
      <w:pPr>
        <w:spacing w:after="100"/>
        <w:jc w:val="both"/>
      </w:pPr>
      <w:r>
        <w:rPr>
          <w:color w:val="1E293B"/>
          <w:sz w:val="20"/>
          <w:szCs w:val="20"/>
        </w:rPr>
        <w:t xml:space="preserve">Categories OTHER, NONE, and ANY (collectively &lt;0.1% of data) were merged into UNSPECIFIED to prevent unreliable small-sample estimates in Chi-Square testing and model training.</w:t>
      </w:r>
    </w:p>
    <w:p>
      <w:pPr>
        <w:spacing w:after="120"/>
      </w:pPr>
    </w:p>
    <w:p>
      <w:pPr>
        <w:pBdr>
          <w:bottom w:val="single" w:color="1E2761" w:sz="6"/>
        </w:pBdr>
        <w:spacing w:after="120" w:before="400"/>
      </w:pPr>
      <w:r>
        <w:rPr>
          <w:b/>
          <w:bCs/>
          <w:color w:val="1E2761"/>
          <w:sz w:val="30"/>
          <w:szCs w:val="30"/>
        </w:rPr>
        <w:t xml:space="preserve">3. Statistical Feature Selection</w:t>
      </w:r>
    </w:p>
    <w:p>
      <w:pPr>
        <w:spacing w:after="100"/>
        <w:jc w:val="both"/>
      </w:pPr>
      <w:r>
        <w:rPr>
          <w:color w:val="1E293B"/>
          <w:sz w:val="20"/>
          <w:szCs w:val="20"/>
        </w:rPr>
        <w:t xml:space="preserve">Every feature was statistically tested for association with the target variable (loan_status) before being included in the model. No feature enters the model purely on intuition — each has a formal statistical justification.</w:t>
      </w:r>
    </w:p>
    <w:p>
      <w:pPr>
        <w:spacing w:after="160"/>
      </w:pPr>
    </w:p>
    <w:p>
      <w:pPr>
        <w:spacing w:after="80" w:before="240"/>
      </w:pPr>
      <w:r>
        <w:rPr>
          <w:b/>
          <w:bCs/>
          <w:color w:val="2E75B6"/>
          <w:sz w:val="24"/>
          <w:szCs w:val="24"/>
        </w:rPr>
        <w:t xml:space="preserve">3.1 Chi-Square Test — Categorical Features vs Binary Target</w:t>
      </w:r>
    </w:p>
    <w:p>
      <w:pPr>
        <w:spacing w:after="60" w:before="180"/>
      </w:pPr>
      <w:r>
        <w:rPr>
          <w:b/>
          <w:bCs/>
          <w:color w:val="1E2761"/>
          <w:sz w:val="22"/>
          <w:szCs w:val="22"/>
        </w:rPr>
        <w:t xml:space="preserve">What is the Chi-Square Test?</w:t>
      </w:r>
    </w:p>
    <w:p>
      <w:pPr>
        <w:spacing w:after="100"/>
        <w:jc w:val="both"/>
      </w:pPr>
      <w:r>
        <w:rPr>
          <w:color w:val="1E293B"/>
          <w:sz w:val="20"/>
          <w:szCs w:val="20"/>
        </w:rPr>
        <w:t xml:space="preserve">The Chi-Square test of independence checks whether two categorical variables are associated or independent. It compares the observed frequency of each category combination against what would be expected if the two variables were completely unrelated.</w:t>
      </w:r>
    </w:p>
    <w:p>
      <w:pPr>
        <w:spacing w:after="80"/>
      </w:pPr>
    </w:p>
    <w:p>
      <w:pPr>
        <w:spacing w:after="100"/>
        <w:jc w:val="both"/>
      </w:pPr>
      <w:r>
        <w:rPr>
          <w:color w:val="1E293B"/>
          <w:sz w:val="20"/>
          <w:szCs w:val="20"/>
        </w:rPr>
        <w:t xml:space="preserve">In our context: we build a contingency table of each categorical feature vs loan_status (Defaulter / Not Defaulter), and ask — "Is the distribution of loan_status different across the categories of this feature?"</w:t>
      </w:r>
    </w:p>
    <w:p>
      <w:pPr>
        <w:spacing w:after="160"/>
      </w:pPr>
    </w:p>
    <w:p>
      <w:pPr>
        <w:spacing w:after="60" w:before="180"/>
      </w:pPr>
      <w:r>
        <w:rPr>
          <w:b/>
          <w:bCs/>
          <w:color w:val="1E2761"/>
          <w:sz w:val="22"/>
          <w:szCs w:val="22"/>
        </w:rPr>
        <w:t xml:space="preserve">The Two-Population Framework</w:t>
      </w:r>
    </w:p>
    <w:p>
      <w:pPr>
        <w:spacing w:after="100"/>
        <w:jc w:val="both"/>
      </w:pPr>
      <w:r>
        <w:rPr>
          <w:color w:val="1E293B"/>
          <w:sz w:val="20"/>
          <w:szCs w:val="20"/>
        </w:rPr>
        <w:t xml:space="preserve">Think of it this way — the target variable loan_status divides the dataset into two populations:</w:t>
      </w:r>
    </w:p>
    <w:p>
      <w:pPr>
        <w:pStyle w:val="ListParagraph"/>
        <w:numPr>
          <w:ilvl w:val="0"/>
          <w:numId w:val="1"/>
        </w:numPr>
        <w:spacing w:after="80"/>
      </w:pPr>
      <w:r>
        <w:rPr>
          <w:b/>
          <w:bCs/>
          <w:color w:val="1E293B"/>
          <w:sz w:val="20"/>
          <w:szCs w:val="20"/>
        </w:rPr>
        <w:t xml:space="preserve">Population 1: </w:t>
      </w:r>
      <w:r>
        <w:rPr>
          <w:color w:val="1E293B"/>
          <w:sz w:val="20"/>
          <w:szCs w:val="20"/>
        </w:rPr>
        <w:t xml:space="preserve">Not Defaulters (0) — 186,619 borrowers</w:t>
      </w:r>
    </w:p>
    <w:p>
      <w:pPr>
        <w:pStyle w:val="ListParagraph"/>
        <w:numPr>
          <w:ilvl w:val="0"/>
          <w:numId w:val="1"/>
        </w:numPr>
        <w:spacing w:after="80"/>
      </w:pPr>
      <w:r>
        <w:rPr>
          <w:b/>
          <w:bCs/>
          <w:color w:val="1E293B"/>
          <w:sz w:val="20"/>
          <w:szCs w:val="20"/>
        </w:rPr>
        <w:t xml:space="preserve">Population 2: </w:t>
      </w:r>
      <w:r>
        <w:rPr>
          <w:color w:val="1E293B"/>
          <w:sz w:val="20"/>
          <w:szCs w:val="20"/>
        </w:rPr>
        <w:t xml:space="preserve">Defaulters (1) — 43,669 borrowers</w:t>
      </w:r>
    </w:p>
    <w:p>
      <w:pPr>
        <w:spacing w:after="80"/>
      </w:pPr>
    </w:p>
    <w:p>
      <w:pPr>
        <w:spacing w:after="100"/>
        <w:jc w:val="both"/>
      </w:pPr>
      <w:r>
        <w:rPr>
          <w:color w:val="1E293B"/>
          <w:sz w:val="20"/>
          <w:szCs w:val="20"/>
        </w:rPr>
        <w:t xml:space="preserve">If a categorical feature (e.g. term) is independent of loan_status, then the proportion of 36-month vs 60-month loans should be the same in both populations. If term is associated with loan_status, the proportions will differ — 60-month loans will appear at a higher rate in the Defaulter population.</w:t>
      </w:r>
    </w:p>
    <w:p>
      <w:pPr>
        <w:spacing w:after="100"/>
        <w:jc w:val="both"/>
      </w:pPr>
      <w:r>
        <w:rPr>
          <w:color w:val="1E293B"/>
          <w:sz w:val="20"/>
          <w:szCs w:val="20"/>
        </w:rPr>
        <w:t xml:space="preserve">Chi-Square tests this formally — it measures how much the observed proportions deviate from what would be expected under independence.</w:t>
      </w:r>
    </w:p>
    <w:p>
      <w:pPr>
        <w:spacing w:after="160"/>
      </w:pPr>
    </w:p>
    <w:p>
      <w:pPr>
        <w:spacing w:after="60" w:before="180"/>
      </w:pPr>
      <w:r>
        <w:rPr>
          <w:b/>
          <w:bCs/>
          <w:color w:val="1E2761"/>
          <w:sz w:val="22"/>
          <w:szCs w:val="22"/>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0"/>
            <w:shd w:fill="1E2761" w:val="clear"/>
            <w:tcMar>
              <w:top w:type="dxa" w:w="80"/>
              <w:left w:type="dxa" w:w="120"/>
              <w:bottom w:type="dxa" w:w="80"/>
              <w:right w:type="dxa" w:w="120"/>
            </w:tcMar>
          </w:tcPr>
          <w:p>
            <w:pPr>
              <w:jc w:val="left"/>
            </w:pPr>
            <w:r>
              <w:rPr>
                <w:b/>
                <w:bCs/>
                <w:color w:val="FFFFFF"/>
                <w:sz w:val="18"/>
                <w:szCs w:val="18"/>
              </w:rPr>
              <w:t xml:space="preserve"/>
            </w:r>
          </w:p>
        </w:tc>
        <w:tc>
          <w:tcPr>
            <w:tcW w:type="dxa" w:w="8560"/>
            <w:shd w:fill="1E2761" w:val="clear"/>
            <w:tcMar>
              <w:top w:type="dxa" w:w="80"/>
              <w:left w:type="dxa" w:w="120"/>
              <w:bottom w:type="dxa" w:w="80"/>
              <w:right w:type="dxa" w:w="120"/>
            </w:tcMar>
          </w:tcPr>
          <w:p>
            <w:pPr>
              <w:jc w:val="left"/>
            </w:pPr>
            <w:r>
              <w:rPr>
                <w:b/>
                <w:bCs/>
                <w:color w:val="FFFFFF"/>
                <w:sz w:val="18"/>
                <w:szCs w:val="18"/>
              </w:rPr>
              <w:t xml:space="preserve">Hypothesis</w:t>
            </w:r>
          </w:p>
        </w:tc>
      </w:tr>
      <w:tr>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H₀</w:t>
            </w:r>
          </w:p>
        </w:tc>
        <w:tc>
          <w:tcPr>
            <w:tcW w:type="dxa" w:w="8560"/>
            <w:shd w:fill="F4F6F9" w:val="clear"/>
            <w:tcMar>
              <w:top w:type="dxa" w:w="80"/>
              <w:left w:type="dxa" w:w="120"/>
              <w:bottom w:type="dxa" w:w="80"/>
              <w:right w:type="dxa" w:w="120"/>
            </w:tcMar>
          </w:tcPr>
          <w:p>
            <w:pPr>
              <w:jc w:val="left"/>
            </w:pPr>
            <w:r>
              <w:rPr>
                <w:b w:val="false"/>
                <w:bCs w:val="false"/>
                <w:color w:val="1E293B"/>
                <w:sz w:val="18"/>
                <w:szCs w:val="18"/>
              </w:rPr>
              <w:t xml:space="preserve">The categorical feature and loan_status are independent — knowing the category tells you nothing about default probability</w:t>
            </w:r>
          </w:p>
        </w:tc>
      </w:tr>
      <w:tr>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H₁</w:t>
            </w:r>
          </w:p>
        </w:tc>
        <w:tc>
          <w:tcPr>
            <w:tcW w:type="dxa" w:w="8560"/>
            <w:shd w:fill="FFFFFF" w:val="clear"/>
            <w:tcMar>
              <w:top w:type="dxa" w:w="80"/>
              <w:left w:type="dxa" w:w="120"/>
              <w:bottom w:type="dxa" w:w="80"/>
              <w:right w:type="dxa" w:w="120"/>
            </w:tcMar>
          </w:tcPr>
          <w:p>
            <w:pPr>
              <w:jc w:val="left"/>
            </w:pPr>
            <w:r>
              <w:rPr>
                <w:b w:val="false"/>
                <w:bCs w:val="false"/>
                <w:color w:val="1E293B"/>
                <w:sz w:val="18"/>
                <w:szCs w:val="18"/>
              </w:rPr>
              <w:t xml:space="preserve">The categorical feature and loan_status are associated — the distribution of categories differs between defaulters and non-defaulters</w:t>
            </w:r>
          </w:p>
        </w:tc>
      </w:tr>
    </w:tbl>
    <w:p>
      <w:pPr>
        <w:spacing w:after="160"/>
      </w:pPr>
    </w:p>
    <w:p>
      <w:pPr>
        <w:spacing w:after="60" w:before="180"/>
      </w:pPr>
      <w:r>
        <w:rPr>
          <w:b/>
          <w:bCs/>
          <w:color w:val="1E2761"/>
          <w:sz w:val="22"/>
          <w:szCs w:val="22"/>
        </w:rPr>
        <w:t xml:space="preserve">Decision Rule</w:t>
      </w:r>
    </w:p>
    <w:p>
      <w:pPr>
        <w:spacing w:after="100"/>
        <w:jc w:val="both"/>
      </w:pPr>
      <w:r>
        <w:rPr>
          <w:color w:val="1E293B"/>
          <w:sz w:val="20"/>
          <w:szCs w:val="20"/>
        </w:rPr>
        <w:t xml:space="preserve">p-value &lt; 0.05 → Reject H₀ → Feature is associated with target → Keep</w:t>
      </w:r>
    </w:p>
    <w:p>
      <w:pPr>
        <w:spacing w:after="100"/>
        <w:jc w:val="both"/>
      </w:pPr>
      <w:r>
        <w:rPr>
          <w:color w:val="1E293B"/>
          <w:sz w:val="20"/>
          <w:szCs w:val="20"/>
        </w:rPr>
        <w:t xml:space="preserve">p-value ≥ 0.05 → Fail to reject H₀ → Feature is independent of target → Drop</w:t>
      </w:r>
    </w:p>
    <w:p>
      <w:pPr>
        <w:spacing w:after="160"/>
      </w:pPr>
    </w:p>
    <w:p>
      <w:pPr>
        <w:spacing w:after="60" w:before="180"/>
      </w:pPr>
      <w:r>
        <w:rPr>
          <w:b/>
          <w:bCs/>
          <w:color w:val="1E2761"/>
          <w:sz w:val="22"/>
          <w:szCs w:val="22"/>
        </w:rPr>
        <w:t xml:space="preserve">Chi-Square Results — All Categorical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1E2761" w:val="clear"/>
            <w:tcMar>
              <w:top w:type="dxa" w:w="80"/>
              <w:left w:type="dxa" w:w="120"/>
              <w:bottom w:type="dxa" w:w="80"/>
              <w:right w:type="dxa" w:w="120"/>
            </w:tcMar>
          </w:tcPr>
          <w:p>
            <w:pPr>
              <w:jc w:val="left"/>
            </w:pPr>
            <w:r>
              <w:rPr>
                <w:b/>
                <w:bCs/>
                <w:color w:val="FFFFFF"/>
                <w:sz w:val="18"/>
                <w:szCs w:val="18"/>
              </w:rPr>
              <w:t xml:space="preserve">Feature</w:t>
            </w:r>
          </w:p>
        </w:tc>
        <w:tc>
          <w:tcPr>
            <w:tcW w:type="dxa" w:w="1600"/>
            <w:shd w:fill="1E2761" w:val="clear"/>
            <w:tcMar>
              <w:top w:type="dxa" w:w="80"/>
              <w:left w:type="dxa" w:w="120"/>
              <w:bottom w:type="dxa" w:w="80"/>
              <w:right w:type="dxa" w:w="120"/>
            </w:tcMar>
          </w:tcPr>
          <w:p>
            <w:pPr>
              <w:jc w:val="left"/>
            </w:pPr>
            <w:r>
              <w:rPr>
                <w:b/>
                <w:bCs/>
                <w:color w:val="FFFFFF"/>
                <w:sz w:val="18"/>
                <w:szCs w:val="18"/>
              </w:rPr>
              <w:t xml:space="preserve">Test Statistic</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p-value</w:t>
            </w:r>
          </w:p>
        </w:tc>
        <w:tc>
          <w:tcPr>
            <w:tcW w:type="dxa" w:w="1600"/>
            <w:shd w:fill="1E2761" w:val="clear"/>
            <w:tcMar>
              <w:top w:type="dxa" w:w="80"/>
              <w:left w:type="dxa" w:w="120"/>
              <w:bottom w:type="dxa" w:w="80"/>
              <w:right w:type="dxa" w:w="120"/>
            </w:tcMar>
          </w:tcPr>
          <w:p>
            <w:pPr>
              <w:jc w:val="left"/>
            </w:pPr>
            <w:r>
              <w:rPr>
                <w:b/>
                <w:bCs/>
                <w:color w:val="FFFFFF"/>
                <w:sz w:val="18"/>
                <w:szCs w:val="18"/>
              </w:rPr>
              <w:t xml:space="preserve">Result</w:t>
            </w:r>
          </w:p>
        </w:tc>
        <w:tc>
          <w:tcPr>
            <w:tcW w:type="dxa" w:w="2760"/>
            <w:shd w:fill="1E2761" w:val="clear"/>
            <w:tcMar>
              <w:top w:type="dxa" w:w="80"/>
              <w:left w:type="dxa" w:w="120"/>
              <w:bottom w:type="dxa" w:w="80"/>
              <w:right w:type="dxa" w:w="120"/>
            </w:tcMar>
          </w:tcPr>
          <w:p>
            <w:pPr>
              <w:jc w:val="left"/>
            </w:pPr>
            <w:r>
              <w:rPr>
                <w:b/>
                <w:bCs/>
                <w:color w:val="FFFFFF"/>
                <w:sz w:val="18"/>
                <w:szCs w:val="18"/>
              </w:rPr>
              <w:t xml:space="preserve">Action</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term</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6,159.46</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grade</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30,048.12</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sub_grade</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32,156.78</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emp_length</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1,247.33</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 (treated)</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home_ownership</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526.89</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7.09e-114</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verification_status</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2,891.44</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purpose_group</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814.22</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application_type</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0.0</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1.0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Fail to 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Dropped</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delinq_2yrs_flag</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66.72</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3.13e-16</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inq_last_6mths_bin</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831.06</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7.95e-180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mths_since_last_delinq_flag</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12.62</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3.82e-04</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mths_since_last_record_flag</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11.71</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6.22e-04</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open_acc_bin</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85.16</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3.06e-16</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pub_rec_flag</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11.67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6.37e-04</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total_acc_bin</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166.36</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4.36e-34</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Reject H₀</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bl>
    <w:p>
      <w:pPr>
        <w:spacing w:after="160"/>
      </w:pPr>
    </w:p>
    <w:p>
      <w:pPr>
        <w:spacing w:after="100"/>
        <w:jc w:val="both"/>
      </w:pPr>
      <w:r>
        <w:rPr>
          <w:color w:val="1E293B"/>
          <w:sz w:val="20"/>
          <w:szCs w:val="20"/>
        </w:rPr>
        <w:t xml:space="preserve">application_type was the only feature that failed — p-value of 1.0 indicates it is completely independent of default. It was dropped immediately.</w:t>
      </w:r>
    </w:p>
    <w:p>
      <w:pPr>
        <w:spacing w:after="240"/>
      </w:pPr>
    </w:p>
    <w:p>
      <w:pPr>
        <w:spacing w:after="80" w:before="240"/>
      </w:pPr>
      <w:r>
        <w:rPr>
          <w:b/>
          <w:bCs/>
          <w:color w:val="2E75B6"/>
          <w:sz w:val="24"/>
          <w:szCs w:val="24"/>
        </w:rPr>
        <w:t xml:space="preserve">3.2 Anderson-Darling + Mann-Whitney — Numerical Features vs Binary Target</w:t>
      </w:r>
    </w:p>
    <w:p>
      <w:pPr>
        <w:spacing w:after="60" w:before="180"/>
      </w:pPr>
      <w:r>
        <w:rPr>
          <w:b/>
          <w:bCs/>
          <w:color w:val="1E2761"/>
          <w:sz w:val="22"/>
          <w:szCs w:val="22"/>
        </w:rPr>
        <w:t xml:space="preserve">Why Two Tests for Numerical Features?</w:t>
      </w:r>
    </w:p>
    <w:p>
      <w:pPr>
        <w:spacing w:after="100"/>
        <w:jc w:val="both"/>
      </w:pPr>
      <w:r>
        <w:rPr>
          <w:color w:val="1E293B"/>
          <w:sz w:val="20"/>
          <w:szCs w:val="20"/>
        </w:rPr>
        <w:t xml:space="preserve">Unlike categorical features, numerical features (loan_amnt, int_rate, annual_inc, dti, revol_util, revol_bal, installment) require a different approach. We cannot use Chi-Square on continuous values. Instead we test whether the distribution of the numerical variable is significantly different between the two target groups.</w:t>
      </w:r>
    </w:p>
    <w:p>
      <w:pPr>
        <w:spacing w:after="80"/>
      </w:pPr>
    </w:p>
    <w:p>
      <w:pPr>
        <w:spacing w:after="100"/>
        <w:jc w:val="both"/>
      </w:pPr>
      <w:r>
        <w:rPr>
          <w:color w:val="1E293B"/>
          <w:sz w:val="20"/>
          <w:szCs w:val="20"/>
        </w:rPr>
        <w:t xml:space="preserve">This requires choosing between two tests:</w:t>
      </w:r>
    </w:p>
    <w:p>
      <w:pPr>
        <w:pStyle w:val="ListParagraph"/>
        <w:numPr>
          <w:ilvl w:val="0"/>
          <w:numId w:val="1"/>
        </w:numPr>
        <w:spacing w:after="80"/>
      </w:pPr>
      <w:r>
        <w:rPr>
          <w:b/>
          <w:bCs/>
          <w:color w:val="1E293B"/>
          <w:sz w:val="20"/>
          <w:szCs w:val="20"/>
        </w:rPr>
        <w:t xml:space="preserve">T-Test (parametric): </w:t>
      </w:r>
      <w:r>
        <w:rPr>
          <w:color w:val="1E293B"/>
          <w:sz w:val="20"/>
          <w:szCs w:val="20"/>
        </w:rPr>
        <w:t xml:space="preserve">assumes the numerical variable follows a normal distribution</w:t>
      </w:r>
    </w:p>
    <w:p>
      <w:pPr>
        <w:pStyle w:val="ListParagraph"/>
        <w:numPr>
          <w:ilvl w:val="0"/>
          <w:numId w:val="1"/>
        </w:numPr>
        <w:spacing w:after="80"/>
      </w:pPr>
      <w:r>
        <w:rPr>
          <w:b/>
          <w:bCs/>
          <w:color w:val="1E293B"/>
          <w:sz w:val="20"/>
          <w:szCs w:val="20"/>
        </w:rPr>
        <w:t xml:space="preserve">Mann-Whitney U (non-parametric): </w:t>
      </w:r>
      <w:r>
        <w:rPr>
          <w:color w:val="1E293B"/>
          <w:sz w:val="20"/>
          <w:szCs w:val="20"/>
        </w:rPr>
        <w:t xml:space="preserve">makes no normality assumption — works on any distribution shape</w:t>
      </w:r>
    </w:p>
    <w:p>
      <w:pPr>
        <w:spacing w:after="80"/>
      </w:pPr>
    </w:p>
    <w:p>
      <w:pPr>
        <w:spacing w:after="100"/>
        <w:jc w:val="both"/>
      </w:pPr>
      <w:r>
        <w:rPr>
          <w:color w:val="1E293B"/>
          <w:sz w:val="20"/>
          <w:szCs w:val="20"/>
        </w:rPr>
        <w:t xml:space="preserve">To decide which test to use, we first check normality using the Anderson-Darling test.</w:t>
      </w:r>
    </w:p>
    <w:p>
      <w:pPr>
        <w:spacing w:after="160"/>
      </w:pPr>
    </w:p>
    <w:p>
      <w:pPr>
        <w:spacing w:after="60" w:before="180"/>
      </w:pPr>
      <w:r>
        <w:rPr>
          <w:b/>
          <w:bCs/>
          <w:color w:val="1E2761"/>
          <w:sz w:val="22"/>
          <w:szCs w:val="22"/>
        </w:rPr>
        <w:t xml:space="preserve">Step 1 — Anderson-Darling Test for Normality</w:t>
      </w:r>
    </w:p>
    <w:p>
      <w:pPr>
        <w:spacing w:after="100"/>
        <w:jc w:val="both"/>
      </w:pPr>
      <w:r>
        <w:rPr>
          <w:color w:val="1E293B"/>
          <w:sz w:val="20"/>
          <w:szCs w:val="20"/>
        </w:rPr>
        <w:t xml:space="preserve">The Anderson-Darling test checks whether a column's data comes from a normal population. It compares the empirical distribution of the data against a theoretical normal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0"/>
            <w:shd w:fill="1E2761" w:val="clear"/>
            <w:tcMar>
              <w:top w:type="dxa" w:w="80"/>
              <w:left w:type="dxa" w:w="120"/>
              <w:bottom w:type="dxa" w:w="80"/>
              <w:right w:type="dxa" w:w="120"/>
            </w:tcMar>
          </w:tcPr>
          <w:p>
            <w:pPr>
              <w:jc w:val="left"/>
            </w:pPr>
            <w:r>
              <w:rPr>
                <w:b/>
                <w:bCs/>
                <w:color w:val="FFFFFF"/>
                <w:sz w:val="18"/>
                <w:szCs w:val="18"/>
              </w:rPr>
              <w:t xml:space="preserve"/>
            </w:r>
          </w:p>
        </w:tc>
        <w:tc>
          <w:tcPr>
            <w:tcW w:type="dxa" w:w="8560"/>
            <w:shd w:fill="1E2761" w:val="clear"/>
            <w:tcMar>
              <w:top w:type="dxa" w:w="80"/>
              <w:left w:type="dxa" w:w="120"/>
              <w:bottom w:type="dxa" w:w="80"/>
              <w:right w:type="dxa" w:w="120"/>
            </w:tcMar>
          </w:tcPr>
          <w:p>
            <w:pPr>
              <w:jc w:val="left"/>
            </w:pPr>
            <w:r>
              <w:rPr>
                <w:b/>
                <w:bCs/>
                <w:color w:val="FFFFFF"/>
                <w:sz w:val="18"/>
                <w:szCs w:val="18"/>
              </w:rPr>
              <w:t xml:space="preserve">Hypothesis</w:t>
            </w:r>
          </w:p>
        </w:tc>
      </w:tr>
      <w:tr>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H₀</w:t>
            </w:r>
          </w:p>
        </w:tc>
        <w:tc>
          <w:tcPr>
            <w:tcW w:type="dxa" w:w="8560"/>
            <w:shd w:fill="F4F6F9" w:val="clear"/>
            <w:tcMar>
              <w:top w:type="dxa" w:w="80"/>
              <w:left w:type="dxa" w:w="120"/>
              <w:bottom w:type="dxa" w:w="80"/>
              <w:right w:type="dxa" w:w="120"/>
            </w:tcMar>
          </w:tcPr>
          <w:p>
            <w:pPr>
              <w:jc w:val="left"/>
            </w:pPr>
            <w:r>
              <w:rPr>
                <w:b w:val="false"/>
                <w:bCs w:val="false"/>
                <w:color w:val="1E293B"/>
                <w:sz w:val="18"/>
                <w:szCs w:val="18"/>
              </w:rPr>
              <w:t xml:space="preserve">The sample data follows a normal distribution</w:t>
            </w:r>
          </w:p>
        </w:tc>
      </w:tr>
      <w:tr>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H₁</w:t>
            </w:r>
          </w:p>
        </w:tc>
        <w:tc>
          <w:tcPr>
            <w:tcW w:type="dxa" w:w="8560"/>
            <w:shd w:fill="FFFFFF" w:val="clear"/>
            <w:tcMar>
              <w:top w:type="dxa" w:w="80"/>
              <w:left w:type="dxa" w:w="120"/>
              <w:bottom w:type="dxa" w:w="80"/>
              <w:right w:type="dxa" w:w="120"/>
            </w:tcMar>
          </w:tcPr>
          <w:p>
            <w:pPr>
              <w:jc w:val="left"/>
            </w:pPr>
            <w:r>
              <w:rPr>
                <w:b w:val="false"/>
                <w:bCs w:val="false"/>
                <w:color w:val="1E293B"/>
                <w:sz w:val="18"/>
                <w:szCs w:val="18"/>
              </w:rPr>
              <w:t xml:space="preserve">The sample data does not follow a normal distribution</w:t>
            </w:r>
          </w:p>
        </w:tc>
      </w:tr>
    </w:tbl>
    <w:p>
      <w:pPr>
        <w:spacing w:after="80"/>
      </w:pPr>
    </w:p>
    <w:p>
      <w:pPr>
        <w:spacing w:after="100"/>
        <w:jc w:val="both"/>
      </w:pPr>
      <w:r>
        <w:rPr>
          <w:color w:val="1E293B"/>
          <w:sz w:val="20"/>
          <w:szCs w:val="20"/>
        </w:rPr>
        <w:t xml:space="preserve">Decision rule: If the test statistic A² &gt; critical value at 5% level → Reject H₀ → data is not normal → use Mann-Whitney</w:t>
      </w:r>
    </w:p>
    <w:p>
      <w:pPr>
        <w:spacing w:after="160"/>
      </w:pPr>
    </w:p>
    <w:p>
      <w:pPr>
        <w:spacing w:after="60" w:before="180"/>
      </w:pPr>
      <w:r>
        <w:rPr>
          <w:b/>
          <w:bCs/>
          <w:color w:val="1E2761"/>
          <w:sz w:val="22"/>
          <w:szCs w:val="22"/>
        </w:rPr>
        <w:t xml:space="preserve">Anderson-Darling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Column</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A² Statistic</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Critical Value (5%)</w:t>
            </w:r>
          </w:p>
        </w:tc>
        <w:tc>
          <w:tcPr>
            <w:tcW w:type="dxa" w:w="2960"/>
            <w:shd w:fill="1E2761" w:val="clear"/>
            <w:tcMar>
              <w:top w:type="dxa" w:w="80"/>
              <w:left w:type="dxa" w:w="120"/>
              <w:bottom w:type="dxa" w:w="80"/>
              <w:right w:type="dxa" w:w="120"/>
            </w:tcMar>
          </w:tcPr>
          <w:p>
            <w:pPr>
              <w:jc w:val="left"/>
            </w:pPr>
            <w:r>
              <w:rPr>
                <w:b/>
                <w:bCs/>
                <w:color w:val="FFFFFF"/>
                <w:sz w:val="18"/>
                <w:szCs w:val="18"/>
              </w:rPr>
              <w:t xml:space="preserve">Result</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loan_amnt</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4,062.61</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int_rate</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580.66</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installment</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3,700.77</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annual_inc</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14,953.29</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dti</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346.96</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revol_bal</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19,694.84</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Not Normal</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revol_util</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1,010.10</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0.787</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Not Normal</w:t>
            </w:r>
          </w:p>
        </w:tc>
      </w:tr>
    </w:tbl>
    <w:p>
      <w:pPr>
        <w:spacing w:after="160"/>
      </w:pPr>
    </w:p>
    <w:p>
      <w:pPr>
        <w:spacing w:after="100"/>
        <w:jc w:val="both"/>
      </w:pPr>
      <w:r>
        <w:rPr>
          <w:color w:val="1E293B"/>
          <w:sz w:val="20"/>
          <w:szCs w:val="20"/>
        </w:rPr>
        <w:t xml:space="preserve">All 7 numerical columns rejected normality by a very large margin — A² statistics are thousands of times larger than the critical value. This confirms Mann-Whitney U test is the correct choice throughout.</w:t>
      </w:r>
    </w:p>
    <w:p>
      <w:pPr>
        <w:spacing w:after="240"/>
      </w:pPr>
    </w:p>
    <w:p>
      <w:pPr>
        <w:spacing w:after="60" w:before="180"/>
      </w:pPr>
      <w:r>
        <w:rPr>
          <w:b/>
          <w:bCs/>
          <w:color w:val="1E2761"/>
          <w:sz w:val="22"/>
          <w:szCs w:val="22"/>
        </w:rPr>
        <w:t xml:space="preserve">Step 2 — The Two-Population Framework for Numerical Tests</w:t>
      </w:r>
    </w:p>
    <w:p>
      <w:pPr>
        <w:spacing w:after="100"/>
        <w:jc w:val="both"/>
      </w:pPr>
      <w:r>
        <w:rPr>
          <w:color w:val="1E293B"/>
          <w:sz w:val="20"/>
          <w:szCs w:val="20"/>
        </w:rPr>
        <w:t xml:space="preserve">The key insight behind using T-Test or Mann-Whitney for association testing is the two-population framing:</w:t>
      </w:r>
    </w:p>
    <w:p>
      <w:pPr>
        <w:spacing w:after="80"/>
      </w:pPr>
    </w:p>
    <w:p>
      <w:pPr>
        <w:pStyle w:val="ListParagraph"/>
        <w:numPr>
          <w:ilvl w:val="0"/>
          <w:numId w:val="1"/>
        </w:numPr>
        <w:spacing w:after="80"/>
      </w:pPr>
      <w:r>
        <w:rPr>
          <w:b/>
          <w:bCs/>
          <w:color w:val="1E293B"/>
          <w:sz w:val="20"/>
          <w:szCs w:val="20"/>
        </w:rPr>
        <w:t xml:space="preserve">Population 1: </w:t>
      </w:r>
      <w:r>
        <w:rPr>
          <w:color w:val="1E293B"/>
          <w:sz w:val="20"/>
          <w:szCs w:val="20"/>
        </w:rPr>
        <w:t xml:space="preserve">values of the numerical variable for Not Defaulters (loan_status = 0)</w:t>
      </w:r>
    </w:p>
    <w:p>
      <w:pPr>
        <w:pStyle w:val="ListParagraph"/>
        <w:numPr>
          <w:ilvl w:val="0"/>
          <w:numId w:val="1"/>
        </w:numPr>
        <w:spacing w:after="80"/>
      </w:pPr>
      <w:r>
        <w:rPr>
          <w:b/>
          <w:bCs/>
          <w:color w:val="1E293B"/>
          <w:sz w:val="20"/>
          <w:szCs w:val="20"/>
        </w:rPr>
        <w:t xml:space="preserve">Population 2: </w:t>
      </w:r>
      <w:r>
        <w:rPr>
          <w:color w:val="1E293B"/>
          <w:sz w:val="20"/>
          <w:szCs w:val="20"/>
        </w:rPr>
        <w:t xml:space="preserve">values of the numerical variable for Defaulters (loan_status = 1)</w:t>
      </w:r>
    </w:p>
    <w:p>
      <w:pPr>
        <w:spacing w:after="80"/>
      </w:pPr>
    </w:p>
    <w:p>
      <w:pPr>
        <w:spacing w:after="100"/>
        <w:jc w:val="both"/>
      </w:pPr>
      <w:r>
        <w:rPr>
          <w:color w:val="1E293B"/>
          <w:sz w:val="20"/>
          <w:szCs w:val="20"/>
        </w:rPr>
        <w:t xml:space="preserve">If the numerical feature is independent of loan_status, then both populations should follow the same distribution — the mean/median of the feature should be identical in both groups. If the feature is associated with default, the distributions should differ significantly.</w:t>
      </w:r>
    </w:p>
    <w:p>
      <w:pPr>
        <w:spacing w:after="80"/>
      </w:pPr>
    </w:p>
    <w:p>
      <w:pPr>
        <w:spacing w:after="100"/>
        <w:jc w:val="both"/>
      </w:pPr>
      <w:r>
        <w:rPr>
          <w:color w:val="1E293B"/>
          <w:sz w:val="20"/>
          <w:szCs w:val="20"/>
        </w:rPr>
        <w:t xml:space="preserve">For example, for DTI:</w:t>
      </w:r>
    </w:p>
    <w:p>
      <w:pPr>
        <w:pStyle w:val="ListParagraph"/>
        <w:numPr>
          <w:ilvl w:val="0"/>
          <w:numId w:val="1"/>
        </w:numPr>
        <w:spacing w:after="80"/>
      </w:pPr>
      <w:r>
        <w:rPr>
          <w:b/>
          <w:bCs/>
          <w:color w:val="1E293B"/>
          <w:sz w:val="20"/>
          <w:szCs w:val="20"/>
        </w:rPr>
        <w:t xml:space="preserve">If DTI is independent: </w:t>
      </w:r>
      <w:r>
        <w:rPr>
          <w:color w:val="1E293B"/>
          <w:sz w:val="20"/>
          <w:szCs w:val="20"/>
        </w:rPr>
        <w:t xml:space="preserve">mean DTI of defaulters ≈ mean DTI of non-defaulters → no predictive value</w:t>
      </w:r>
    </w:p>
    <w:p>
      <w:pPr>
        <w:pStyle w:val="ListParagraph"/>
        <w:numPr>
          <w:ilvl w:val="0"/>
          <w:numId w:val="1"/>
        </w:numPr>
        <w:spacing w:after="80"/>
      </w:pPr>
      <w:r>
        <w:rPr>
          <w:b/>
          <w:bCs/>
          <w:color w:val="1E293B"/>
          <w:sz w:val="20"/>
          <w:szCs w:val="20"/>
        </w:rPr>
        <w:t xml:space="preserve">If DTI is associated: </w:t>
      </w:r>
      <w:r>
        <w:rPr>
          <w:color w:val="1E293B"/>
          <w:sz w:val="20"/>
          <w:szCs w:val="20"/>
        </w:rPr>
        <w:t xml:space="preserve">mean DTI of defaulters &gt; mean DTI of non-defaulters → higher DTI predicts default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
            </w:r>
          </w:p>
        </w:tc>
        <w:tc>
          <w:tcPr>
            <w:tcW w:type="dxa" w:w="4080"/>
            <w:shd w:fill="1E2761" w:val="clear"/>
            <w:tcMar>
              <w:top w:type="dxa" w:w="80"/>
              <w:left w:type="dxa" w:w="120"/>
              <w:bottom w:type="dxa" w:w="80"/>
              <w:right w:type="dxa" w:w="120"/>
            </w:tcMar>
          </w:tcPr>
          <w:p>
            <w:pPr>
              <w:jc w:val="left"/>
            </w:pPr>
            <w:r>
              <w:rPr>
                <w:b/>
                <w:bCs/>
                <w:color w:val="FFFFFF"/>
                <w:sz w:val="18"/>
                <w:szCs w:val="18"/>
              </w:rPr>
              <w:t xml:space="preserve">T-Test Hypothesis</w:t>
            </w:r>
          </w:p>
        </w:tc>
        <w:tc>
          <w:tcPr>
            <w:tcW w:type="dxa" w:w="4080"/>
            <w:shd w:fill="1E2761" w:val="clear"/>
            <w:tcMar>
              <w:top w:type="dxa" w:w="80"/>
              <w:left w:type="dxa" w:w="120"/>
              <w:bottom w:type="dxa" w:w="80"/>
              <w:right w:type="dxa" w:w="120"/>
            </w:tcMar>
          </w:tcPr>
          <w:p>
            <w:pPr>
              <w:jc w:val="left"/>
            </w:pPr>
            <w:r>
              <w:rPr>
                <w:b/>
                <w:bCs/>
                <w:color w:val="FFFFFF"/>
                <w:sz w:val="18"/>
                <w:szCs w:val="18"/>
              </w:rPr>
              <w:t xml:space="preserve">Mann-Whitney Hypothesis</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H₀</w:t>
            </w:r>
          </w:p>
        </w:tc>
        <w:tc>
          <w:tcPr>
            <w:tcW w:type="dxa" w:w="4080"/>
            <w:shd w:fill="F4F6F9" w:val="clear"/>
            <w:tcMar>
              <w:top w:type="dxa" w:w="80"/>
              <w:left w:type="dxa" w:w="120"/>
              <w:bottom w:type="dxa" w:w="80"/>
              <w:right w:type="dxa" w:w="120"/>
            </w:tcMar>
          </w:tcPr>
          <w:p>
            <w:pPr>
              <w:jc w:val="left"/>
            </w:pPr>
            <w:r>
              <w:rPr>
                <w:b w:val="false"/>
                <w:bCs w:val="false"/>
                <w:color w:val="1E293B"/>
                <w:sz w:val="18"/>
                <w:szCs w:val="18"/>
              </w:rPr>
              <w:t xml:space="preserve">μ₁ = μ₂ (means are equal across both groups)</w:t>
            </w:r>
          </w:p>
        </w:tc>
        <w:tc>
          <w:tcPr>
            <w:tcW w:type="dxa" w:w="4080"/>
            <w:shd w:fill="F4F6F9" w:val="clear"/>
            <w:tcMar>
              <w:top w:type="dxa" w:w="80"/>
              <w:left w:type="dxa" w:w="120"/>
              <w:bottom w:type="dxa" w:w="80"/>
              <w:right w:type="dxa" w:w="120"/>
            </w:tcMar>
          </w:tcPr>
          <w:p>
            <w:pPr>
              <w:jc w:val="left"/>
            </w:pPr>
            <w:r>
              <w:rPr>
                <w:b w:val="false"/>
                <w:bCs w:val="false"/>
                <w:color w:val="1E293B"/>
                <w:sz w:val="18"/>
                <w:szCs w:val="18"/>
              </w:rPr>
              <w:t xml:space="preserve">Both groups come from the same distribution</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H₁</w:t>
            </w:r>
          </w:p>
        </w:tc>
        <w:tc>
          <w:tcPr>
            <w:tcW w:type="dxa" w:w="4080"/>
            <w:shd w:fill="FFFFFF" w:val="clear"/>
            <w:tcMar>
              <w:top w:type="dxa" w:w="80"/>
              <w:left w:type="dxa" w:w="120"/>
              <w:bottom w:type="dxa" w:w="80"/>
              <w:right w:type="dxa" w:w="120"/>
            </w:tcMar>
          </w:tcPr>
          <w:p>
            <w:pPr>
              <w:jc w:val="left"/>
            </w:pPr>
            <w:r>
              <w:rPr>
                <w:b w:val="false"/>
                <w:bCs w:val="false"/>
                <w:color w:val="1E293B"/>
                <w:sz w:val="18"/>
                <w:szCs w:val="18"/>
              </w:rPr>
              <w:t xml:space="preserve">μ₁ ≠ μ₂ (means differ across groups)</w:t>
            </w:r>
          </w:p>
        </w:tc>
        <w:tc>
          <w:tcPr>
            <w:tcW w:type="dxa" w:w="4080"/>
            <w:shd w:fill="FFFFFF" w:val="clear"/>
            <w:tcMar>
              <w:top w:type="dxa" w:w="80"/>
              <w:left w:type="dxa" w:w="120"/>
              <w:bottom w:type="dxa" w:w="80"/>
              <w:right w:type="dxa" w:w="120"/>
            </w:tcMar>
          </w:tcPr>
          <w:p>
            <w:pPr>
              <w:jc w:val="left"/>
            </w:pPr>
            <w:r>
              <w:rPr>
                <w:b w:val="false"/>
                <w:bCs w:val="false"/>
                <w:color w:val="1E293B"/>
                <w:sz w:val="18"/>
                <w:szCs w:val="18"/>
              </w:rPr>
              <w:t xml:space="preserve">Both groups come from different distributions</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Converted meaning</w:t>
            </w:r>
          </w:p>
        </w:tc>
        <w:tc>
          <w:tcPr>
            <w:tcW w:type="dxa" w:w="4080"/>
            <w:shd w:fill="F4F6F9" w:val="clear"/>
            <w:tcMar>
              <w:top w:type="dxa" w:w="80"/>
              <w:left w:type="dxa" w:w="120"/>
              <w:bottom w:type="dxa" w:w="80"/>
              <w:right w:type="dxa" w:w="120"/>
            </w:tcMar>
          </w:tcPr>
          <w:p>
            <w:pPr>
              <w:jc w:val="left"/>
            </w:pPr>
            <w:r>
              <w:rPr>
                <w:b w:val="false"/>
                <w:bCs w:val="false"/>
                <w:color w:val="1E293B"/>
                <w:sz w:val="18"/>
                <w:szCs w:val="18"/>
              </w:rPr>
              <w:t xml:space="preserve">No association between feature and target</w:t>
            </w:r>
          </w:p>
        </w:tc>
        <w:tc>
          <w:tcPr>
            <w:tcW w:type="dxa" w:w="4080"/>
            <w:shd w:fill="F4F6F9" w:val="clear"/>
            <w:tcMar>
              <w:top w:type="dxa" w:w="80"/>
              <w:left w:type="dxa" w:w="120"/>
              <w:bottom w:type="dxa" w:w="80"/>
              <w:right w:type="dxa" w:w="120"/>
            </w:tcMar>
          </w:tcPr>
          <w:p>
            <w:pPr>
              <w:jc w:val="left"/>
            </w:pPr>
            <w:r>
              <w:rPr>
                <w:b w:val="false"/>
                <w:bCs w:val="false"/>
                <w:color w:val="1E293B"/>
                <w:sz w:val="18"/>
                <w:szCs w:val="18"/>
              </w:rPr>
              <w:t xml:space="preserve">Feature is associated with target</w:t>
            </w:r>
          </w:p>
        </w:tc>
      </w:tr>
    </w:tbl>
    <w:p>
      <w:pPr>
        <w:spacing w:after="160"/>
      </w:pPr>
    </w:p>
    <w:p>
      <w:pPr>
        <w:spacing w:after="100"/>
        <w:jc w:val="both"/>
      </w:pPr>
      <w:r>
        <w:rPr>
          <w:color w:val="1E293B"/>
          <w:sz w:val="20"/>
          <w:szCs w:val="20"/>
        </w:rPr>
        <w:t xml:space="preserve">Mann-Whitney is a more general version of T-Test — it does not require normality and tests whether one population tends to have systematically higher or lower values than the other. In practice for this dataset both tests would give the same conclusion, but Mann-Whitney is statistically correct given non-normal data.</w:t>
      </w:r>
    </w:p>
    <w:p>
      <w:pPr>
        <w:spacing w:after="240"/>
      </w:pPr>
    </w:p>
    <w:p>
      <w:pPr>
        <w:spacing w:after="60" w:before="180"/>
      </w:pPr>
      <w:r>
        <w:rPr>
          <w:b/>
          <w:bCs/>
          <w:color w:val="1E2761"/>
          <w:sz w:val="22"/>
          <w:szCs w:val="22"/>
        </w:rPr>
        <w:t xml:space="preserve">Step 3 — Mann-Whitney Association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Column</w:t>
            </w:r>
          </w:p>
        </w:tc>
        <w:tc>
          <w:tcPr>
            <w:tcW w:type="dxa" w:w="3960"/>
            <w:shd w:fill="1E2761" w:val="clear"/>
            <w:tcMar>
              <w:top w:type="dxa" w:w="80"/>
              <w:left w:type="dxa" w:w="120"/>
              <w:bottom w:type="dxa" w:w="80"/>
              <w:right w:type="dxa" w:w="120"/>
            </w:tcMar>
          </w:tcPr>
          <w:p>
            <w:pPr>
              <w:jc w:val="left"/>
            </w:pPr>
            <w:r>
              <w:rPr>
                <w:b/>
                <w:bCs/>
                <w:color w:val="FFFFFF"/>
                <w:sz w:val="18"/>
                <w:szCs w:val="18"/>
              </w:rPr>
              <w:t xml:space="preserve">Result</w:t>
            </w:r>
          </w:p>
        </w:tc>
        <w:tc>
          <w:tcPr>
            <w:tcW w:type="dxa" w:w="2960"/>
            <w:shd w:fill="1E2761" w:val="clear"/>
            <w:tcMar>
              <w:top w:type="dxa" w:w="80"/>
              <w:left w:type="dxa" w:w="120"/>
              <w:bottom w:type="dxa" w:w="80"/>
              <w:right w:type="dxa" w:w="120"/>
            </w:tcMar>
          </w:tcPr>
          <w:p>
            <w:pPr>
              <w:jc w:val="left"/>
            </w:pPr>
            <w:r>
              <w:rPr>
                <w:b/>
                <w:bCs/>
                <w:color w:val="FFFFFF"/>
                <w:sz w:val="18"/>
                <w:szCs w:val="18"/>
              </w:rPr>
              <w:t xml:space="preserve">Action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loan_amnt</w:t>
            </w:r>
          </w:p>
        </w:tc>
        <w:tc>
          <w:tcPr>
            <w:tcW w:type="dxa" w:w="3960"/>
            <w:shd w:fill="F4F6F9"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Keep</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int_rate</w:t>
            </w:r>
          </w:p>
        </w:tc>
        <w:tc>
          <w:tcPr>
            <w:tcW w:type="dxa" w:w="3960"/>
            <w:shd w:fill="FFFFFF"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Keep → Binned</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installment</w:t>
            </w:r>
          </w:p>
        </w:tc>
        <w:tc>
          <w:tcPr>
            <w:tcW w:type="dxa" w:w="3960"/>
            <w:shd w:fill="F4F6F9"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Dropped (r=0.956 with loan_amnt)</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annual_inc</w:t>
            </w:r>
          </w:p>
        </w:tc>
        <w:tc>
          <w:tcPr>
            <w:tcW w:type="dxa" w:w="3960"/>
            <w:shd w:fill="FFFFFF"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Keep → Binned</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dti</w:t>
            </w:r>
          </w:p>
        </w:tc>
        <w:tc>
          <w:tcPr>
            <w:tcW w:type="dxa" w:w="3960"/>
            <w:shd w:fill="F4F6F9"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Keep → Binned</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revol_bal</w:t>
            </w:r>
          </w:p>
        </w:tc>
        <w:tc>
          <w:tcPr>
            <w:tcW w:type="dxa" w:w="3960"/>
            <w:shd w:fill="FFFFFF"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FFFFF" w:val="clear"/>
            <w:tcMar>
              <w:top w:type="dxa" w:w="80"/>
              <w:left w:type="dxa" w:w="120"/>
              <w:bottom w:type="dxa" w:w="80"/>
              <w:right w:type="dxa" w:w="120"/>
            </w:tcMar>
          </w:tcPr>
          <w:p>
            <w:pPr>
              <w:jc w:val="left"/>
            </w:pPr>
            <w:r>
              <w:rPr>
                <w:b w:val="false"/>
                <w:bCs w:val="false"/>
                <w:color w:val="1E293B"/>
                <w:sz w:val="18"/>
                <w:szCs w:val="18"/>
              </w:rPr>
              <w:t xml:space="preserve">Dropped (zero discriminative power in EDA)</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revol_util</w:t>
            </w:r>
          </w:p>
        </w:tc>
        <w:tc>
          <w:tcPr>
            <w:tcW w:type="dxa" w:w="3960"/>
            <w:shd w:fill="F4F6F9" w:val="clear"/>
            <w:tcMar>
              <w:top w:type="dxa" w:w="80"/>
              <w:left w:type="dxa" w:w="120"/>
              <w:bottom w:type="dxa" w:w="80"/>
              <w:right w:type="dxa" w:w="120"/>
            </w:tcMar>
          </w:tcPr>
          <w:p>
            <w:pPr>
              <w:jc w:val="left"/>
            </w:pPr>
            <w:r>
              <w:rPr>
                <w:b w:val="false"/>
                <w:bCs w:val="false"/>
                <w:color w:val="1E293B"/>
                <w:sz w:val="18"/>
                <w:szCs w:val="18"/>
              </w:rPr>
              <w:t xml:space="preserve">Reject H₀ — associated with loan_status</w:t>
            </w:r>
          </w:p>
        </w:tc>
        <w:tc>
          <w:tcPr>
            <w:tcW w:type="dxa" w:w="2960"/>
            <w:shd w:fill="F4F6F9" w:val="clear"/>
            <w:tcMar>
              <w:top w:type="dxa" w:w="80"/>
              <w:left w:type="dxa" w:w="120"/>
              <w:bottom w:type="dxa" w:w="80"/>
              <w:right w:type="dxa" w:w="120"/>
            </w:tcMar>
          </w:tcPr>
          <w:p>
            <w:pPr>
              <w:jc w:val="left"/>
            </w:pPr>
            <w:r>
              <w:rPr>
                <w:b w:val="false"/>
                <w:bCs w:val="false"/>
                <w:color w:val="1E293B"/>
                <w:sz w:val="18"/>
                <w:szCs w:val="18"/>
              </w:rPr>
              <w:t xml:space="preserve">Keep → Binned</w:t>
            </w:r>
          </w:p>
        </w:tc>
      </w:tr>
    </w:tbl>
    <w:p>
      <w:pPr>
        <w:spacing w:after="160"/>
      </w:pPr>
    </w:p>
    <w:p>
      <w:pPr>
        <w:spacing w:after="100"/>
        <w:jc w:val="both"/>
      </w:pPr>
      <w:r>
        <w:rPr>
          <w:color w:val="1E293B"/>
          <w:sz w:val="20"/>
          <w:szCs w:val="20"/>
        </w:rPr>
        <w:t xml:space="preserve">All 7 numerical columns showed statistically significant association with loan_status. However, two were dropped for practical reasons beyond statistical significance — installment due to multicollinearity and revol_bal due to zero visual/discriminative separation between groups in EDA.</w:t>
      </w:r>
    </w:p>
    <w:p>
      <w:pPr>
        <w:spacing w:after="120"/>
      </w:pPr>
    </w:p>
    <w:p>
      <w:pPr>
        <w:pBdr>
          <w:bottom w:val="single" w:color="1E2761" w:sz="6"/>
        </w:pBdr>
        <w:spacing w:after="120" w:before="400"/>
      </w:pPr>
      <w:r>
        <w:rPr>
          <w:b/>
          <w:bCs/>
          <w:color w:val="1E2761"/>
          <w:sz w:val="30"/>
          <w:szCs w:val="30"/>
        </w:rPr>
        <w:t xml:space="preserve">4. Continuous Variable Binning</w:t>
      </w:r>
    </w:p>
    <w:p>
      <w:pPr>
        <w:spacing w:after="80" w:before="240"/>
      </w:pPr>
      <w:r>
        <w:rPr>
          <w:b/>
          <w:bCs/>
          <w:color w:val="2E75B6"/>
          <w:sz w:val="24"/>
          <w:szCs w:val="24"/>
        </w:rPr>
        <w:t xml:space="preserve">4.1 Why Binning Was Applied</w:t>
      </w:r>
    </w:p>
    <w:p>
      <w:pPr>
        <w:spacing w:after="100"/>
        <w:jc w:val="both"/>
      </w:pPr>
      <w:r>
        <w:rPr>
          <w:color w:val="1E293B"/>
          <w:sz w:val="20"/>
          <w:szCs w:val="20"/>
        </w:rPr>
        <w:t xml:space="preserve">Four continuous variables were binned before modelling: annual_inc, int_rate, dti, and revol_util. Two reasons motivated this decision:</w:t>
      </w:r>
    </w:p>
    <w:p>
      <w:pPr>
        <w:spacing w:after="160"/>
      </w:pPr>
    </w:p>
    <w:p>
      <w:pPr>
        <w:spacing w:after="60" w:before="180"/>
      </w:pPr>
      <w:r>
        <w:rPr>
          <w:b/>
          <w:bCs/>
          <w:color w:val="1E2761"/>
          <w:sz w:val="22"/>
          <w:szCs w:val="22"/>
        </w:rPr>
        <w:t xml:space="preserve">Reason 1 — Interpretability and Regulatory Compliance</w:t>
      </w:r>
    </w:p>
    <w:p>
      <w:pPr>
        <w:spacing w:after="100"/>
        <w:jc w:val="both"/>
      </w:pPr>
      <w:r>
        <w:rPr>
          <w:color w:val="1E293B"/>
          <w:sz w:val="20"/>
          <w:szCs w:val="20"/>
        </w:rPr>
        <w:t xml:space="preserve">Credit risk models deployed in banking environments must be explainable to regulators and loan officers. A model that says "borrowers with int_rate &gt; 15% have 27% default rate" is far more actionable than a model using raw decimal values. Binned risk bands align with how banks actually think about risk — in tiers, not arbitrary decimal points. This directly supports the XAI objective of the project.</w:t>
      </w:r>
    </w:p>
    <w:p>
      <w:pPr>
        <w:spacing w:after="160"/>
      </w:pPr>
    </w:p>
    <w:p>
      <w:pPr>
        <w:spacing w:after="60" w:before="180"/>
      </w:pPr>
      <w:r>
        <w:rPr>
          <w:b/>
          <w:bCs/>
          <w:color w:val="1E2761"/>
          <w:sz w:val="22"/>
          <w:szCs w:val="22"/>
        </w:rPr>
        <w:t xml:space="preserve">Reason 2 — Empirical Evidence from Model Testing</w:t>
      </w:r>
    </w:p>
    <w:p>
      <w:pPr>
        <w:spacing w:after="100"/>
        <w:jc w:val="both"/>
      </w:pPr>
      <w:r>
        <w:rPr>
          <w:color w:val="1E293B"/>
          <w:sz w:val="20"/>
          <w:szCs w:val="20"/>
        </w:rPr>
        <w:t xml:space="preserve">Models were tested on both raw continuous features and binned features. The binned version consistently produced better results across all models — better recall, better AUC, more stable hyperparameter behaviour. Raw continuous values introduced noise from minor fluctuations (a borrower at 14.99% vs 15.01% interest rate has the same risk profile but appears as a different value), while binning correctly groups them into the same risk tier.</w:t>
      </w:r>
    </w:p>
    <w:p>
      <w:pPr>
        <w:spacing w:after="100"/>
        <w:jc w:val="both"/>
      </w:pPr>
      <w:r>
        <w:rPr>
          <w:color w:val="1E293B"/>
          <w:sz w:val="20"/>
          <w:szCs w:val="20"/>
        </w:rPr>
        <w:t xml:space="preserve">Additionally, binned ordinal features work naturally with OrdinalEncoder — allowing the model to respect the ordered risk hierarchy (low → medium → high → very high) rather than treating categories as unordered.</w:t>
      </w:r>
    </w:p>
    <w:p>
      <w:pPr>
        <w:spacing w:after="160"/>
      </w:pPr>
    </w:p>
    <w:p>
      <w:pPr>
        <w:spacing w:after="60" w:before="180"/>
      </w:pPr>
      <w:r>
        <w:rPr>
          <w:b/>
          <w:bCs/>
          <w:color w:val="1E2761"/>
          <w:sz w:val="22"/>
          <w:szCs w:val="22"/>
        </w:rPr>
        <w:t xml:space="preserve">How Bins Were Selected</w:t>
      </w:r>
    </w:p>
    <w:p>
      <w:pPr>
        <w:spacing w:after="100"/>
        <w:jc w:val="both"/>
      </w:pPr>
      <w:r>
        <w:rPr>
          <w:color w:val="1E293B"/>
          <w:sz w:val="20"/>
          <w:szCs w:val="20"/>
        </w:rPr>
        <w:t xml:space="preserve">For each continuous variable, 3–4 different binning schemes were tested. The final bin was selected based on:</w:t>
      </w:r>
    </w:p>
    <w:p>
      <w:pPr>
        <w:pStyle w:val="ListParagraph"/>
        <w:numPr>
          <w:ilvl w:val="0"/>
          <w:numId w:val="1"/>
        </w:numPr>
        <w:spacing w:after="80"/>
      </w:pPr>
      <w:r>
        <w:rPr>
          <w:b/>
          <w:bCs/>
          <w:color w:val="1E293B"/>
          <w:sz w:val="20"/>
          <w:szCs w:val="20"/>
        </w:rPr>
        <w:t xml:space="preserve">Monotonicity: </w:t>
      </w:r>
      <w:r>
        <w:rPr>
          <w:color w:val="1E293B"/>
          <w:sz w:val="20"/>
          <w:szCs w:val="20"/>
        </w:rPr>
        <w:t xml:space="preserve">default rate must increase or decrease consistently across all brackets — no reversals</w:t>
      </w:r>
    </w:p>
    <w:p>
      <w:pPr>
        <w:pStyle w:val="ListParagraph"/>
        <w:numPr>
          <w:ilvl w:val="0"/>
          <w:numId w:val="1"/>
        </w:numPr>
        <w:spacing w:after="80"/>
      </w:pPr>
      <w:r>
        <w:rPr>
          <w:b/>
          <w:bCs/>
          <w:color w:val="1E293B"/>
          <w:sz w:val="20"/>
          <w:szCs w:val="20"/>
        </w:rPr>
        <w:t xml:space="preserve">Statistical reliability: </w:t>
      </w:r>
      <w:r>
        <w:rPr>
          <w:color w:val="1E293B"/>
          <w:sz w:val="20"/>
          <w:szCs w:val="20"/>
        </w:rPr>
        <w:t xml:space="preserve">every bracket must have sufficient sample size to be trustworthy</w:t>
      </w:r>
    </w:p>
    <w:p>
      <w:pPr>
        <w:pStyle w:val="ListParagraph"/>
        <w:numPr>
          <w:ilvl w:val="0"/>
          <w:numId w:val="1"/>
        </w:numPr>
        <w:spacing w:after="80"/>
      </w:pPr>
      <w:r>
        <w:rPr>
          <w:b/>
          <w:bCs/>
          <w:color w:val="1E293B"/>
          <w:sz w:val="20"/>
          <w:szCs w:val="20"/>
        </w:rPr>
        <w:t xml:space="preserve">Meaningful separation: </w:t>
      </w:r>
      <w:r>
        <w:rPr>
          <w:color w:val="1E293B"/>
          <w:sz w:val="20"/>
          <w:szCs w:val="20"/>
        </w:rPr>
        <w:t xml:space="preserve">adjacent brackets must differ by enough percentage points to justify a separate category</w:t>
      </w:r>
    </w:p>
    <w:p>
      <w:pPr>
        <w:pStyle w:val="ListParagraph"/>
        <w:numPr>
          <w:ilvl w:val="0"/>
          <w:numId w:val="1"/>
        </w:numPr>
        <w:spacing w:after="80"/>
      </w:pPr>
      <w:r>
        <w:rPr>
          <w:b/>
          <w:bCs/>
          <w:color w:val="1E293B"/>
          <w:sz w:val="20"/>
          <w:szCs w:val="20"/>
        </w:rPr>
        <w:t xml:space="preserve">Natural breakpoints: </w:t>
      </w:r>
      <w:r>
        <w:rPr>
          <w:color w:val="1E293B"/>
          <w:sz w:val="20"/>
          <w:szCs w:val="20"/>
        </w:rPr>
        <w:t xml:space="preserve">boundaries should align with the distribution shape (e.g. log-normal breakpoints for income)</w:t>
      </w:r>
    </w:p>
    <w:p>
      <w:pPr>
        <w:spacing w:after="240"/>
      </w:pPr>
    </w:p>
    <w:p>
      <w:pPr>
        <w:spacing w:after="80" w:before="240"/>
      </w:pPr>
      <w:r>
        <w:rPr>
          <w:b/>
          <w:bCs/>
          <w:color w:val="2E75B6"/>
          <w:sz w:val="24"/>
          <w:szCs w:val="24"/>
        </w:rPr>
        <w:t xml:space="preserve">4.2 Annual Income — Binning Decision</w:t>
      </w:r>
    </w:p>
    <w:p>
      <w:pPr>
        <w:spacing w:after="100"/>
        <w:jc w:val="both"/>
      </w:pPr>
      <w:r>
        <w:rPr>
          <w:color w:val="1E293B"/>
          <w:sz w:val="20"/>
          <w:szCs w:val="20"/>
        </w:rPr>
        <w:t xml:space="preserve">Log-distribution confirmed 90% of population sits between exp(9.8) ≈ $18,000 and exp(12.3) ≈ $220,000. Four binning schemes were tested.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Scheme</w:t>
            </w:r>
          </w:p>
        </w:tc>
        <w:tc>
          <w:tcPr>
            <w:tcW w:type="dxa" w:w="3000"/>
            <w:shd w:fill="1E2761" w:val="clear"/>
            <w:tcMar>
              <w:top w:type="dxa" w:w="80"/>
              <w:left w:type="dxa" w:w="120"/>
              <w:bottom w:type="dxa" w:w="80"/>
              <w:right w:type="dxa" w:w="120"/>
            </w:tcMar>
          </w:tcPr>
          <w:p>
            <w:pPr>
              <w:jc w:val="left"/>
            </w:pPr>
            <w:r>
              <w:rPr>
                <w:b/>
                <w:bCs/>
                <w:color w:val="FFFFFF"/>
                <w:sz w:val="18"/>
                <w:szCs w:val="18"/>
              </w:rPr>
              <w:t xml:space="preserve">Brackets</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Monotonic?</w:t>
            </w:r>
          </w:p>
        </w:tc>
        <w:tc>
          <w:tcPr>
            <w:tcW w:type="dxa" w:w="3160"/>
            <w:shd w:fill="1E2761" w:val="clear"/>
            <w:tcMar>
              <w:top w:type="dxa" w:w="80"/>
              <w:left w:type="dxa" w:w="120"/>
              <w:bottom w:type="dxa" w:w="80"/>
              <w:right w:type="dxa" w:w="120"/>
            </w:tcMar>
          </w:tcPr>
          <w:p>
            <w:pPr>
              <w:jc w:val="left"/>
            </w:pPr>
            <w:r>
              <w:rPr>
                <w:b/>
                <w:bCs/>
                <w:color w:val="FFFFFF"/>
                <w:sz w:val="18"/>
                <w:szCs w:val="18"/>
              </w:rPr>
              <w:t xml:space="preserve">Selected?</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1</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&lt;18K, 18K-40K, 40K-80K, 80K-120K, 120K-160K, &gt;160K</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 26.1% → 13.1%</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 Selected (last two merged)</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2</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&lt;10K, 10K-30K, 30K-60K, 60K-100K, 100K-120K, 120K-160K, &gt;160K</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Partial reversal at low end</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3</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&lt;5K, 5K-20K, 20K-50K, 50K-80K, 80K-120K, 120K-160K, &gt;160K</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but 5K bin unreliable</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4</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&lt;2K, 2K-20K, 20K-40K, 40K-60K, 60K-100K, 100K-130K, &gt;130K</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2K bin has only 2 rows</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bl>
    <w:p>
      <w:pPr>
        <w:spacing w:after="160"/>
      </w:pPr>
    </w:p>
    <w:p>
      <w:pPr>
        <w:spacing w:after="100"/>
        <w:jc w:val="both"/>
      </w:pPr>
      <w:r>
        <w:rPr>
          <w:color w:val="1E293B"/>
          <w:sz w:val="20"/>
          <w:szCs w:val="20"/>
        </w:rPr>
        <w:t xml:space="preserve">Bin 1 selected with last two brackets merged (&lt;18K, 18K-40K, 40K-80K, 80K-120K, &gt;120K) since 120K-160K (13.2%) and 160K+ (13.1%) are statistically identical.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63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 $18,000</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26.1%</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$18K – $40K</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23.9%</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$40K – $80K</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19.6%</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$80K – $120K</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14.9%</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&gt;$120K</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13.1%</w:t>
            </w:r>
          </w:p>
        </w:tc>
      </w:tr>
    </w:tbl>
    <w:p>
      <w:pPr>
        <w:spacing w:after="240"/>
      </w:pPr>
    </w:p>
    <w:p>
      <w:pPr>
        <w:spacing w:after="80" w:before="240"/>
      </w:pPr>
      <w:r>
        <w:rPr>
          <w:b/>
          <w:bCs/>
          <w:color w:val="2E75B6"/>
          <w:sz w:val="24"/>
          <w:szCs w:val="24"/>
        </w:rPr>
        <w:t xml:space="preserve">4.3 Interest Rate — Binning Decision</w:t>
      </w:r>
    </w:p>
    <w:p>
      <w:pPr>
        <w:spacing w:after="100"/>
        <w:jc w:val="both"/>
      </w:pPr>
      <w:r>
        <w:rPr>
          <w:color w:val="1E293B"/>
          <w:sz w:val="20"/>
          <w:szCs w:val="20"/>
        </w:rPr>
        <w:t xml:space="preserve">Interest rate ranges from 5.42% to 26.06%. Three binning schemes tested. Discrete peaks in the histogram correspond to sub-grade rate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Scheme</w:t>
            </w:r>
          </w:p>
        </w:tc>
        <w:tc>
          <w:tcPr>
            <w:tcW w:type="dxa" w:w="3000"/>
            <w:shd w:fill="1E2761" w:val="clear"/>
            <w:tcMar>
              <w:top w:type="dxa" w:w="80"/>
              <w:left w:type="dxa" w:w="120"/>
              <w:bottom w:type="dxa" w:w="80"/>
              <w:right w:type="dxa" w:w="120"/>
            </w:tcMar>
          </w:tcPr>
          <w:p>
            <w:pPr>
              <w:jc w:val="left"/>
            </w:pPr>
            <w:r>
              <w:rPr>
                <w:b/>
                <w:bCs/>
                <w:color w:val="FFFFFF"/>
                <w:sz w:val="18"/>
                <w:szCs w:val="18"/>
              </w:rPr>
              <w:t xml:space="preserve">Brackets</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Monotonic?</w:t>
            </w:r>
          </w:p>
        </w:tc>
        <w:tc>
          <w:tcPr>
            <w:tcW w:type="dxa" w:w="2760"/>
            <w:shd w:fill="1E2761" w:val="clear"/>
            <w:tcMar>
              <w:top w:type="dxa" w:w="80"/>
              <w:left w:type="dxa" w:w="120"/>
              <w:bottom w:type="dxa" w:w="80"/>
              <w:right w:type="dxa" w:w="120"/>
            </w:tcMar>
          </w:tcPr>
          <w:p>
            <w:pPr>
              <w:jc w:val="left"/>
            </w:pPr>
            <w:r>
              <w:rPr>
                <w:b/>
                <w:bCs/>
                <w:color w:val="FFFFFF"/>
                <w:sz w:val="18"/>
                <w:szCs w:val="18"/>
              </w:rPr>
              <w:t xml:space="preserve">Selected?</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1</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&lt;5%, 5-10%, 10-15%, 15-20%, &gt;20%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Yes but too coarse — 10-15% hides different risks</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2</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&lt;8%, 8-12%, 12-15%, 15-21%, 21-24%, &gt;24%</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Yes — 5.7% to 43.7%</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 Selected</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3</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&lt;9%, 9-15%, 15-19%, 19-23%, &gt;23%</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Yes but breakpoints less natural</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No</w:t>
            </w:r>
          </w:p>
        </w:tc>
      </w:tr>
    </w:tbl>
    <w:p>
      <w:pPr>
        <w:spacing w:after="160"/>
      </w:pPr>
    </w:p>
    <w:p>
      <w:pPr>
        <w:spacing w:after="100"/>
        <w:jc w:val="both"/>
      </w:pPr>
      <w:r>
        <w:rPr>
          <w:color w:val="1E293B"/>
          <w:sz w:val="20"/>
          <w:szCs w:val="20"/>
        </w:rPr>
        <w:t xml:space="preserve">Bin 2 selected — breakpoints align with Lending Club's own sub-grade rate tiers. Each bracket jump is at least 5-6 percentage points, ensuring meaningful separation.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63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 8%</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5.7%</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8–12%</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11.4%</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12–15%</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17.3%</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15–21%</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27.2%</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21–24%</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39.4%</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&gt;24%</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43.7%</w:t>
            </w:r>
          </w:p>
        </w:tc>
      </w:tr>
    </w:tbl>
    <w:p>
      <w:pPr>
        <w:spacing w:after="240"/>
      </w:pPr>
    </w:p>
    <w:p>
      <w:pPr>
        <w:spacing w:after="80" w:before="240"/>
      </w:pPr>
      <w:r>
        <w:rPr>
          <w:b/>
          <w:bCs/>
          <w:color w:val="2E75B6"/>
          <w:sz w:val="24"/>
          <w:szCs w:val="24"/>
        </w:rPr>
        <w:t xml:space="preserve">4.4 DTI — Binning Decision</w:t>
      </w:r>
    </w:p>
    <w:p>
      <w:pPr>
        <w:spacing w:after="100"/>
        <w:jc w:val="both"/>
      </w:pPr>
      <w:r>
        <w:rPr>
          <w:color w:val="1E293B"/>
          <w:sz w:val="20"/>
          <w:szCs w:val="20"/>
        </w:rPr>
        <w:t xml:space="preserve">DTI ranges from 0 to 40%. Four binning schemes tested.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Scheme</w:t>
            </w:r>
          </w:p>
        </w:tc>
        <w:tc>
          <w:tcPr>
            <w:tcW w:type="dxa" w:w="3000"/>
            <w:shd w:fill="1E2761" w:val="clear"/>
            <w:tcMar>
              <w:top w:type="dxa" w:w="80"/>
              <w:left w:type="dxa" w:w="120"/>
              <w:bottom w:type="dxa" w:w="80"/>
              <w:right w:type="dxa" w:w="120"/>
            </w:tcMar>
          </w:tcPr>
          <w:p>
            <w:pPr>
              <w:jc w:val="left"/>
            </w:pPr>
            <w:r>
              <w:rPr>
                <w:b/>
                <w:bCs/>
                <w:color w:val="FFFFFF"/>
                <w:sz w:val="18"/>
                <w:szCs w:val="18"/>
              </w:rPr>
              <w:t xml:space="preserve">Brackets</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Monotonic?</w:t>
            </w:r>
          </w:p>
        </w:tc>
        <w:tc>
          <w:tcPr>
            <w:tcW w:type="dxa" w:w="3160"/>
            <w:shd w:fill="1E2761" w:val="clear"/>
            <w:tcMar>
              <w:top w:type="dxa" w:w="80"/>
              <w:left w:type="dxa" w:w="120"/>
              <w:bottom w:type="dxa" w:w="80"/>
              <w:right w:type="dxa" w:w="120"/>
            </w:tcMar>
          </w:tcPr>
          <w:p>
            <w:pPr>
              <w:jc w:val="left"/>
            </w:pPr>
            <w:r>
              <w:rPr>
                <w:b/>
                <w:bCs/>
                <w:color w:val="FFFFFF"/>
                <w:sz w:val="18"/>
                <w:szCs w:val="18"/>
              </w:rPr>
              <w:t xml:space="preserve">Selected?</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1</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&lt;5, 5-10, 10-15, 15-20, 20-25, 25-30, 30-35, &gt;35</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 12.9% to 39.2%</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 Selected</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2</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&lt;10, 10-20, 20-30, &gt;30</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Yes but too coarse</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3</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&lt;7, 7-15, 15-20, 20-25, 25-30, &gt;30</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but 7 is unnatural breakpoint</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4</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&lt;10, 10-20, 20-25, 25-30, 30-35, &gt;35</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Yes but loses granularity at low end</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bl>
    <w:p>
      <w:pPr>
        <w:spacing w:after="160"/>
      </w:pPr>
    </w:p>
    <w:p>
      <w:pPr>
        <w:spacing w:after="100"/>
        <w:jc w:val="both"/>
      </w:pPr>
      <w:r>
        <w:rPr>
          <w:color w:val="1E293B"/>
          <w:sz w:val="20"/>
          <w:szCs w:val="20"/>
        </w:rPr>
        <w:t xml:space="preserve">Bin 1 selected — most granular with 8 brackets, perfectly monotonic, every 5-point step adds 3-4 percentage points of default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Default Rate</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2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&lt; 5</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12.9%</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20–25</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22.1%</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5–10</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14.0%</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25–30</w:t>
            </w:r>
          </w:p>
        </w:tc>
        <w:tc>
          <w:tcPr>
            <w:tcW w:type="dxa" w:w="2160"/>
            <w:shd w:fill="FFFFFF" w:val="clear"/>
            <w:tcMar>
              <w:top w:type="dxa" w:w="80"/>
              <w:left w:type="dxa" w:w="120"/>
              <w:bottom w:type="dxa" w:w="80"/>
              <w:right w:type="dxa" w:w="120"/>
            </w:tcMar>
          </w:tcPr>
          <w:p>
            <w:pPr>
              <w:jc w:val="left"/>
            </w:pPr>
            <w:r>
              <w:rPr>
                <w:b w:val="false"/>
                <w:bCs w:val="false"/>
                <w:color w:val="1E293B"/>
                <w:sz w:val="18"/>
                <w:szCs w:val="18"/>
              </w:rPr>
              <w:t xml:space="preserve">26.6%</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10–15</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16.3%</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30–35</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29.5%</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15–20</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18.9%</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&gt; 35</w:t>
            </w:r>
          </w:p>
        </w:tc>
        <w:tc>
          <w:tcPr>
            <w:tcW w:type="dxa" w:w="2160"/>
            <w:shd w:fill="FFFFFF" w:val="clear"/>
            <w:tcMar>
              <w:top w:type="dxa" w:w="80"/>
              <w:left w:type="dxa" w:w="120"/>
              <w:bottom w:type="dxa" w:w="80"/>
              <w:right w:type="dxa" w:w="120"/>
            </w:tcMar>
          </w:tcPr>
          <w:p>
            <w:pPr>
              <w:jc w:val="left"/>
            </w:pPr>
            <w:r>
              <w:rPr>
                <w:b w:val="false"/>
                <w:bCs w:val="false"/>
                <w:color w:val="1E293B"/>
                <w:sz w:val="18"/>
                <w:szCs w:val="18"/>
              </w:rPr>
              <w:t xml:space="preserve">39.2%</w:t>
            </w:r>
          </w:p>
        </w:tc>
      </w:tr>
    </w:tbl>
    <w:p>
      <w:pPr>
        <w:spacing w:after="240"/>
      </w:pPr>
    </w:p>
    <w:p>
      <w:pPr>
        <w:spacing w:after="80" w:before="240"/>
      </w:pPr>
      <w:r>
        <w:rPr>
          <w:b/>
          <w:bCs/>
          <w:color w:val="2E75B6"/>
          <w:sz w:val="24"/>
          <w:szCs w:val="24"/>
        </w:rPr>
        <w:t xml:space="preserve">4.5 Revolving Utilization — Binning Decision</w:t>
      </w:r>
    </w:p>
    <w:p>
      <w:pPr>
        <w:spacing w:after="100"/>
        <w:jc w:val="both"/>
      </w:pPr>
      <w:r>
        <w:rPr>
          <w:color w:val="1E293B"/>
          <w:sz w:val="20"/>
          <w:szCs w:val="20"/>
        </w:rPr>
        <w:t xml:space="preserve">Revolving utilization ranges from 0% to 892.3% (one extreme outlier identified as likely data quality error). Four binning schemes tested.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Scheme</w:t>
            </w:r>
          </w:p>
        </w:tc>
        <w:tc>
          <w:tcPr>
            <w:tcW w:type="dxa" w:w="3000"/>
            <w:shd w:fill="1E2761" w:val="clear"/>
            <w:tcMar>
              <w:top w:type="dxa" w:w="80"/>
              <w:left w:type="dxa" w:w="120"/>
              <w:bottom w:type="dxa" w:w="80"/>
              <w:right w:type="dxa" w:w="120"/>
            </w:tcMar>
          </w:tcPr>
          <w:p>
            <w:pPr>
              <w:jc w:val="left"/>
            </w:pPr>
            <w:r>
              <w:rPr>
                <w:b/>
                <w:bCs/>
                <w:color w:val="FFFFFF"/>
                <w:sz w:val="18"/>
                <w:szCs w:val="18"/>
              </w:rPr>
              <w:t xml:space="preserve">Brackets</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Monotonic?</w:t>
            </w:r>
          </w:p>
        </w:tc>
        <w:tc>
          <w:tcPr>
            <w:tcW w:type="dxa" w:w="3160"/>
            <w:shd w:fill="1E2761" w:val="clear"/>
            <w:tcMar>
              <w:top w:type="dxa" w:w="80"/>
              <w:left w:type="dxa" w:w="120"/>
              <w:bottom w:type="dxa" w:w="80"/>
              <w:right w:type="dxa" w:w="120"/>
            </w:tcMar>
          </w:tcPr>
          <w:p>
            <w:pPr>
              <w:jc w:val="left"/>
            </w:pPr>
            <w:r>
              <w:rPr>
                <w:b/>
                <w:bCs/>
                <w:color w:val="FFFFFF"/>
                <w:sz w:val="18"/>
                <w:szCs w:val="18"/>
              </w:rPr>
              <w:t xml:space="preserve">Selected?</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1</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&lt;20%, 20-40%, 40-60%, 60-80%, 80-100%, &gt;100%</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 11.7% to 30.3%</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 Selected</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2</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&lt;15%, 15-30%, 30-50%, 50-70%, 70-100%, &gt;100%</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Yes but unnatural breakpoints</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Bin 3</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&lt;10%, 10-30%, 30-50%, 50-80%, 80-100%, &gt;100%</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Yes but merges key range</w:t>
            </w:r>
          </w:p>
        </w:tc>
        <w:tc>
          <w:tcPr>
            <w:tcW w:type="dxa" w:w="3160"/>
            <w:shd w:fill="F4F6F9" w:val="clear"/>
            <w:tcMar>
              <w:top w:type="dxa" w:w="80"/>
              <w:left w:type="dxa" w:w="120"/>
              <w:bottom w:type="dxa" w:w="80"/>
              <w:right w:type="dxa" w:w="120"/>
            </w:tcMar>
          </w:tcPr>
          <w:p>
            <w:pPr>
              <w:jc w:val="left"/>
            </w:pPr>
            <w:r>
              <w:rPr>
                <w:b w:val="false"/>
                <w:bCs w:val="false"/>
                <w:color w:val="1E293B"/>
                <w:sz w:val="18"/>
                <w:szCs w:val="18"/>
              </w:rPr>
              <w:t xml:space="preserve">No</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Bin 4</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&lt;8%, 8-18%, 18-30%, 30-50%, 50-80%, &gt;80%</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Reversal at 8-18% (11.2% &lt; 12.1%) — disqualified</w:t>
            </w:r>
          </w:p>
        </w:tc>
        <w:tc>
          <w:tcPr>
            <w:tcW w:type="dxa" w:w="3160"/>
            <w:shd w:fill="FFFFFF" w:val="clear"/>
            <w:tcMar>
              <w:top w:type="dxa" w:w="80"/>
              <w:left w:type="dxa" w:w="120"/>
              <w:bottom w:type="dxa" w:w="80"/>
              <w:right w:type="dxa" w:w="120"/>
            </w:tcMar>
          </w:tcPr>
          <w:p>
            <w:pPr>
              <w:jc w:val="left"/>
            </w:pPr>
            <w:r>
              <w:rPr>
                <w:b w:val="false"/>
                <w:bCs w:val="false"/>
                <w:color w:val="1E293B"/>
                <w:sz w:val="18"/>
                <w:szCs w:val="18"/>
              </w:rPr>
              <w:t xml:space="preserve">No</w:t>
            </w:r>
          </w:p>
        </w:tc>
      </w:tr>
    </w:tbl>
    <w:p>
      <w:pPr>
        <w:spacing w:after="160"/>
      </w:pPr>
    </w:p>
    <w:p>
      <w:pPr>
        <w:spacing w:after="100"/>
        <w:jc w:val="both"/>
      </w:pPr>
      <w:r>
        <w:rPr>
          <w:color w:val="1E293B"/>
          <w:sz w:val="20"/>
          <w:szCs w:val="20"/>
        </w:rPr>
        <w:t xml:space="preserve">Bin 1 selected — natural equal-width 20-point brackets, perfectly monotonic, Bin 4 disqualified because 8-18% bracket (11.2%) was lower than &lt;8% bracket (12.1%) — a reversal that breaks monotonicity.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63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&lt; 20%</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11.7%</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20–40%</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15.5%</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40–60%</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18.7%</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60–80%</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21.2%</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80–100%</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23.6%</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&gt;100%</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30.3%</w:t>
            </w:r>
          </w:p>
        </w:tc>
      </w:tr>
    </w:tbl>
    <w:p>
      <w:pPr>
        <w:spacing w:after="240"/>
      </w:pPr>
    </w:p>
    <w:p>
      <w:pPr>
        <w:pBdr>
          <w:bottom w:val="single" w:color="1E2761" w:sz="6"/>
        </w:pBdr>
        <w:spacing w:after="120" w:before="400"/>
      </w:pPr>
      <w:r>
        <w:rPr>
          <w:b/>
          <w:bCs/>
          <w:color w:val="1E2761"/>
          <w:sz w:val="30"/>
          <w:szCs w:val="30"/>
        </w:rPr>
        <w:t xml:space="preserve">5. Feature Engineering</w:t>
      </w:r>
    </w:p>
    <w:p>
      <w:pPr>
        <w:spacing w:after="80" w:before="240"/>
      </w:pPr>
      <w:r>
        <w:rPr>
          <w:b/>
          <w:bCs/>
          <w:color w:val="2E75B6"/>
          <w:sz w:val="24"/>
          <w:szCs w:val="24"/>
        </w:rPr>
        <w:t xml:space="preserve">5.1 Binary Flags Created</w:t>
      </w:r>
    </w:p>
    <w:p>
      <w:pPr>
        <w:spacing w:after="100"/>
        <w:jc w:val="both"/>
      </w:pPr>
      <w:r>
        <w:rPr>
          <w:color w:val="1E293B"/>
          <w:sz w:val="20"/>
          <w:szCs w:val="20"/>
        </w:rPr>
        <w:t xml:space="preserve">Several count-based columns were converted to binary flags because the majority of borrowers had zero values and the raw count added noise rather than signal: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E2761" w:val="clear"/>
            <w:tcMar>
              <w:top w:type="dxa" w:w="80"/>
              <w:left w:type="dxa" w:w="120"/>
              <w:bottom w:type="dxa" w:w="80"/>
              <w:right w:type="dxa" w:w="120"/>
            </w:tcMar>
          </w:tcPr>
          <w:p>
            <w:pPr>
              <w:jc w:val="left"/>
            </w:pPr>
            <w:r>
              <w:rPr>
                <w:b/>
                <w:bCs/>
                <w:color w:val="FFFFFF"/>
                <w:sz w:val="18"/>
                <w:szCs w:val="18"/>
              </w:rPr>
              <w:t xml:space="preserve">Original Column</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Binary Flag</w:t>
            </w:r>
          </w:p>
        </w:tc>
        <w:tc>
          <w:tcPr>
            <w:tcW w:type="dxa" w:w="2560"/>
            <w:shd w:fill="1E2761" w:val="clear"/>
            <w:tcMar>
              <w:top w:type="dxa" w:w="80"/>
              <w:left w:type="dxa" w:w="120"/>
              <w:bottom w:type="dxa" w:w="80"/>
              <w:right w:type="dxa" w:w="120"/>
            </w:tcMar>
          </w:tcPr>
          <w:p>
            <w:pPr>
              <w:jc w:val="left"/>
            </w:pPr>
            <w:r>
              <w:rPr>
                <w:b/>
                <w:bCs/>
                <w:color w:val="FFFFFF"/>
                <w:sz w:val="18"/>
                <w:szCs w:val="18"/>
              </w:rPr>
              <w:t xml:space="preserve">Logic</w:t>
            </w:r>
          </w:p>
        </w:tc>
        <w:tc>
          <w:tcPr>
            <w:tcW w:type="dxa" w:w="1800"/>
            <w:shd w:fill="1E2761" w:val="clear"/>
            <w:tcMar>
              <w:top w:type="dxa" w:w="80"/>
              <w:left w:type="dxa" w:w="120"/>
              <w:bottom w:type="dxa" w:w="80"/>
              <w:right w:type="dxa" w:w="120"/>
            </w:tcMar>
          </w:tcPr>
          <w:p>
            <w:pPr>
              <w:jc w:val="left"/>
            </w:pPr>
            <w:r>
              <w:rPr>
                <w:b/>
                <w:bCs/>
                <w:color w:val="FFFFFF"/>
                <w:sz w:val="18"/>
                <w:szCs w:val="18"/>
              </w:rPr>
              <w:t xml:space="preserve">Chi-Square p-value</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delinq_2yrs</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delinq_2yrs_flag</w:t>
            </w:r>
          </w:p>
        </w:tc>
        <w:tc>
          <w:tcPr>
            <w:tcW w:type="dxa" w:w="2560"/>
            <w:shd w:fill="F4F6F9" w:val="clear"/>
            <w:tcMar>
              <w:top w:type="dxa" w:w="80"/>
              <w:left w:type="dxa" w:w="120"/>
              <w:bottom w:type="dxa" w:w="80"/>
              <w:right w:type="dxa" w:w="120"/>
            </w:tcMar>
          </w:tcPr>
          <w:p>
            <w:pPr>
              <w:jc w:val="left"/>
            </w:pPr>
            <w:r>
              <w:rPr>
                <w:b w:val="false"/>
                <w:bCs w:val="false"/>
                <w:color w:val="1E293B"/>
                <w:sz w:val="18"/>
                <w:szCs w:val="18"/>
              </w:rPr>
              <w:t xml:space="preserve">0 = no delinquency, 1 = any delinquency</w:t>
            </w:r>
          </w:p>
        </w:tc>
        <w:tc>
          <w:tcPr>
            <w:tcW w:type="dxa" w:w="1800"/>
            <w:shd w:fill="F4F6F9" w:val="clear"/>
            <w:tcMar>
              <w:top w:type="dxa" w:w="80"/>
              <w:left w:type="dxa" w:w="120"/>
              <w:bottom w:type="dxa" w:w="80"/>
              <w:right w:type="dxa" w:w="120"/>
            </w:tcMar>
          </w:tcPr>
          <w:p>
            <w:pPr>
              <w:jc w:val="left"/>
            </w:pPr>
            <w:r>
              <w:rPr>
                <w:b w:val="false"/>
                <w:bCs w:val="false"/>
                <w:color w:val="1E293B"/>
                <w:sz w:val="18"/>
                <w:szCs w:val="18"/>
              </w:rPr>
              <w:t xml:space="preserve">3.13e-16 — significant</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mths_since_last_delinq</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mths_since_last_delinq_flag</w:t>
            </w:r>
          </w:p>
        </w:tc>
        <w:tc>
          <w:tcPr>
            <w:tcW w:type="dxa" w:w="2560"/>
            <w:shd w:fill="FFFFFF" w:val="clear"/>
            <w:tcMar>
              <w:top w:type="dxa" w:w="80"/>
              <w:left w:type="dxa" w:w="120"/>
              <w:bottom w:type="dxa" w:w="80"/>
              <w:right w:type="dxa" w:w="120"/>
            </w:tcMar>
          </w:tcPr>
          <w:p>
            <w:pPr>
              <w:jc w:val="left"/>
            </w:pPr>
            <w:r>
              <w:rPr>
                <w:b w:val="false"/>
                <w:bCs w:val="false"/>
                <w:color w:val="1E293B"/>
                <w:sz w:val="18"/>
                <w:szCs w:val="18"/>
              </w:rPr>
              <w:t xml:space="preserve">0 = no delinquency ever, 1 = had delinquency</w:t>
            </w:r>
          </w:p>
        </w:tc>
        <w:tc>
          <w:tcPr>
            <w:tcW w:type="dxa" w:w="1800"/>
            <w:shd w:fill="FFFFFF" w:val="clear"/>
            <w:tcMar>
              <w:top w:type="dxa" w:w="80"/>
              <w:left w:type="dxa" w:w="120"/>
              <w:bottom w:type="dxa" w:w="80"/>
              <w:right w:type="dxa" w:w="120"/>
            </w:tcMar>
          </w:tcPr>
          <w:p>
            <w:pPr>
              <w:jc w:val="left"/>
            </w:pPr>
            <w:r>
              <w:rPr>
                <w:b w:val="false"/>
                <w:bCs w:val="false"/>
                <w:color w:val="1E293B"/>
                <w:sz w:val="18"/>
                <w:szCs w:val="18"/>
              </w:rPr>
              <w:t xml:space="preserve">3.82e-04 — significant</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mths_since_last_record</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mths_since_last_record_flag</w:t>
            </w:r>
          </w:p>
        </w:tc>
        <w:tc>
          <w:tcPr>
            <w:tcW w:type="dxa" w:w="2560"/>
            <w:shd w:fill="F4F6F9" w:val="clear"/>
            <w:tcMar>
              <w:top w:type="dxa" w:w="80"/>
              <w:left w:type="dxa" w:w="120"/>
              <w:bottom w:type="dxa" w:w="80"/>
              <w:right w:type="dxa" w:w="120"/>
            </w:tcMar>
          </w:tcPr>
          <w:p>
            <w:pPr>
              <w:jc w:val="left"/>
            </w:pPr>
            <w:r>
              <w:rPr>
                <w:b w:val="false"/>
                <w:bCs w:val="false"/>
                <w:color w:val="1E293B"/>
                <w:sz w:val="18"/>
                <w:szCs w:val="18"/>
              </w:rPr>
              <w:t xml:space="preserve">0 = no public record, 1 = has record</w:t>
            </w:r>
          </w:p>
        </w:tc>
        <w:tc>
          <w:tcPr>
            <w:tcW w:type="dxa" w:w="1800"/>
            <w:shd w:fill="F4F6F9" w:val="clear"/>
            <w:tcMar>
              <w:top w:type="dxa" w:w="80"/>
              <w:left w:type="dxa" w:w="120"/>
              <w:bottom w:type="dxa" w:w="80"/>
              <w:right w:type="dxa" w:w="120"/>
            </w:tcMar>
          </w:tcPr>
          <w:p>
            <w:pPr>
              <w:jc w:val="left"/>
            </w:pPr>
            <w:r>
              <w:rPr>
                <w:b w:val="false"/>
                <w:bCs w:val="false"/>
                <w:color w:val="1E293B"/>
                <w:sz w:val="18"/>
                <w:szCs w:val="18"/>
              </w:rPr>
              <w:t xml:space="preserve">6.22e-04 — significant</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pub_rec</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pub_rec_flag</w:t>
            </w:r>
          </w:p>
        </w:tc>
        <w:tc>
          <w:tcPr>
            <w:tcW w:type="dxa" w:w="2560"/>
            <w:shd w:fill="FFFFFF" w:val="clear"/>
            <w:tcMar>
              <w:top w:type="dxa" w:w="80"/>
              <w:left w:type="dxa" w:w="120"/>
              <w:bottom w:type="dxa" w:w="80"/>
              <w:right w:type="dxa" w:w="120"/>
            </w:tcMar>
          </w:tcPr>
          <w:p>
            <w:pPr>
              <w:jc w:val="left"/>
            </w:pPr>
            <w:r>
              <w:rPr>
                <w:b w:val="false"/>
                <w:bCs w:val="false"/>
                <w:color w:val="1E293B"/>
                <w:sz w:val="18"/>
                <w:szCs w:val="18"/>
              </w:rPr>
              <w:t xml:space="preserve">0 = no public records, 1 = has records</w:t>
            </w:r>
          </w:p>
        </w:tc>
        <w:tc>
          <w:tcPr>
            <w:tcW w:type="dxa" w:w="1800"/>
            <w:shd w:fill="FFFFFF" w:val="clear"/>
            <w:tcMar>
              <w:top w:type="dxa" w:w="80"/>
              <w:left w:type="dxa" w:w="120"/>
              <w:bottom w:type="dxa" w:w="80"/>
              <w:right w:type="dxa" w:w="120"/>
            </w:tcMar>
          </w:tcPr>
          <w:p>
            <w:pPr>
              <w:jc w:val="left"/>
            </w:pPr>
            <w:r>
              <w:rPr>
                <w:b w:val="false"/>
                <w:bCs w:val="false"/>
                <w:color w:val="1E293B"/>
                <w:sz w:val="18"/>
                <w:szCs w:val="18"/>
              </w:rPr>
              <w:t xml:space="preserve">6.37e-04 — significant</w:t>
            </w:r>
          </w:p>
        </w:tc>
      </w:tr>
    </w:tbl>
    <w:p>
      <w:pPr>
        <w:spacing w:after="240"/>
      </w:pPr>
    </w:p>
    <w:p>
      <w:pPr>
        <w:spacing w:after="80" w:before="240"/>
      </w:pPr>
      <w:r>
        <w:rPr>
          <w:b/>
          <w:bCs/>
          <w:color w:val="2E75B6"/>
          <w:sz w:val="24"/>
          <w:szCs w:val="24"/>
        </w:rPr>
        <w:t xml:space="preserve">5.2 Count-Based Columns Binned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E2761" w:val="clear"/>
            <w:tcMar>
              <w:top w:type="dxa" w:w="80"/>
              <w:left w:type="dxa" w:w="120"/>
              <w:bottom w:type="dxa" w:w="80"/>
              <w:right w:type="dxa" w:w="120"/>
            </w:tcMar>
          </w:tcPr>
          <w:p>
            <w:pPr>
              <w:jc w:val="left"/>
            </w:pPr>
            <w:r>
              <w:rPr>
                <w:b/>
                <w:bCs/>
                <w:color w:val="FFFFFF"/>
                <w:sz w:val="18"/>
                <w:szCs w:val="18"/>
              </w:rPr>
              <w:t xml:space="preserve">Original Column</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Binned Column</w:t>
            </w:r>
          </w:p>
        </w:tc>
        <w:tc>
          <w:tcPr>
            <w:tcW w:type="dxa" w:w="2760"/>
            <w:shd w:fill="1E2761" w:val="clear"/>
            <w:tcMar>
              <w:top w:type="dxa" w:w="80"/>
              <w:left w:type="dxa" w:w="120"/>
              <w:bottom w:type="dxa" w:w="80"/>
              <w:right w:type="dxa" w:w="120"/>
            </w:tcMar>
          </w:tcPr>
          <w:p>
            <w:pPr>
              <w:jc w:val="left"/>
            </w:pPr>
            <w:r>
              <w:rPr>
                <w:b/>
                <w:bCs/>
                <w:color w:val="FFFFFF"/>
                <w:sz w:val="18"/>
                <w:szCs w:val="18"/>
              </w:rPr>
              <w:t xml:space="preserve">Bins</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Chi-Square p-value</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inq_last_6mths</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inq_last_6mths_bin</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0, 0-1, 1-2, 2+</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7.95e-180 — highly significant</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open_acc</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open_acc_bin</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0, 0-5, 5-7, 7-9, 9-13, 13-17, 17+</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3.06e-16 — significant</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total_acc</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total_acc_bin</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0-10, 10-16, 16-20, 20-26, 26-35, 35+</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4.36e-34 — significant</w:t>
            </w:r>
          </w:p>
        </w:tc>
      </w:tr>
    </w:tbl>
    <w:p>
      <w:pPr>
        <w:spacing w:after="160"/>
      </w:pPr>
    </w:p>
    <w:p>
      <w:pPr>
        <w:spacing w:after="100"/>
        <w:jc w:val="both"/>
      </w:pPr>
      <w:r>
        <w:rPr>
          <w:color w:val="1E293B"/>
          <w:sz w:val="20"/>
          <w:szCs w:val="20"/>
        </w:rPr>
        <w:t xml:space="preserve">Bin boundaries for open_acc and total_acc were derived from cumulative frequency distributions — boundaries were placed where the cumulative proportion crossed natural thresholds (25%, 50%, 75%, 90% etc).</w:t>
      </w:r>
    </w:p>
    <w:p>
      <w:pPr>
        <w:spacing w:after="240"/>
      </w:pPr>
    </w:p>
    <w:p>
      <w:pPr>
        <w:spacing w:after="80" w:before="240"/>
      </w:pPr>
      <w:r>
        <w:rPr>
          <w:b/>
          <w:bCs/>
          <w:color w:val="2E75B6"/>
          <w:sz w:val="24"/>
          <w:szCs w:val="24"/>
        </w:rPr>
        <w:t xml:space="preserve">5.3 Employment Length — Special Treatment</w:t>
      </w:r>
    </w:p>
    <w:p>
      <w:pPr>
        <w:spacing w:after="100"/>
        <w:jc w:val="both"/>
      </w:pPr>
      <w:r>
        <w:rPr>
          <w:color w:val="1E293B"/>
          <w:sz w:val="20"/>
          <w:szCs w:val="20"/>
        </w:rPr>
        <w:t xml:space="preserve">Employment length failed to show any predictive pattern across its 11 categories (default rate flat at 17.8-19.7% for all employment durations). However, the UNKNOWN category showed an elevated default rate of 27.1%.</w:t>
      </w:r>
    </w:p>
    <w:p>
      <w:pPr>
        <w:spacing w:after="100"/>
        <w:jc w:val="both"/>
      </w:pPr>
      <w:r>
        <w:rPr>
          <w:color w:val="1E293B"/>
          <w:sz w:val="20"/>
          <w:szCs w:val="20"/>
        </w:rPr>
        <w:t xml:space="preserve">This UNKNOWN category represents borrowers who either did not disclose employment, are self-employed, or are unemployed — all three scenarios share the characteristic that their employment situation cannot be verified. The feature was collapsed to a binary flag:</w:t>
      </w:r>
    </w:p>
    <w:p>
      <w:pPr>
        <w:spacing w:after="80"/>
      </w:pPr>
    </w:p>
    <w:p>
      <w:pPr>
        <w:spacing w:after="80"/>
        <w:ind w:left="360"/>
      </w:pPr>
      <w:r>
        <w:rPr>
          <w:rFonts w:ascii="Courier New" w:cs="Courier New" w:eastAsia="Courier New" w:hAnsi="Courier New"/>
          <w:color w:val="2E75B6"/>
          <w:sz w:val="18"/>
          <w:szCs w:val="18"/>
          <w:shd w:fill="EEF4FF" w:val="clear"/>
        </w:rPr>
        <w:t xml:space="preserve">emp_status_unverifiable = 1  if emp_length == "UNKNOWN"  else  0</w:t>
      </w:r>
    </w:p>
    <w:p>
      <w:pPr>
        <w:spacing w:after="80"/>
      </w:pPr>
    </w:p>
    <w:p>
      <w:pPr>
        <w:spacing w:after="100"/>
        <w:jc w:val="both"/>
      </w:pPr>
      <w:r>
        <w:rPr>
          <w:color w:val="1E293B"/>
          <w:sz w:val="20"/>
          <w:szCs w:val="20"/>
        </w:rPr>
        <w:t xml:space="preserve">This preserves the only meaningful signal in the column while discarding the noise from 11 otherwise identical categories.</w:t>
      </w:r>
    </w:p>
    <w:p>
      <w:pPr>
        <w:spacing w:after="120"/>
      </w:pPr>
    </w:p>
    <w:p>
      <w:pPr>
        <w:pBdr>
          <w:bottom w:val="single" w:color="1E2761" w:sz="6"/>
        </w:pBdr>
        <w:spacing w:after="120" w:before="400"/>
      </w:pPr>
      <w:r>
        <w:rPr>
          <w:b/>
          <w:bCs/>
          <w:color w:val="1E2761"/>
          <w:sz w:val="30"/>
          <w:szCs w:val="30"/>
        </w:rPr>
        <w:t xml:space="preserve">6. Final Modelling Dataset</w:t>
      </w:r>
    </w:p>
    <w:p>
      <w:pPr>
        <w:spacing w:after="100"/>
        <w:jc w:val="both"/>
      </w:pPr>
      <w:r>
        <w:rPr>
          <w:color w:val="1E293B"/>
          <w:sz w:val="20"/>
          <w:szCs w:val="20"/>
        </w:rPr>
        <w:t xml:space="preserve">Output file: modelling_ready_data.csv — 230,288 rows × 15 columns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E2761" w:val="clear"/>
            <w:tcMar>
              <w:top w:type="dxa" w:w="80"/>
              <w:left w:type="dxa" w:w="120"/>
              <w:bottom w:type="dxa" w:w="80"/>
              <w:right w:type="dxa" w:w="120"/>
            </w:tcMar>
          </w:tcPr>
          <w:p>
            <w:pPr>
              <w:jc w:val="left"/>
            </w:pPr>
            <w:r>
              <w:rPr>
                <w:b/>
                <w:bCs/>
                <w:color w:val="FFFFFF"/>
                <w:sz w:val="18"/>
                <w:szCs w:val="18"/>
              </w:rPr>
              <w:t xml:space="preserve">Type</w:t>
            </w:r>
          </w:p>
        </w:tc>
        <w:tc>
          <w:tcPr>
            <w:tcW w:type="dxa" w:w="4160"/>
            <w:shd w:fill="1E2761" w:val="clear"/>
            <w:tcMar>
              <w:top w:type="dxa" w:w="80"/>
              <w:left w:type="dxa" w:w="120"/>
              <w:bottom w:type="dxa" w:w="80"/>
              <w:right w:type="dxa" w:w="120"/>
            </w:tcMar>
          </w:tcPr>
          <w:p>
            <w:pPr>
              <w:jc w:val="left"/>
            </w:pPr>
            <w:r>
              <w:rPr>
                <w:b/>
                <w:bCs/>
                <w:color w:val="FFFFFF"/>
                <w:sz w:val="18"/>
                <w:szCs w:val="18"/>
              </w:rPr>
              <w:t xml:space="preserve">Features</w:t>
            </w:r>
          </w:p>
        </w:tc>
        <w:tc>
          <w:tcPr>
            <w:tcW w:type="dxa" w:w="3600"/>
            <w:shd w:fill="1E2761" w:val="clear"/>
            <w:tcMar>
              <w:top w:type="dxa" w:w="80"/>
              <w:left w:type="dxa" w:w="120"/>
              <w:bottom w:type="dxa" w:w="80"/>
              <w:right w:type="dxa" w:w="120"/>
            </w:tcMar>
          </w:tcPr>
          <w:p>
            <w:pPr>
              <w:jc w:val="left"/>
            </w:pPr>
            <w:r>
              <w:rPr>
                <w:b/>
                <w:bCs/>
                <w:color w:val="FFFFFF"/>
                <w:sz w:val="18"/>
                <w:szCs w:val="18"/>
              </w:rPr>
              <w:t xml:space="preserve">Encoding</w:t>
            </w:r>
          </w:p>
        </w:tc>
      </w:tr>
      <w:tr>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Ordinal (8)</w:t>
            </w:r>
          </w:p>
        </w:tc>
        <w:tc>
          <w:tcPr>
            <w:tcW w:type="dxa" w:w="4160"/>
            <w:shd w:fill="F4F6F9" w:val="clear"/>
            <w:tcMar>
              <w:top w:type="dxa" w:w="80"/>
              <w:left w:type="dxa" w:w="120"/>
              <w:bottom w:type="dxa" w:w="80"/>
              <w:right w:type="dxa" w:w="120"/>
            </w:tcMar>
          </w:tcPr>
          <w:p>
            <w:pPr>
              <w:jc w:val="left"/>
            </w:pPr>
            <w:r>
              <w:rPr>
                <w:b w:val="false"/>
                <w:bCs w:val="false"/>
                <w:color w:val="1E293B"/>
                <w:sz w:val="18"/>
                <w:szCs w:val="18"/>
              </w:rPr>
              <w:t xml:space="preserve">term, sub_grade, inq_last_6mths_bin, total_acc_bin, bin_annual_inc, bin_int_rate, bin_dti, bin_revol_util</w:t>
            </w:r>
          </w:p>
        </w:tc>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OrdinalEncoder — respects natural risk ordering</w:t>
            </w:r>
          </w:p>
        </w:tc>
      </w:tr>
      <w:tr>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Nominal (3)</w:t>
            </w:r>
          </w:p>
        </w:tc>
        <w:tc>
          <w:tcPr>
            <w:tcW w:type="dxa" w:w="4160"/>
            <w:shd w:fill="FFFFFF" w:val="clear"/>
            <w:tcMar>
              <w:top w:type="dxa" w:w="80"/>
              <w:left w:type="dxa" w:w="120"/>
              <w:bottom w:type="dxa" w:w="80"/>
              <w:right w:type="dxa" w:w="120"/>
            </w:tcMar>
          </w:tcPr>
          <w:p>
            <w:pPr>
              <w:jc w:val="left"/>
            </w:pPr>
            <w:r>
              <w:rPr>
                <w:b w:val="false"/>
                <w:bCs w:val="false"/>
                <w:color w:val="1E293B"/>
                <w:sz w:val="18"/>
                <w:szCs w:val="18"/>
              </w:rPr>
              <w:t xml:space="preserve">home_ownership, verification_status, purpose_group</w:t>
            </w:r>
          </w:p>
        </w:tc>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OneHotEncoder (drop=first) — no natural order</w:t>
            </w:r>
          </w:p>
        </w:tc>
      </w:tr>
      <w:tr>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Binary (2)</w:t>
            </w:r>
          </w:p>
        </w:tc>
        <w:tc>
          <w:tcPr>
            <w:tcW w:type="dxa" w:w="4160"/>
            <w:shd w:fill="F4F6F9" w:val="clear"/>
            <w:tcMar>
              <w:top w:type="dxa" w:w="80"/>
              <w:left w:type="dxa" w:w="120"/>
              <w:bottom w:type="dxa" w:w="80"/>
              <w:right w:type="dxa" w:w="120"/>
            </w:tcMar>
          </w:tcPr>
          <w:p>
            <w:pPr>
              <w:jc w:val="left"/>
            </w:pPr>
            <w:r>
              <w:rPr>
                <w:b w:val="false"/>
                <w:bCs w:val="false"/>
                <w:color w:val="1E293B"/>
                <w:sz w:val="18"/>
                <w:szCs w:val="18"/>
              </w:rPr>
              <w:t xml:space="preserve">delinq_2yrs_flag, emp_status_unverifiable</w:t>
            </w:r>
          </w:p>
        </w:tc>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Already 0/1 — no encoding needed</w:t>
            </w:r>
          </w:p>
        </w:tc>
      </w:tr>
      <w:tr>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Numerical (1)</w:t>
            </w:r>
          </w:p>
        </w:tc>
        <w:tc>
          <w:tcPr>
            <w:tcW w:type="dxa" w:w="4160"/>
            <w:shd w:fill="FFFFFF" w:val="clear"/>
            <w:tcMar>
              <w:top w:type="dxa" w:w="80"/>
              <w:left w:type="dxa" w:w="120"/>
              <w:bottom w:type="dxa" w:w="80"/>
              <w:right w:type="dxa" w:w="120"/>
            </w:tcMar>
          </w:tcPr>
          <w:p>
            <w:pPr>
              <w:jc w:val="left"/>
            </w:pPr>
            <w:r>
              <w:rPr>
                <w:b w:val="false"/>
                <w:bCs w:val="false"/>
                <w:color w:val="1E293B"/>
                <w:sz w:val="18"/>
                <w:szCs w:val="18"/>
              </w:rPr>
              <w:t xml:space="preserve">loan_amnt</w:t>
            </w:r>
          </w:p>
        </w:tc>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StandardScaler — only raw continuous column retained</w:t>
            </w:r>
          </w:p>
        </w:tc>
      </w:tr>
      <w:tr>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Target</w:t>
            </w:r>
          </w:p>
        </w:tc>
        <w:tc>
          <w:tcPr>
            <w:tcW w:type="dxa" w:w="4160"/>
            <w:shd w:fill="F4F6F9" w:val="clear"/>
            <w:tcMar>
              <w:top w:type="dxa" w:w="80"/>
              <w:left w:type="dxa" w:w="120"/>
              <w:bottom w:type="dxa" w:w="80"/>
              <w:right w:type="dxa" w:w="120"/>
            </w:tcMar>
          </w:tcPr>
          <w:p>
            <w:pPr>
              <w:jc w:val="left"/>
            </w:pPr>
            <w:r>
              <w:rPr>
                <w:b w:val="false"/>
                <w:bCs w:val="false"/>
                <w:color w:val="1E293B"/>
                <w:sz w:val="18"/>
                <w:szCs w:val="18"/>
              </w:rPr>
              <w:t xml:space="preserve">loan_status</w:t>
            </w:r>
          </w:p>
        </w:tc>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0 = Not Defaulter, 1 = Defaulter</w:t>
            </w:r>
          </w:p>
        </w:tc>
      </w:tr>
    </w:tbl>
    <w:p>
      <w:pPr>
        <w:spacing w:after="240"/>
      </w:pPr>
    </w:p>
    <w:p>
      <w:pPr>
        <w:pBdr>
          <w:bottom w:val="single" w:color="1E2761" w:sz="6"/>
        </w:pBdr>
        <w:spacing w:after="120" w:before="400"/>
      </w:pPr>
      <w:r>
        <w:rPr>
          <w:b/>
          <w:bCs/>
          <w:color w:val="1E2761"/>
          <w:sz w:val="30"/>
          <w:szCs w:val="30"/>
        </w:rPr>
        <w:t xml:space="preserve">7. Model Training</w:t>
      </w:r>
    </w:p>
    <w:p>
      <w:pPr>
        <w:spacing w:after="80" w:before="240"/>
      </w:pPr>
      <w:r>
        <w:rPr>
          <w:b/>
          <w:bCs/>
          <w:color w:val="2E75B6"/>
          <w:sz w:val="24"/>
          <w:szCs w:val="24"/>
        </w:rPr>
        <w:t xml:space="preserve">7.1 Pipeline Architecture</w:t>
      </w:r>
    </w:p>
    <w:p>
      <w:pPr>
        <w:spacing w:after="100"/>
        <w:jc w:val="both"/>
      </w:pPr>
      <w:r>
        <w:rPr>
          <w:color w:val="1E293B"/>
          <w:sz w:val="20"/>
          <w:szCs w:val="20"/>
        </w:rPr>
        <w:t xml:space="preserve">A unified sklearn/imblearn Pipeline was built for all models to ensure consistent preprocessing and prevent data leakage between cross-validation folds:</w:t>
      </w:r>
    </w:p>
    <w:p>
      <w:pPr>
        <w:spacing w:after="80"/>
      </w:pPr>
    </w:p>
    <w:p>
      <w:pPr>
        <w:spacing w:after="80"/>
        <w:ind w:left="360"/>
      </w:pPr>
      <w:r>
        <w:rPr>
          <w:rFonts w:ascii="Courier New" w:cs="Courier New" w:eastAsia="Courier New" w:hAnsi="Courier New"/>
          <w:color w:val="2E75B6"/>
          <w:sz w:val="18"/>
          <w:szCs w:val="18"/>
          <w:shd w:fill="EEF4FF" w:val="clear"/>
        </w:rPr>
        <w:t xml:space="preserve">OrdinalEncoder → OneHotEncoder → StandardScaler → SelectKBest →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E2761" w:val="clear"/>
            <w:tcMar>
              <w:top w:type="dxa" w:w="80"/>
              <w:left w:type="dxa" w:w="120"/>
              <w:bottom w:type="dxa" w:w="80"/>
              <w:right w:type="dxa" w:w="120"/>
            </w:tcMar>
          </w:tcPr>
          <w:p>
            <w:pPr>
              <w:jc w:val="left"/>
            </w:pPr>
            <w:r>
              <w:rPr>
                <w:b/>
                <w:bCs/>
                <w:color w:val="FFFFFF"/>
                <w:sz w:val="18"/>
                <w:szCs w:val="18"/>
              </w:rPr>
              <w:t xml:space="preserve">Component</w:t>
            </w:r>
          </w:p>
        </w:tc>
        <w:tc>
          <w:tcPr>
            <w:tcW w:type="dxa" w:w="6560"/>
            <w:shd w:fill="1E2761" w:val="clear"/>
            <w:tcMar>
              <w:top w:type="dxa" w:w="80"/>
              <w:left w:type="dxa" w:w="120"/>
              <w:bottom w:type="dxa" w:w="80"/>
              <w:right w:type="dxa" w:w="120"/>
            </w:tcMar>
          </w:tcPr>
          <w:p>
            <w:pPr>
              <w:jc w:val="left"/>
            </w:pPr>
            <w:r>
              <w:rPr>
                <w:b/>
                <w:bCs/>
                <w:color w:val="FFFFFF"/>
                <w:sz w:val="18"/>
                <w:szCs w:val="18"/>
              </w:rPr>
              <w:t xml:space="preserve">Purpose</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OrdinalEncoder</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Encodes ordinal categories respecting natural risk order (e.g. A1 &lt; A2 &lt; B1...)</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OneHotEncoder (drop=first)</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Encodes nominal categories without collinearity from dummy variable trap</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StandardScaler</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Scales loan_amnt to zero mean unit variance — required for LR and distance-based models</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SelectKBest (mutual_info_classif)</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Selects top k most informative features — reduces noise from weak features</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Model</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Interchangeable — LR, XGBoost, RF, GBM plugged in sequentially</w:t>
            </w:r>
          </w:p>
        </w:tc>
      </w:tr>
    </w:tbl>
    <w:p>
      <w:pPr>
        <w:spacing w:after="240"/>
      </w:pPr>
    </w:p>
    <w:p>
      <w:pPr>
        <w:spacing w:after="80" w:before="240"/>
      </w:pPr>
      <w:r>
        <w:rPr>
          <w:b/>
          <w:bCs/>
          <w:color w:val="2E75B6"/>
          <w:sz w:val="24"/>
          <w:szCs w:val="24"/>
        </w:rPr>
        <w:t xml:space="preserve">7.2 Cross-Validation Strategy</w:t>
      </w:r>
    </w:p>
    <w:p>
      <w:pPr>
        <w:spacing w:after="100"/>
        <w:jc w:val="both"/>
      </w:pPr>
      <w:r>
        <w:rPr>
          <w:color w:val="1E293B"/>
          <w:sz w:val="20"/>
          <w:szCs w:val="20"/>
        </w:rPr>
        <w:t xml:space="preserve">StratifiedKFold with n_splits=3 was used throughout all hyperparameter tuning. Stratification ensures the 81/19 class ratio is preserved in every fold — critical for imbalanced datasets where random splitting could produce folds with very different class distributions.</w:t>
      </w:r>
    </w:p>
    <w:p>
      <w:pPr>
        <w:spacing w:after="240"/>
      </w:pPr>
    </w:p>
    <w:p>
      <w:pPr>
        <w:spacing w:after="80" w:before="240"/>
      </w:pPr>
      <w:r>
        <w:rPr>
          <w:b/>
          <w:bCs/>
          <w:color w:val="2E75B6"/>
          <w:sz w:val="24"/>
          <w:szCs w:val="24"/>
        </w:rPr>
        <w:t xml:space="preserve">7.3 Primary Metric — Recall</w:t>
      </w:r>
    </w:p>
    <w:p>
      <w:pPr>
        <w:spacing w:after="100"/>
        <w:jc w:val="both"/>
      </w:pPr>
      <w:r>
        <w:rPr>
          <w:color w:val="1E293B"/>
          <w:sz w:val="20"/>
          <w:szCs w:val="20"/>
        </w:rPr>
        <w:t xml:space="preserve">Recall (True Positive Rate) was chosen as the primary optimization metric throughout all tuning rounds. The business justification:</w:t>
      </w:r>
    </w:p>
    <w:p>
      <w:pPr>
        <w:pStyle w:val="ListParagraph"/>
        <w:numPr>
          <w:ilvl w:val="0"/>
          <w:numId w:val="1"/>
        </w:numPr>
        <w:spacing w:after="80"/>
      </w:pPr>
      <w:r>
        <w:rPr>
          <w:b/>
          <w:bCs/>
          <w:color w:val="1E293B"/>
          <w:sz w:val="20"/>
          <w:szCs w:val="20"/>
        </w:rPr>
        <w:t xml:space="preserve">False Negative (missed defaulter): </w:t>
      </w:r>
      <w:r>
        <w:rPr>
          <w:color w:val="1E293B"/>
          <w:sz w:val="20"/>
          <w:szCs w:val="20"/>
        </w:rPr>
        <w:t xml:space="preserve">bank approves a loan that defaults → loses the entire principal amount</w:t>
      </w:r>
    </w:p>
    <w:p>
      <w:pPr>
        <w:pStyle w:val="ListParagraph"/>
        <w:numPr>
          <w:ilvl w:val="0"/>
          <w:numId w:val="1"/>
        </w:numPr>
        <w:spacing w:after="80"/>
      </w:pPr>
      <w:r>
        <w:rPr>
          <w:b/>
          <w:bCs/>
          <w:color w:val="1E293B"/>
          <w:sz w:val="20"/>
          <w:szCs w:val="20"/>
        </w:rPr>
        <w:t xml:space="preserve">False Positive (flagged good borrower): </w:t>
      </w:r>
      <w:r>
        <w:rPr>
          <w:color w:val="1E293B"/>
          <w:sz w:val="20"/>
          <w:szCs w:val="20"/>
        </w:rPr>
        <w:t xml:space="preserve">bank rejects or reviews a loan that would have been repaid → loses one customer</w:t>
      </w:r>
    </w:p>
    <w:p>
      <w:pPr>
        <w:spacing w:after="100"/>
        <w:jc w:val="both"/>
      </w:pPr>
      <w:r>
        <w:rPr>
          <w:color w:val="1E293B"/>
          <w:sz w:val="20"/>
          <w:szCs w:val="20"/>
        </w:rPr>
        <w:t xml:space="preserve">The cost asymmetry is clear — missing a real defaulter is far more costly than falsely flagging a good borrower. Recall directly optimizes for minimizing false negatives.</w:t>
      </w:r>
    </w:p>
    <w:p>
      <w:pPr>
        <w:spacing w:after="160"/>
      </w:pPr>
    </w:p>
    <w:p>
      <w:pPr>
        <w:spacing w:after="100"/>
        <w:jc w:val="both"/>
      </w:pPr>
      <w:r>
        <w:rPr>
          <w:color w:val="1E293B"/>
          <w:sz w:val="20"/>
          <w:szCs w:val="20"/>
        </w:rPr>
        <w:t xml:space="preserve">Additional metrics tracked throughout tuning: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Metric</w:t>
            </w:r>
          </w:p>
        </w:tc>
        <w:tc>
          <w:tcPr>
            <w:tcW w:type="dxa" w:w="6960"/>
            <w:shd w:fill="1E2761" w:val="clear"/>
            <w:tcMar>
              <w:top w:type="dxa" w:w="80"/>
              <w:left w:type="dxa" w:w="120"/>
              <w:bottom w:type="dxa" w:w="80"/>
              <w:right w:type="dxa" w:w="120"/>
            </w:tcMar>
          </w:tcPr>
          <w:p>
            <w:pPr>
              <w:jc w:val="left"/>
            </w:pPr>
            <w:r>
              <w:rPr>
                <w:b/>
                <w:bCs/>
                <w:color w:val="FFFFFF"/>
                <w:sz w:val="18"/>
                <w:szCs w:val="18"/>
              </w:rPr>
              <w:t xml:space="preserve">Role in Decision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Recall</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Primary metric — refit target for all GridSearchCV rounds</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Accuracy</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Sanity check — ensures model is not flagging everyone as defaulter</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Precision</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Secondary metric — monitors false positive rate</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ROC-AUC</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Uses predict_proba — measures discrimination across all thresholds</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F-beta (β=1.5)</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Attempted balance metric — weights recall 1.5× more than precision</w:t>
            </w:r>
          </w:p>
        </w:tc>
      </w:tr>
    </w:tbl>
    <w:p>
      <w:pPr>
        <w:spacing w:after="240"/>
      </w:pPr>
    </w:p>
    <w:p>
      <w:pPr>
        <w:spacing w:after="80" w:before="240"/>
      </w:pPr>
      <w:r>
        <w:rPr>
          <w:b/>
          <w:bCs/>
          <w:color w:val="2E75B6"/>
          <w:sz w:val="24"/>
          <w:szCs w:val="24"/>
        </w:rPr>
        <w:t xml:space="preserve">7.4 Class Imbalance Strategy — Why Not SMOTE</w:t>
      </w:r>
    </w:p>
    <w:p>
      <w:pPr>
        <w:spacing w:after="100"/>
        <w:jc w:val="both"/>
      </w:pPr>
      <w:r>
        <w:rPr>
          <w:color w:val="1E293B"/>
          <w:sz w:val="20"/>
          <w:szCs w:val="20"/>
        </w:rPr>
        <w:t xml:space="preserve">SMOTE (Synthetic Minority Oversampling Technique) was deliberately avoided despite the 81/19 class imbalance. Two reasons drove this decision:</w:t>
      </w:r>
    </w:p>
    <w:p>
      <w:pPr>
        <w:spacing w:after="160"/>
      </w:pPr>
    </w:p>
    <w:p>
      <w:pPr>
        <w:spacing w:after="60" w:before="180"/>
      </w:pPr>
      <w:r>
        <w:rPr>
          <w:b/>
          <w:bCs/>
          <w:color w:val="1E2761"/>
          <w:sz w:val="22"/>
          <w:szCs w:val="22"/>
        </w:rPr>
        <w:t xml:space="preserve">Reason 1 — Empirical Evidence: Unreliable Results</w:t>
      </w:r>
    </w:p>
    <w:p>
      <w:pPr>
        <w:spacing w:after="100"/>
        <w:jc w:val="both"/>
      </w:pPr>
      <w:r>
        <w:rPr>
          <w:color w:val="1E293B"/>
          <w:sz w:val="20"/>
          <w:szCs w:val="20"/>
        </w:rPr>
        <w:t xml:space="preserve">SMOTE was tested simultaneously with class weighting on Logistic Regression. When SMOTE was applied alongside class_weight={0:1, 1:7}, the model produced 99.88% recall with only 19.62% accuracy — it was essentially predicting almost everyone as a defaulter. This is not a genuine improvement in recall; it is a complete collapse of discrimination ability. The model stopped learning who would default and started flagging every borrower as a risk.</w:t>
      </w:r>
    </w:p>
    <w:p>
      <w:pPr>
        <w:spacing w:after="100"/>
        <w:jc w:val="both"/>
      </w:pPr>
      <w:r>
        <w:rPr>
          <w:color w:val="1E293B"/>
          <w:sz w:val="20"/>
          <w:szCs w:val="20"/>
        </w:rPr>
        <w:t xml:space="preserve">Removing SMOTE and relying on class_weight alone gave a meaningful 84.88% recall with 47% accuracy — a genuinely learned pattern, not a trivial prediction. The empirical evidence clearly showed SMOTE was adding noise rather than useful signal.</w:t>
      </w:r>
    </w:p>
    <w:p>
      <w:pPr>
        <w:spacing w:after="160"/>
      </w:pPr>
    </w:p>
    <w:p>
      <w:pPr>
        <w:spacing w:after="60" w:before="180"/>
      </w:pPr>
      <w:r>
        <w:rPr>
          <w:b/>
          <w:bCs/>
          <w:color w:val="1E2761"/>
          <w:sz w:val="22"/>
          <w:szCs w:val="22"/>
        </w:rPr>
        <w:t xml:space="preserve">Reason 2 — Fundamental Statistical Concern</w:t>
      </w:r>
    </w:p>
    <w:p>
      <w:pPr>
        <w:spacing w:after="100"/>
        <w:jc w:val="both"/>
      </w:pPr>
      <w:r>
        <w:rPr>
          <w:color w:val="1E293B"/>
          <w:sz w:val="20"/>
          <w:szCs w:val="20"/>
        </w:rPr>
        <w:t xml:space="preserve">SMOTE works by creating synthetic minority class samples through linear interpolation — it picks two real defaulter records and generates artificial points along the straight line between them in feature space. This raises a fundamental concern:</w:t>
      </w:r>
    </w:p>
    <w:p>
      <w:pPr>
        <w:pStyle w:val="ListParagraph"/>
        <w:numPr>
          <w:ilvl w:val="0"/>
          <w:numId w:val="1"/>
        </w:numPr>
        <w:spacing w:after="80"/>
      </w:pPr>
      <w:r>
        <w:rPr>
          <w:b/>
          <w:bCs/>
          <w:color w:val="1E293B"/>
          <w:sz w:val="20"/>
          <w:szCs w:val="20"/>
        </w:rPr>
        <w:t xml:space="preserve">Artificial points are not real borrowers — </w:t>
      </w:r>
      <w:r>
        <w:rPr>
          <w:color w:val="1E293B"/>
          <w:sz w:val="20"/>
          <w:szCs w:val="20"/>
        </w:rPr>
        <w:t xml:space="preserve">they are interpolated approximations that may not reflect genuine credit behaviour patterns. A synthetic borrower created between two real defaulters may land in a region of feature space that does not correspond to any real-world risk profile.</w:t>
      </w:r>
    </w:p>
    <w:p>
      <w:pPr>
        <w:pStyle w:val="ListParagraph"/>
        <w:numPr>
          <w:ilvl w:val="0"/>
          <w:numId w:val="1"/>
        </w:numPr>
        <w:spacing w:after="80"/>
      </w:pPr>
      <w:r>
        <w:rPr>
          <w:b/>
          <w:bCs/>
          <w:color w:val="1E293B"/>
          <w:sz w:val="20"/>
          <w:szCs w:val="20"/>
        </w:rPr>
        <w:t xml:space="preserve">Class weights generalise from real patterns — </w:t>
      </w:r>
      <w:r>
        <w:rPr>
          <w:color w:val="1E293B"/>
          <w:sz w:val="20"/>
          <w:szCs w:val="20"/>
        </w:rPr>
        <w:t xml:space="preserve">by upweighting actual defaulters in the loss function, the model learns to pay more attention to genuine defaulters rather than to artificial ones. This produces a model that has genuinely learned the characteristics of real defaults, not a model trained on interpolated noise.</w:t>
      </w:r>
    </w:p>
    <w:p>
      <w:pPr>
        <w:pStyle w:val="ListParagraph"/>
        <w:numPr>
          <w:ilvl w:val="0"/>
          <w:numId w:val="1"/>
        </w:numPr>
        <w:spacing w:after="80"/>
      </w:pPr>
      <w:r>
        <w:rPr>
          <w:b/>
          <w:bCs/>
          <w:color w:val="1E293B"/>
          <w:sz w:val="20"/>
          <w:szCs w:val="20"/>
        </w:rPr>
        <w:t xml:space="preserve">SMOTE + class_weight = double-counting — </w:t>
      </w:r>
      <w:r>
        <w:rPr>
          <w:color w:val="1E293B"/>
          <w:sz w:val="20"/>
          <w:szCs w:val="20"/>
        </w:rPr>
        <w:t xml:space="preserve">using both simultaneously counts the imbalance correction twice. SMOTE already creates more minority samples; adding class_weight then further upweights those (now artificially inflated) samples, creating an unstable training signal.</w:t>
      </w:r>
    </w:p>
    <w:p>
      <w:pPr>
        <w:spacing w:after="160"/>
      </w:pPr>
    </w:p>
    <w:p>
      <w:pPr>
        <w:spacing w:after="100"/>
        <w:jc w:val="both"/>
      </w:pPr>
      <w:r>
        <w:rPr>
          <w:color w:val="1E293B"/>
          <w:sz w:val="20"/>
          <w:szCs w:val="20"/>
        </w:rPr>
        <w:t xml:space="preserve">In summary: class weights preserve the integrity of real data while adjusting the learning signal, whereas SMOTE introduces artificial data that may not represent genuine defaulter behaviour. For a credit risk model where regulatory trust and explainability matter, learning from real patterns is always preferable to learning from synthetic approximations.</w:t>
      </w:r>
    </w:p>
    <w:p>
      <w:pPr>
        <w:spacing w:after="160"/>
      </w:pPr>
    </w:p>
    <w:p>
      <w:pPr>
        <w:spacing w:after="100"/>
        <w:jc w:val="both"/>
      </w:pPr>
      <w:r>
        <w:rPr>
          <w:color w:val="1E293B"/>
          <w:sz w:val="20"/>
          <w:szCs w:val="20"/>
        </w:rPr>
        <w:t xml:space="preserve">Native class weighting used for each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E2761" w:val="clear"/>
            <w:tcMar>
              <w:top w:type="dxa" w:w="80"/>
              <w:left w:type="dxa" w:w="120"/>
              <w:bottom w:type="dxa" w:w="80"/>
              <w:right w:type="dxa" w:w="120"/>
            </w:tcMar>
          </w:tcPr>
          <w:p>
            <w:pPr>
              <w:jc w:val="left"/>
            </w:pPr>
            <w:r>
              <w:rPr>
                <w:b/>
                <w:bCs/>
                <w:color w:val="FFFFFF"/>
                <w:sz w:val="18"/>
                <w:szCs w:val="18"/>
              </w:rPr>
              <w:t xml:space="preserve">Model</w:t>
            </w:r>
          </w:p>
        </w:tc>
        <w:tc>
          <w:tcPr>
            <w:tcW w:type="dxa" w:w="6560"/>
            <w:shd w:fill="1E2761" w:val="clear"/>
            <w:tcMar>
              <w:top w:type="dxa" w:w="80"/>
              <w:left w:type="dxa" w:w="120"/>
              <w:bottom w:type="dxa" w:w="80"/>
              <w:right w:type="dxa" w:w="120"/>
            </w:tcMar>
          </w:tcPr>
          <w:p>
            <w:pPr>
              <w:jc w:val="left"/>
            </w:pPr>
            <w:r>
              <w:rPr>
                <w:b/>
                <w:bCs/>
                <w:color w:val="FFFFFF"/>
                <w:sz w:val="18"/>
                <w:szCs w:val="18"/>
              </w:rPr>
              <w:t xml:space="preserve">Imbalance Approach</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Logistic Regression</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class_weight parameter — e.g. {0:1, 1:5}</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XGBoost</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scale_pos_weight — natural ratio = 186,619/43,669 = 4.27</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Random Forest</w:t>
            </w:r>
          </w:p>
        </w:tc>
        <w:tc>
          <w:tcPr>
            <w:tcW w:type="dxa" w:w="6560"/>
            <w:shd w:fill="F4F6F9" w:val="clear"/>
            <w:tcMar>
              <w:top w:type="dxa" w:w="80"/>
              <w:left w:type="dxa" w:w="120"/>
              <w:bottom w:type="dxa" w:w="80"/>
              <w:right w:type="dxa" w:w="120"/>
            </w:tcMar>
          </w:tcPr>
          <w:p>
            <w:pPr>
              <w:jc w:val="left"/>
            </w:pPr>
            <w:r>
              <w:rPr>
                <w:b w:val="false"/>
                <w:bCs w:val="false"/>
                <w:color w:val="1E293B"/>
                <w:sz w:val="18"/>
                <w:szCs w:val="18"/>
              </w:rPr>
              <w:t xml:space="preserve">class_weight parameter — e.g. {0:1, 1:4.7}</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Gradient Boosting</w:t>
            </w:r>
          </w:p>
        </w:tc>
        <w:tc>
          <w:tcPr>
            <w:tcW w:type="dxa" w:w="6560"/>
            <w:shd w:fill="FFFFFF" w:val="clear"/>
            <w:tcMar>
              <w:top w:type="dxa" w:w="80"/>
              <w:left w:type="dxa" w:w="120"/>
              <w:bottom w:type="dxa" w:w="80"/>
              <w:right w:type="dxa" w:w="120"/>
            </w:tcMar>
          </w:tcPr>
          <w:p>
            <w:pPr>
              <w:jc w:val="left"/>
            </w:pPr>
            <w:r>
              <w:rPr>
                <w:b w:val="false"/>
                <w:bCs w:val="false"/>
                <w:color w:val="1E293B"/>
                <w:sz w:val="18"/>
                <w:szCs w:val="18"/>
              </w:rPr>
              <w:t xml:space="preserve">compute_sample_weight passed to fit() — no native class_weight parameter</w:t>
            </w:r>
          </w:p>
        </w:tc>
      </w:tr>
    </w:tbl>
    <w:p>
      <w:pPr>
        <w:spacing w:after="240"/>
      </w:pPr>
    </w:p>
    <w:p>
      <w:pPr>
        <w:pBdr>
          <w:bottom w:val="single" w:color="1E2761" w:sz="6"/>
        </w:pBdr>
        <w:spacing w:after="120" w:before="400"/>
      </w:pPr>
      <w:r>
        <w:rPr>
          <w:b/>
          <w:bCs/>
          <w:color w:val="1E2761"/>
          <w:sz w:val="30"/>
          <w:szCs w:val="30"/>
        </w:rPr>
        <w:t xml:space="preserve">8. Final Model Results</w:t>
      </w:r>
    </w:p>
    <w:p>
      <w:pPr>
        <w:spacing w:after="80" w:before="240"/>
      </w:pPr>
      <w:r>
        <w:rPr>
          <w:b/>
          <w:bCs/>
          <w:color w:val="2E75B6"/>
          <w:sz w:val="24"/>
          <w:szCs w:val="24"/>
        </w:rPr>
        <w:t xml:space="preserve">8.1 Logistic Regression</w:t>
      </w:r>
    </w:p>
    <w:p>
      <w:pPr>
        <w:spacing w:after="100"/>
        <w:jc w:val="both"/>
      </w:pPr>
      <w:r>
        <w:rPr>
          <w:color w:val="1E293B"/>
          <w:sz w:val="20"/>
          <w:szCs w:val="20"/>
        </w:rPr>
        <w:t xml:space="preserve">5 tuning rounds (1 RCV + 4 GCV). Best result at GCV1/GCV2 — beyond that, all combinations produced identical recall confirming the model hit its ceiling.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000"/>
            <w:shd w:fill="1E2761" w:val="clear"/>
            <w:tcMar>
              <w:top w:type="dxa" w:w="80"/>
              <w:left w:type="dxa" w:w="120"/>
              <w:bottom w:type="dxa" w:w="80"/>
              <w:right w:type="dxa" w:w="120"/>
            </w:tcMar>
          </w:tcPr>
          <w:p>
            <w:pPr>
              <w:jc w:val="left"/>
            </w:pPr>
            <w:r>
              <w:rPr>
                <w:b/>
                <w:bCs/>
                <w:color w:val="FFFFFF"/>
                <w:sz w:val="18"/>
                <w:szCs w:val="18"/>
              </w:rPr>
              <w:t xml:space="preserve">Round</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Key Search</w:t>
            </w:r>
          </w:p>
        </w:tc>
        <w:tc>
          <w:tcPr>
            <w:tcW w:type="dxa" w:w="2600"/>
            <w:shd w:fill="1E2761" w:val="clear"/>
            <w:tcMar>
              <w:top w:type="dxa" w:w="80"/>
              <w:left w:type="dxa" w:w="120"/>
              <w:bottom w:type="dxa" w:w="80"/>
              <w:right w:type="dxa" w:w="120"/>
            </w:tcMar>
          </w:tcPr>
          <w:p>
            <w:pPr>
              <w:jc w:val="left"/>
            </w:pPr>
            <w:r>
              <w:rPr>
                <w:b/>
                <w:bCs/>
                <w:color w:val="FFFFFF"/>
                <w:sz w:val="18"/>
                <w:szCs w:val="18"/>
              </w:rPr>
              <w:t xml:space="preserve">Best Params</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Recall</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Accuracy</w:t>
            </w:r>
          </w:p>
        </w:tc>
        <w:tc>
          <w:tcPr>
            <w:tcW w:type="dxa" w:w="920"/>
            <w:shd w:fill="1E2761" w:val="clear"/>
            <w:tcMar>
              <w:top w:type="dxa" w:w="80"/>
              <w:left w:type="dxa" w:w="120"/>
              <w:bottom w:type="dxa" w:w="80"/>
              <w:right w:type="dxa" w:w="120"/>
            </w:tcMar>
          </w:tcPr>
          <w:p>
            <w:pPr>
              <w:jc w:val="left"/>
            </w:pPr>
            <w:r>
              <w:rPr>
                <w:b/>
                <w:bCs/>
                <w:color w:val="FFFFFF"/>
                <w:sz w:val="18"/>
                <w:szCs w:val="18"/>
              </w:rPr>
              <w:t xml:space="preserve">AUC</w:t>
            </w:r>
          </w:p>
        </w:tc>
      </w:tr>
      <w:tr>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RCV1</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k, l1_ratio, class_weight</w:t>
            </w:r>
          </w:p>
        </w:tc>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weight={0:1,1:5}, k=15, l1=0.1</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71.90%</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60.15%</w:t>
            </w:r>
          </w:p>
        </w:tc>
        <w:tc>
          <w:tcPr>
            <w:tcW w:type="dxa" w:w="920"/>
            <w:shd w:fill="F4F6F9" w:val="clear"/>
            <w:tcMar>
              <w:top w:type="dxa" w:w="80"/>
              <w:left w:type="dxa" w:w="120"/>
              <w:bottom w:type="dxa" w:w="80"/>
              <w:right w:type="dxa" w:w="120"/>
            </w:tcMar>
          </w:tcPr>
          <w:p>
            <w:pPr>
              <w:jc w:val="left"/>
            </w:pPr>
            <w:r>
              <w:rPr>
                <w:b w:val="false"/>
                <w:bCs w:val="false"/>
                <w:color w:val="1E293B"/>
                <w:sz w:val="18"/>
                <w:szCs w:val="18"/>
              </w:rPr>
              <w:t xml:space="preserve">70.06%</w:t>
            </w:r>
          </w:p>
        </w:tc>
      </w:tr>
      <w:tr>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GCV1</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class_weight {3,5,7}</w:t>
            </w:r>
          </w:p>
        </w:tc>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weight={0:1,1:5}, k=15</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71.90%</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60.15%</w:t>
            </w:r>
          </w:p>
        </w:tc>
        <w:tc>
          <w:tcPr>
            <w:tcW w:type="dxa" w:w="920"/>
            <w:shd w:fill="FFFFFF" w:val="clear"/>
            <w:tcMar>
              <w:top w:type="dxa" w:w="80"/>
              <w:left w:type="dxa" w:w="120"/>
              <w:bottom w:type="dxa" w:w="80"/>
              <w:right w:type="dxa" w:w="120"/>
            </w:tcMar>
          </w:tcPr>
          <w:p>
            <w:pPr>
              <w:jc w:val="left"/>
            </w:pPr>
            <w:r>
              <w:rPr>
                <w:b w:val="false"/>
                <w:bCs w:val="false"/>
                <w:color w:val="1E293B"/>
                <w:sz w:val="18"/>
                <w:szCs w:val="18"/>
              </w:rPr>
              <w:t xml:space="preserve">70.06%</w:t>
            </w:r>
          </w:p>
        </w:tc>
      </w:tr>
    </w:tbl>
    <w:p>
      <w:pPr>
        <w:spacing w:after="160"/>
      </w:pPr>
    </w:p>
    <w:p>
      <w:pPr>
        <w:spacing w:after="100"/>
        <w:jc w:val="both"/>
      </w:pPr>
      <w:r>
        <w:rPr>
          <w:color w:val="1E293B"/>
          <w:sz w:val="20"/>
          <w:szCs w:val="20"/>
        </w:rPr>
        <w:t xml:space="preserve">LR ceiling: Recall 71.90%, AUC 70.06%. Linear decision boundary insufficient for non-linear credit risk patterns.</w:t>
      </w:r>
    </w:p>
    <w:p>
      <w:pPr>
        <w:spacing w:after="240"/>
      </w:pPr>
    </w:p>
    <w:p>
      <w:pPr>
        <w:spacing w:after="80" w:before="240"/>
      </w:pPr>
      <w:r>
        <w:rPr>
          <w:b/>
          <w:bCs/>
          <w:color w:val="2E75B6"/>
          <w:sz w:val="24"/>
          <w:szCs w:val="24"/>
        </w:rPr>
        <w:t xml:space="preserve">8.2 XGBoost</w:t>
      </w:r>
    </w:p>
    <w:p>
      <w:pPr>
        <w:spacing w:after="100"/>
        <w:jc w:val="both"/>
      </w:pPr>
      <w:r>
        <w:rPr>
          <w:color w:val="1E293B"/>
          <w:sz w:val="20"/>
          <w:szCs w:val="20"/>
        </w:rPr>
        <w:t xml:space="preserve">7 tuning rounds (1 RCV + 6 GCV). Key finding: scale_pos_weight was the single most impactful parameter — jumped recall from 8% to 67% in one round. select__k=15 was critical for AUC.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shd w:fill="1E2761" w:val="clear"/>
            <w:tcMar>
              <w:top w:type="dxa" w:w="80"/>
              <w:left w:type="dxa" w:w="120"/>
              <w:bottom w:type="dxa" w:w="80"/>
              <w:right w:type="dxa" w:w="120"/>
            </w:tcMar>
          </w:tcPr>
          <w:p>
            <w:pPr>
              <w:jc w:val="left"/>
            </w:pPr>
            <w:r>
              <w:rPr>
                <w:b/>
                <w:bCs/>
                <w:color w:val="FFFFFF"/>
                <w:sz w:val="18"/>
                <w:szCs w:val="18"/>
              </w:rPr>
              <w:t xml:space="preserve">Round</w:t>
            </w:r>
          </w:p>
        </w:tc>
        <w:tc>
          <w:tcPr>
            <w:tcW w:type="dxa" w:w="2600"/>
            <w:shd w:fill="1E2761" w:val="clear"/>
            <w:tcMar>
              <w:top w:type="dxa" w:w="80"/>
              <w:left w:type="dxa" w:w="120"/>
              <w:bottom w:type="dxa" w:w="80"/>
              <w:right w:type="dxa" w:w="120"/>
            </w:tcMar>
          </w:tcPr>
          <w:p>
            <w:pPr>
              <w:jc w:val="left"/>
            </w:pPr>
            <w:r>
              <w:rPr>
                <w:b/>
                <w:bCs/>
                <w:color w:val="FFFFFF"/>
                <w:sz w:val="18"/>
                <w:szCs w:val="18"/>
              </w:rPr>
              <w:t xml:space="preserve">Key Change</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Recall</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Accuracy</w:t>
            </w:r>
          </w:p>
        </w:tc>
        <w:tc>
          <w:tcPr>
            <w:tcW w:type="dxa" w:w="1260"/>
            <w:shd w:fill="1E2761" w:val="clear"/>
            <w:tcMar>
              <w:top w:type="dxa" w:w="80"/>
              <w:left w:type="dxa" w:w="120"/>
              <w:bottom w:type="dxa" w:w="80"/>
              <w:right w:type="dxa" w:w="120"/>
            </w:tcMar>
          </w:tcPr>
          <w:p>
            <w:pPr>
              <w:jc w:val="left"/>
            </w:pPr>
            <w:r>
              <w:rPr>
                <w:b/>
                <w:bCs/>
                <w:color w:val="FFFFFF"/>
                <w:sz w:val="18"/>
                <w:szCs w:val="18"/>
              </w:rPr>
              <w:t xml:space="preserve">AUC</w:t>
            </w:r>
          </w:p>
        </w:tc>
      </w:tr>
      <w:tr>
        <w:tc>
          <w:tcPr>
            <w:tcW w:type="dxa" w:w="900"/>
            <w:shd w:fill="F4F6F9" w:val="clear"/>
            <w:tcMar>
              <w:top w:type="dxa" w:w="80"/>
              <w:left w:type="dxa" w:w="120"/>
              <w:bottom w:type="dxa" w:w="80"/>
              <w:right w:type="dxa" w:w="120"/>
            </w:tcMar>
          </w:tcPr>
          <w:p>
            <w:pPr>
              <w:jc w:val="left"/>
            </w:pPr>
            <w:r>
              <w:rPr>
                <w:b w:val="false"/>
                <w:bCs w:val="false"/>
                <w:color w:val="1E293B"/>
                <w:sz w:val="18"/>
                <w:szCs w:val="18"/>
              </w:rPr>
              <w:t xml:space="preserve">RCV1</w:t>
            </w:r>
          </w:p>
        </w:tc>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Wide search — n_estimators typo fixed</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73.35%</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w:t>
            </w:r>
          </w:p>
        </w:tc>
        <w:tc>
          <w:tcPr>
            <w:tcW w:type="dxa" w:w="1260"/>
            <w:shd w:fill="F4F6F9" w:val="clear"/>
            <w:tcMar>
              <w:top w:type="dxa" w:w="80"/>
              <w:left w:type="dxa" w:w="120"/>
              <w:bottom w:type="dxa" w:w="80"/>
              <w:right w:type="dxa" w:w="120"/>
            </w:tcMar>
          </w:tcPr>
          <w:p>
            <w:pPr>
              <w:jc w:val="left"/>
            </w:pPr>
            <w:r>
              <w:rPr>
                <w:b w:val="false"/>
                <w:bCs w:val="false"/>
                <w:color w:val="1E293B"/>
                <w:sz w:val="18"/>
                <w:szCs w:val="18"/>
              </w:rPr>
              <w:t xml:space="preserve">—</w:t>
            </w:r>
          </w:p>
        </w:tc>
      </w:tr>
      <w:tr>
        <w:tc>
          <w:tcPr>
            <w:tcW w:type="dxa" w:w="900"/>
            <w:shd w:fill="FFFFFF" w:val="clear"/>
            <w:tcMar>
              <w:top w:type="dxa" w:w="80"/>
              <w:left w:type="dxa" w:w="120"/>
              <w:bottom w:type="dxa" w:w="80"/>
              <w:right w:type="dxa" w:w="120"/>
            </w:tcMar>
          </w:tcPr>
          <w:p>
            <w:pPr>
              <w:jc w:val="left"/>
            </w:pPr>
            <w:r>
              <w:rPr>
                <w:b w:val="false"/>
                <w:bCs w:val="false"/>
                <w:color w:val="1E293B"/>
                <w:sz w:val="18"/>
                <w:szCs w:val="18"/>
              </w:rPr>
              <w:t xml:space="preserve">GCV1</w:t>
            </w:r>
          </w:p>
        </w:tc>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scale_pos_weight {3,4.27,5,7}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67.00%</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59.78%</w:t>
            </w:r>
          </w:p>
        </w:tc>
        <w:tc>
          <w:tcPr>
            <w:tcW w:type="dxa" w:w="1260"/>
            <w:shd w:fill="FFFFFF" w:val="clear"/>
            <w:tcMar>
              <w:top w:type="dxa" w:w="80"/>
              <w:left w:type="dxa" w:w="120"/>
              <w:bottom w:type="dxa" w:w="80"/>
              <w:right w:type="dxa" w:w="120"/>
            </w:tcMar>
          </w:tcPr>
          <w:p>
            <w:pPr>
              <w:jc w:val="left"/>
            </w:pPr>
            <w:r>
              <w:rPr>
                <w:b w:val="false"/>
                <w:bCs w:val="false"/>
                <w:color w:val="1E293B"/>
                <w:sz w:val="18"/>
                <w:szCs w:val="18"/>
              </w:rPr>
              <w:t xml:space="preserve">67.52%</w:t>
            </w:r>
          </w:p>
        </w:tc>
      </w:tr>
      <w:tr>
        <w:tc>
          <w:tcPr>
            <w:tcW w:type="dxa" w:w="900"/>
            <w:shd w:fill="F4F6F9" w:val="clear"/>
            <w:tcMar>
              <w:top w:type="dxa" w:w="80"/>
              <w:left w:type="dxa" w:w="120"/>
              <w:bottom w:type="dxa" w:w="80"/>
              <w:right w:type="dxa" w:w="120"/>
            </w:tcMar>
          </w:tcPr>
          <w:p>
            <w:pPr>
              <w:jc w:val="left"/>
            </w:pPr>
            <w:r>
              <w:rPr>
                <w:b w:val="false"/>
                <w:bCs w:val="false"/>
                <w:color w:val="1E293B"/>
                <w:sz w:val="18"/>
                <w:szCs w:val="18"/>
              </w:rPr>
              <w:t xml:space="preserve">GCV2</w:t>
            </w:r>
          </w:p>
        </w:tc>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max_depth {7,9,13}, n_estimators {200,300,500}</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81.72%</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49.35%</w:t>
            </w:r>
          </w:p>
        </w:tc>
        <w:tc>
          <w:tcPr>
            <w:tcW w:type="dxa" w:w="1260"/>
            <w:shd w:fill="F4F6F9" w:val="clear"/>
            <w:tcMar>
              <w:top w:type="dxa" w:w="80"/>
              <w:left w:type="dxa" w:w="120"/>
              <w:bottom w:type="dxa" w:w="80"/>
              <w:right w:type="dxa" w:w="120"/>
            </w:tcMar>
          </w:tcPr>
          <w:p>
            <w:pPr>
              <w:jc w:val="left"/>
            </w:pPr>
            <w:r>
              <w:rPr>
                <w:b w:val="false"/>
                <w:bCs w:val="false"/>
                <w:color w:val="1E293B"/>
                <w:sz w:val="18"/>
                <w:szCs w:val="18"/>
              </w:rPr>
              <w:t xml:space="preserve">68.53%</w:t>
            </w:r>
          </w:p>
        </w:tc>
      </w:tr>
      <w:tr>
        <w:tc>
          <w:tcPr>
            <w:tcW w:type="dxa" w:w="900"/>
            <w:shd w:fill="FFFFFF" w:val="clear"/>
            <w:tcMar>
              <w:top w:type="dxa" w:w="80"/>
              <w:left w:type="dxa" w:w="120"/>
              <w:bottom w:type="dxa" w:w="80"/>
              <w:right w:type="dxa" w:w="120"/>
            </w:tcMar>
          </w:tcPr>
          <w:p>
            <w:pPr>
              <w:jc w:val="left"/>
            </w:pPr>
            <w:r>
              <w:rPr>
                <w:b w:val="false"/>
                <w:bCs w:val="false"/>
                <w:color w:val="1E293B"/>
                <w:sz w:val="18"/>
                <w:szCs w:val="18"/>
              </w:rPr>
              <w:t xml:space="preserve">GCV3</w:t>
            </w:r>
          </w:p>
        </w:tc>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weight {4.27,5,5.5}, max_depth {3,5,7}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76.25%</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54.08%</w:t>
            </w:r>
          </w:p>
        </w:tc>
        <w:tc>
          <w:tcPr>
            <w:tcW w:type="dxa" w:w="1260"/>
            <w:shd w:fill="FFFFFF" w:val="clear"/>
            <w:tcMar>
              <w:top w:type="dxa" w:w="80"/>
              <w:left w:type="dxa" w:w="120"/>
              <w:bottom w:type="dxa" w:w="80"/>
              <w:right w:type="dxa" w:w="120"/>
            </w:tcMar>
          </w:tcPr>
          <w:p>
            <w:pPr>
              <w:jc w:val="left"/>
            </w:pPr>
            <w:r>
              <w:rPr>
                <w:b w:val="false"/>
                <w:bCs w:val="false"/>
                <w:color w:val="1E293B"/>
                <w:sz w:val="18"/>
                <w:szCs w:val="18"/>
              </w:rPr>
              <w:t xml:space="preserve">68.28%</w:t>
            </w:r>
          </w:p>
        </w:tc>
      </w:tr>
      <w:tr>
        <w:tc>
          <w:tcPr>
            <w:tcW w:type="dxa" w:w="900"/>
            <w:shd w:fill="F4F6F9" w:val="clear"/>
            <w:tcMar>
              <w:top w:type="dxa" w:w="80"/>
              <w:left w:type="dxa" w:w="120"/>
              <w:bottom w:type="dxa" w:w="80"/>
              <w:right w:type="dxa" w:w="120"/>
            </w:tcMar>
          </w:tcPr>
          <w:p>
            <w:pPr>
              <w:jc w:val="left"/>
            </w:pPr>
            <w:r>
              <w:rPr>
                <w:b w:val="false"/>
                <w:bCs w:val="false"/>
                <w:color w:val="1E293B"/>
                <w:sz w:val="18"/>
                <w:szCs w:val="18"/>
              </w:rPr>
              <w:t xml:space="preserve">GCV4</w:t>
            </w:r>
          </w:p>
        </w:tc>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subsample, colsample_bytree added</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76.78%</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53.26%</w:t>
            </w:r>
          </w:p>
        </w:tc>
        <w:tc>
          <w:tcPr>
            <w:tcW w:type="dxa" w:w="1260"/>
            <w:shd w:fill="F4F6F9" w:val="clear"/>
            <w:tcMar>
              <w:top w:type="dxa" w:w="80"/>
              <w:left w:type="dxa" w:w="120"/>
              <w:bottom w:type="dxa" w:w="80"/>
              <w:right w:type="dxa" w:w="120"/>
            </w:tcMar>
          </w:tcPr>
          <w:p>
            <w:pPr>
              <w:jc w:val="left"/>
            </w:pPr>
            <w:r>
              <w:rPr>
                <w:b w:val="false"/>
                <w:bCs w:val="false"/>
                <w:color w:val="1E293B"/>
                <w:sz w:val="18"/>
                <w:szCs w:val="18"/>
              </w:rPr>
              <w:t xml:space="preserve">67.60%</w:t>
            </w:r>
          </w:p>
        </w:tc>
      </w:tr>
      <w:tr>
        <w:tc>
          <w:tcPr>
            <w:tcW w:type="dxa" w:w="900"/>
            <w:shd w:fill="FFFFFF" w:val="clear"/>
            <w:tcMar>
              <w:top w:type="dxa" w:w="80"/>
              <w:left w:type="dxa" w:w="120"/>
              <w:bottom w:type="dxa" w:w="80"/>
              <w:right w:type="dxa" w:w="120"/>
            </w:tcMar>
          </w:tcPr>
          <w:p>
            <w:pPr>
              <w:jc w:val="left"/>
            </w:pPr>
            <w:r>
              <w:rPr>
                <w:b w:val="false"/>
                <w:bCs w:val="false"/>
                <w:color w:val="1E293B"/>
                <w:sz w:val="18"/>
                <w:szCs w:val="18"/>
              </w:rPr>
              <w:t xml:space="preserve">GCV5</w:t>
            </w:r>
          </w:p>
        </w:tc>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select__k=15 (increased from 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76.49%</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55.66%</w:t>
            </w:r>
          </w:p>
        </w:tc>
        <w:tc>
          <w:tcPr>
            <w:tcW w:type="dxa" w:w="1260"/>
            <w:shd w:fill="FFFFFF" w:val="clear"/>
            <w:tcMar>
              <w:top w:type="dxa" w:w="80"/>
              <w:left w:type="dxa" w:w="120"/>
              <w:bottom w:type="dxa" w:w="80"/>
              <w:right w:type="dxa" w:w="120"/>
            </w:tcMar>
          </w:tcPr>
          <w:p>
            <w:pPr>
              <w:jc w:val="left"/>
            </w:pPr>
            <w:r>
              <w:rPr>
                <w:b w:val="false"/>
                <w:bCs w:val="false"/>
                <w:color w:val="1E293B"/>
                <w:sz w:val="18"/>
                <w:szCs w:val="18"/>
              </w:rPr>
              <w:t xml:space="preserve">69.76%</w:t>
            </w:r>
          </w:p>
        </w:tc>
      </w:tr>
      <w:tr>
        <w:tc>
          <w:tcPr>
            <w:tcW w:type="dxa" w:w="900"/>
            <w:shd w:fill="F4F6F9" w:val="clear"/>
            <w:tcMar>
              <w:top w:type="dxa" w:w="80"/>
              <w:left w:type="dxa" w:w="120"/>
              <w:bottom w:type="dxa" w:w="80"/>
              <w:right w:type="dxa" w:w="120"/>
            </w:tcMar>
          </w:tcPr>
          <w:p>
            <w:pPr>
              <w:jc w:val="left"/>
            </w:pPr>
            <w:r>
              <w:rPr>
                <w:b w:val="false"/>
                <w:bCs w:val="false"/>
                <w:color w:val="1E293B"/>
                <w:sz w:val="18"/>
                <w:szCs w:val="18"/>
              </w:rPr>
              <w:t xml:space="preserve">GCV6 (final)</w:t>
            </w:r>
          </w:p>
        </w:tc>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refit=roc_auc, narrowed search</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76.40%</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55.66%</w:t>
            </w:r>
          </w:p>
        </w:tc>
        <w:tc>
          <w:tcPr>
            <w:tcW w:type="dxa" w:w="1260"/>
            <w:shd w:fill="F4F6F9" w:val="clear"/>
            <w:tcMar>
              <w:top w:type="dxa" w:w="80"/>
              <w:left w:type="dxa" w:w="120"/>
              <w:bottom w:type="dxa" w:w="80"/>
              <w:right w:type="dxa" w:w="120"/>
            </w:tcMar>
          </w:tcPr>
          <w:p>
            <w:pPr>
              <w:jc w:val="left"/>
            </w:pPr>
            <w:r>
              <w:rPr>
                <w:b w:val="false"/>
                <w:bCs w:val="false"/>
                <w:color w:val="1E293B"/>
                <w:sz w:val="18"/>
                <w:szCs w:val="18"/>
              </w:rPr>
              <w:t xml:space="preserve">69.67%</w:t>
            </w:r>
          </w:p>
        </w:tc>
      </w:tr>
    </w:tbl>
    <w:p>
      <w:pPr>
        <w:spacing w:after="160"/>
      </w:pPr>
    </w:p>
    <w:p>
      <w:pPr>
        <w:spacing w:after="100"/>
        <w:jc w:val="both"/>
      </w:pPr>
      <w:r>
        <w:rPr>
          <w:color w:val="1E293B"/>
          <w:sz w:val="20"/>
          <w:szCs w:val="20"/>
        </w:rPr>
        <w:t xml:space="preserve">Final XGBoost: learning_rate=0.1, max_depth=3, n_estimators=200, scale_pos_weight=5.5, subsample=0.8, colsample_bytree=0.6, select__k=15</w:t>
      </w:r>
    </w:p>
    <w:p>
      <w:pPr>
        <w:spacing w:after="240"/>
      </w:pPr>
    </w:p>
    <w:p>
      <w:pPr>
        <w:spacing w:after="80" w:before="240"/>
      </w:pPr>
      <w:r>
        <w:rPr>
          <w:b/>
          <w:bCs/>
          <w:color w:val="2E75B6"/>
          <w:sz w:val="24"/>
          <w:szCs w:val="24"/>
        </w:rPr>
        <w:t xml:space="preserve">8.3 Random Forest</w:t>
      </w:r>
    </w:p>
    <w:p>
      <w:pPr>
        <w:spacing w:after="100"/>
        <w:jc w:val="both"/>
      </w:pPr>
      <w:r>
        <w:rPr>
          <w:color w:val="1E293B"/>
          <w:sz w:val="20"/>
          <w:szCs w:val="20"/>
        </w:rPr>
        <w:t xml:space="preserve">3 tuning rounds (1 RCV + 2 GCV). Key finding: min_samples_leaf had zero impact at max_depth=3 — class_weight was the only meaningful parameter. Two versions trained.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Round</w:t>
            </w:r>
          </w:p>
        </w:tc>
        <w:tc>
          <w:tcPr>
            <w:tcW w:type="dxa" w:w="3000"/>
            <w:shd w:fill="1E2761" w:val="clear"/>
            <w:tcMar>
              <w:top w:type="dxa" w:w="80"/>
              <w:left w:type="dxa" w:w="120"/>
              <w:bottom w:type="dxa" w:w="80"/>
              <w:right w:type="dxa" w:w="120"/>
            </w:tcMar>
          </w:tcPr>
          <w:p>
            <w:pPr>
              <w:jc w:val="left"/>
            </w:pPr>
            <w:r>
              <w:rPr>
                <w:b/>
                <w:bCs/>
                <w:color w:val="FFFFFF"/>
                <w:sz w:val="18"/>
                <w:szCs w:val="18"/>
              </w:rPr>
              <w:t xml:space="preserve">Key Change</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Recall</w:t>
            </w:r>
          </w:p>
        </w:tc>
        <w:tc>
          <w:tcPr>
            <w:tcW w:type="dxa" w:w="2760"/>
            <w:shd w:fill="1E2761" w:val="clear"/>
            <w:tcMar>
              <w:top w:type="dxa" w:w="80"/>
              <w:left w:type="dxa" w:w="120"/>
              <w:bottom w:type="dxa" w:w="80"/>
              <w:right w:type="dxa" w:w="120"/>
            </w:tcMar>
          </w:tcPr>
          <w:p>
            <w:pPr>
              <w:jc w:val="left"/>
            </w:pPr>
            <w:r>
              <w:rPr>
                <w:b/>
                <w:bCs/>
                <w:color w:val="FFFFFF"/>
                <w:sz w:val="18"/>
                <w:szCs w:val="18"/>
              </w:rPr>
              <w:t xml:space="preserve">Accuracy</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RCV1</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Wide search — 15 iterations</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74.17%</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56.44%</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GCV1</w:t>
            </w:r>
          </w:p>
        </w:tc>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max_depth {2,3}, weight {5, 4.7}</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74.39%</w:t>
            </w:r>
          </w:p>
        </w:tc>
        <w:tc>
          <w:tcPr>
            <w:tcW w:type="dxa" w:w="2760"/>
            <w:shd w:fill="FFFFFF" w:val="clear"/>
            <w:tcMar>
              <w:top w:type="dxa" w:w="80"/>
              <w:left w:type="dxa" w:w="120"/>
              <w:bottom w:type="dxa" w:w="80"/>
              <w:right w:type="dxa" w:w="120"/>
            </w:tcMar>
          </w:tcPr>
          <w:p>
            <w:pPr>
              <w:jc w:val="left"/>
            </w:pPr>
            <w:r>
              <w:rPr>
                <w:b w:val="false"/>
                <w:bCs w:val="false"/>
                <w:color w:val="1E293B"/>
                <w:sz w:val="18"/>
                <w:szCs w:val="18"/>
              </w:rPr>
              <w:t xml:space="preserve">56.28%</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GCV2</w:t>
            </w:r>
          </w:p>
        </w:tc>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weight {4.27,4.5,4.7,4.9}, min_samples_leaf {10,20,30}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73.20%</w:t>
            </w:r>
          </w:p>
        </w:tc>
        <w:tc>
          <w:tcPr>
            <w:tcW w:type="dxa" w:w="2760"/>
            <w:shd w:fill="F4F6F9" w:val="clear"/>
            <w:tcMar>
              <w:top w:type="dxa" w:w="80"/>
              <w:left w:type="dxa" w:w="120"/>
              <w:bottom w:type="dxa" w:w="80"/>
              <w:right w:type="dxa" w:w="120"/>
            </w:tcMar>
          </w:tcPr>
          <w:p>
            <w:pPr>
              <w:jc w:val="left"/>
            </w:pPr>
            <w:r>
              <w:rPr>
                <w:b w:val="false"/>
                <w:bCs w:val="false"/>
                <w:color w:val="1E293B"/>
                <w:sz w:val="18"/>
                <w:szCs w:val="18"/>
              </w:rPr>
              <w:t xml:space="preserve">57.06%</w:t>
            </w:r>
          </w:p>
        </w:tc>
      </w:tr>
    </w:tbl>
    <w:p>
      <w:pPr>
        <w:spacing w:after="160"/>
      </w:pPr>
    </w:p>
    <w:p>
      <w:pPr>
        <w:spacing w:after="100"/>
        <w:jc w:val="both"/>
      </w:pPr>
      <w:r>
        <w:rPr>
          <w:color w:val="1E293B"/>
          <w:sz w:val="20"/>
          <w:szCs w:val="20"/>
        </w:rPr>
        <w:t xml:space="preserve">Final RF (manually selected): class_weight={0:1,1:4.7}, max_depth=3, max_features=11, min_samples_split=51, n_estimators=300</w:t>
      </w:r>
    </w:p>
    <w:p>
      <w:pPr>
        <w:spacing w:after="100"/>
        <w:jc w:val="both"/>
      </w:pPr>
      <w:r>
        <w:rPr>
          <w:color w:val="1E293B"/>
          <w:sz w:val="20"/>
          <w:szCs w:val="20"/>
        </w:rPr>
        <w:t xml:space="preserve">Two versions were trained: RF on 14 features (dropped 6 zero-importance columns identified by XGBoost) and RF on full 20 features. Reduced version gave higher recall (72.32% vs 69.57%) but slightly lower AUC.</w:t>
      </w:r>
    </w:p>
    <w:p>
      <w:pPr>
        <w:spacing w:after="240"/>
      </w:pPr>
    </w:p>
    <w:p>
      <w:pPr>
        <w:spacing w:after="80" w:before="240"/>
      </w:pPr>
      <w:r>
        <w:rPr>
          <w:b/>
          <w:bCs/>
          <w:color w:val="2E75B6"/>
          <w:sz w:val="24"/>
          <w:szCs w:val="24"/>
        </w:rPr>
        <w:t xml:space="preserve">8.4 Gradient Boosting</w:t>
      </w:r>
    </w:p>
    <w:p>
      <w:pPr>
        <w:spacing w:after="100"/>
        <w:jc w:val="both"/>
      </w:pPr>
      <w:r>
        <w:rPr>
          <w:color w:val="1E293B"/>
          <w:sz w:val="20"/>
          <w:szCs w:val="20"/>
        </w:rPr>
        <w:t xml:space="preserve">3 tuning rounds. Key finding: GBM has no class_weight parameter — sample_weight passed directly to fit(). Cross-validation precision was artificially inflated by sample_weight scoring (60-65% in CV vs 27-28% on test). Overfitting detected in RCV1 with max_depth=9, lr=0.001.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1E2761" w:val="clear"/>
            <w:tcMar>
              <w:top w:type="dxa" w:w="80"/>
              <w:left w:type="dxa" w:w="120"/>
              <w:bottom w:type="dxa" w:w="80"/>
              <w:right w:type="dxa" w:w="120"/>
            </w:tcMar>
          </w:tcPr>
          <w:p>
            <w:pPr>
              <w:jc w:val="left"/>
            </w:pPr>
            <w:r>
              <w:rPr>
                <w:b/>
                <w:bCs/>
                <w:color w:val="FFFFFF"/>
                <w:sz w:val="18"/>
                <w:szCs w:val="18"/>
              </w:rPr>
              <w:t xml:space="preserve">Round</w:t>
            </w:r>
          </w:p>
        </w:tc>
        <w:tc>
          <w:tcPr>
            <w:tcW w:type="dxa" w:w="2800"/>
            <w:shd w:fill="1E2761" w:val="clear"/>
            <w:tcMar>
              <w:top w:type="dxa" w:w="80"/>
              <w:left w:type="dxa" w:w="120"/>
              <w:bottom w:type="dxa" w:w="80"/>
              <w:right w:type="dxa" w:w="120"/>
            </w:tcMar>
          </w:tcPr>
          <w:p>
            <w:pPr>
              <w:jc w:val="left"/>
            </w:pPr>
            <w:r>
              <w:rPr>
                <w:b/>
                <w:bCs/>
                <w:color w:val="FFFFFF"/>
                <w:sz w:val="18"/>
                <w:szCs w:val="18"/>
              </w:rPr>
              <w:t xml:space="preserve">Key Change</w:t>
            </w:r>
          </w:p>
        </w:tc>
        <w:tc>
          <w:tcPr>
            <w:tcW w:type="dxa" w:w="1600"/>
            <w:shd w:fill="1E2761" w:val="clear"/>
            <w:tcMar>
              <w:top w:type="dxa" w:w="80"/>
              <w:left w:type="dxa" w:w="120"/>
              <w:bottom w:type="dxa" w:w="80"/>
              <w:right w:type="dxa" w:w="120"/>
            </w:tcMar>
          </w:tcPr>
          <w:p>
            <w:pPr>
              <w:jc w:val="left"/>
            </w:pPr>
            <w:r>
              <w:rPr>
                <w:b/>
                <w:bCs/>
                <w:color w:val="FFFFFF"/>
                <w:sz w:val="18"/>
                <w:szCs w:val="18"/>
              </w:rPr>
              <w:t xml:space="preserve">CV Recall</w:t>
            </w:r>
          </w:p>
        </w:tc>
        <w:tc>
          <w:tcPr>
            <w:tcW w:type="dxa" w:w="1600"/>
            <w:shd w:fill="1E2761" w:val="clear"/>
            <w:tcMar>
              <w:top w:type="dxa" w:w="80"/>
              <w:left w:type="dxa" w:w="120"/>
              <w:bottom w:type="dxa" w:w="80"/>
              <w:right w:type="dxa" w:w="120"/>
            </w:tcMar>
          </w:tcPr>
          <w:p>
            <w:pPr>
              <w:jc w:val="left"/>
            </w:pPr>
            <w:r>
              <w:rPr>
                <w:b/>
                <w:bCs/>
                <w:color w:val="FFFFFF"/>
                <w:sz w:val="18"/>
                <w:szCs w:val="18"/>
              </w:rPr>
              <w:t xml:space="preserve">Test Recall</w:t>
            </w:r>
          </w:p>
        </w:tc>
        <w:tc>
          <w:tcPr>
            <w:tcW w:type="dxa" w:w="2160"/>
            <w:shd w:fill="1E2761" w:val="clear"/>
            <w:tcMar>
              <w:top w:type="dxa" w:w="80"/>
              <w:left w:type="dxa" w:w="120"/>
              <w:bottom w:type="dxa" w:w="80"/>
              <w:right w:type="dxa" w:w="120"/>
            </w:tcMar>
          </w:tcPr>
          <w:p>
            <w:pPr>
              <w:jc w:val="left"/>
            </w:pPr>
            <w:r>
              <w:rPr>
                <w:b/>
                <w:bCs/>
                <w:color w:val="FFFFFF"/>
                <w:sz w:val="18"/>
                <w:szCs w:val="18"/>
              </w:rPr>
              <w:t xml:space="preserve">Test AUC</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RCV1</w:t>
            </w:r>
          </w:p>
        </w:tc>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Wide search — max_depth=9 won (overfit)</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85.46%</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86.95%*</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68.89%</w:t>
            </w:r>
          </w:p>
        </w:tc>
      </w:tr>
      <w:tr>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GCV1</w:t>
            </w:r>
          </w:p>
        </w:tc>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max_depth {3,5}, subsample=0.8 — overfitting fixed</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71.98%</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71.31%</w:t>
            </w:r>
          </w:p>
        </w:tc>
        <w:tc>
          <w:tcPr>
            <w:tcW w:type="dxa" w:w="2160"/>
            <w:shd w:fill="FFFFFF" w:val="clear"/>
            <w:tcMar>
              <w:top w:type="dxa" w:w="80"/>
              <w:left w:type="dxa" w:w="120"/>
              <w:bottom w:type="dxa" w:w="80"/>
              <w:right w:type="dxa" w:w="120"/>
            </w:tcMar>
          </w:tcPr>
          <w:p>
            <w:pPr>
              <w:jc w:val="left"/>
            </w:pPr>
            <w:r>
              <w:rPr>
                <w:b w:val="false"/>
                <w:bCs w:val="false"/>
                <w:color w:val="1E293B"/>
                <w:sz w:val="18"/>
                <w:szCs w:val="18"/>
              </w:rPr>
              <w:t xml:space="preserve">69.61%</w:t>
            </w:r>
          </w:p>
        </w:tc>
      </w:tr>
      <w:tr>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GCV2</w:t>
            </w:r>
          </w:p>
        </w:tc>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weight reduced to 4.27</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66.51%</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w:t>
            </w:r>
          </w:p>
        </w:tc>
      </w:tr>
    </w:tbl>
    <w:p>
      <w:pPr>
        <w:spacing w:after="80"/>
      </w:pPr>
    </w:p>
    <w:p>
      <w:pPr>
        <w:spacing w:after="100"/>
        <w:jc w:val="both"/>
      </w:pPr>
      <w:r>
        <w:rPr>
          <w:color w:val="1E293B"/>
          <w:sz w:val="20"/>
          <w:szCs w:val="20"/>
        </w:rPr>
        <w:t xml:space="preserve">* 86.95% recall at test but precision collapsed to 23.63% — model was predicting everyone as defaulter</w:t>
      </w:r>
    </w:p>
    <w:p>
      <w:pPr>
        <w:spacing w:after="160"/>
      </w:pPr>
    </w:p>
    <w:p>
      <w:pPr>
        <w:spacing w:after="100"/>
        <w:jc w:val="both"/>
      </w:pPr>
      <w:r>
        <w:rPr>
          <w:color w:val="1E293B"/>
          <w:sz w:val="20"/>
          <w:szCs w:val="20"/>
        </w:rPr>
        <w:t xml:space="preserve">Final GBM: n_estimators=300, learning_rate=0.01, loss=exponential, max_depth=3, subsample=0.8, min_samples_leaf=20, sample_weight={0:1,1:4.75}</w:t>
      </w:r>
    </w:p>
    <w:p>
      <w:pPr>
        <w:spacing w:after="240"/>
      </w:pPr>
    </w:p>
    <w:p>
      <w:pPr>
        <w:pBdr>
          <w:bottom w:val="single" w:color="1E2761" w:sz="6"/>
        </w:pBdr>
        <w:spacing w:after="120" w:before="400"/>
      </w:pPr>
      <w:r>
        <w:rPr>
          <w:b/>
          <w:bCs/>
          <w:color w:val="1E2761"/>
          <w:sz w:val="30"/>
          <w:szCs w:val="30"/>
        </w:rPr>
        <w:t xml:space="preserve">9. Final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000"/>
            <w:shd w:fill="1E2761" w:val="clear"/>
            <w:tcMar>
              <w:top w:type="dxa" w:w="80"/>
              <w:left w:type="dxa" w:w="120"/>
              <w:bottom w:type="dxa" w:w="80"/>
              <w:right w:type="dxa" w:w="120"/>
            </w:tcMar>
          </w:tcPr>
          <w:p>
            <w:pPr>
              <w:jc w:val="left"/>
            </w:pPr>
            <w:r>
              <w:rPr>
                <w:b/>
                <w:bCs/>
                <w:color w:val="FFFFFF"/>
                <w:sz w:val="18"/>
                <w:szCs w:val="18"/>
              </w:rPr>
              <w:t xml:space="preserve">Model</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Recall</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Precision</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Accuracy</w:t>
            </w:r>
          </w:p>
        </w:tc>
        <w:tc>
          <w:tcPr>
            <w:tcW w:type="dxa" w:w="800"/>
            <w:shd w:fill="1E2761" w:val="clear"/>
            <w:tcMar>
              <w:top w:type="dxa" w:w="80"/>
              <w:left w:type="dxa" w:w="120"/>
              <w:bottom w:type="dxa" w:w="80"/>
              <w:right w:type="dxa" w:w="120"/>
            </w:tcMar>
          </w:tcPr>
          <w:p>
            <w:pPr>
              <w:jc w:val="left"/>
            </w:pPr>
            <w:r>
              <w:rPr>
                <w:b/>
                <w:bCs/>
                <w:color w:val="FFFFFF"/>
                <w:sz w:val="18"/>
                <w:szCs w:val="18"/>
              </w:rPr>
              <w:t xml:space="preserve">F1</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ROC-AUC</w:t>
            </w:r>
          </w:p>
        </w:tc>
        <w:tc>
          <w:tcPr>
            <w:tcW w:type="dxa" w:w="760"/>
            <w:shd w:fill="1E2761" w:val="clear"/>
            <w:tcMar>
              <w:top w:type="dxa" w:w="80"/>
              <w:left w:type="dxa" w:w="120"/>
              <w:bottom w:type="dxa" w:w="80"/>
              <w:right w:type="dxa" w:w="120"/>
            </w:tcMar>
          </w:tcPr>
          <w:p>
            <w:pPr>
              <w:jc w:val="left"/>
            </w:pPr>
            <w:r>
              <w:rPr>
                <w:b/>
                <w:bCs/>
                <w:color w:val="FFFFFF"/>
                <w:sz w:val="18"/>
                <w:szCs w:val="18"/>
              </w:rPr>
              <w:t xml:space="preserve">Brier</w:t>
            </w:r>
          </w:p>
        </w:tc>
      </w:tr>
      <w:tr>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Logistic Regression</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71.83%</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28.21%</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59.99%</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0.412</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70.06%</w:t>
            </w:r>
          </w:p>
        </w:tc>
        <w:tc>
          <w:tcPr>
            <w:tcW w:type="dxa" w:w="760"/>
            <w:shd w:fill="F4F6F9" w:val="clear"/>
            <w:tcMar>
              <w:top w:type="dxa" w:w="80"/>
              <w:left w:type="dxa" w:w="120"/>
              <w:bottom w:type="dxa" w:w="80"/>
              <w:right w:type="dxa" w:w="120"/>
            </w:tcMar>
          </w:tcPr>
          <w:p>
            <w:pPr>
              <w:jc w:val="left"/>
            </w:pPr>
            <w:r>
              <w:rPr>
                <w:b w:val="false"/>
                <w:bCs w:val="false"/>
                <w:color w:val="1E293B"/>
                <w:sz w:val="18"/>
                <w:szCs w:val="18"/>
              </w:rPr>
              <w:t xml:space="preserve">0.2397</w:t>
            </w:r>
          </w:p>
        </w:tc>
      </w:tr>
      <w:tr>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XGBoost</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71.15%</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27.77%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59.43%</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0.407</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69.60%</w:t>
            </w:r>
          </w:p>
        </w:tc>
        <w:tc>
          <w:tcPr>
            <w:tcW w:type="dxa" w:w="760"/>
            <w:shd w:fill="FFFFFF" w:val="clear"/>
            <w:tcMar>
              <w:top w:type="dxa" w:w="80"/>
              <w:left w:type="dxa" w:w="120"/>
              <w:bottom w:type="dxa" w:w="80"/>
              <w:right w:type="dxa" w:w="120"/>
            </w:tcMar>
          </w:tcPr>
          <w:p>
            <w:pPr>
              <w:jc w:val="left"/>
            </w:pPr>
            <w:r>
              <w:rPr>
                <w:b w:val="false"/>
                <w:bCs w:val="false"/>
                <w:color w:val="1E293B"/>
                <w:sz w:val="18"/>
                <w:szCs w:val="18"/>
              </w:rPr>
              <w:t xml:space="preserve">0.2356</w:t>
            </w:r>
          </w:p>
        </w:tc>
      </w:tr>
      <w:tr>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RF Full (20 feat)</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69.57%</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27.03%</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58.61%</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0.398</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68.64%</w:t>
            </w:r>
          </w:p>
        </w:tc>
        <w:tc>
          <w:tcPr>
            <w:tcW w:type="dxa" w:w="760"/>
            <w:shd w:fill="F4F6F9" w:val="clear"/>
            <w:tcMar>
              <w:top w:type="dxa" w:w="80"/>
              <w:left w:type="dxa" w:w="120"/>
              <w:bottom w:type="dxa" w:w="80"/>
              <w:right w:type="dxa" w:w="120"/>
            </w:tcMar>
          </w:tcPr>
          <w:p>
            <w:pPr>
              <w:jc w:val="left"/>
            </w:pPr>
            <w:r>
              <w:rPr>
                <w:b w:val="false"/>
                <w:bCs w:val="false"/>
                <w:color w:val="1E293B"/>
                <w:sz w:val="18"/>
                <w:szCs w:val="18"/>
              </w:rPr>
              <w:t xml:space="preserve">0.2380</w:t>
            </w:r>
          </w:p>
        </w:tc>
      </w:tr>
      <w:tr>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RF Reduced (14 feat)</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72.32%</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26.44%</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56.59%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0.398</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68.47%</w:t>
            </w:r>
          </w:p>
        </w:tc>
        <w:tc>
          <w:tcPr>
            <w:tcW w:type="dxa" w:w="760"/>
            <w:shd w:fill="FFFFFF" w:val="clear"/>
            <w:tcMar>
              <w:top w:type="dxa" w:w="80"/>
              <w:left w:type="dxa" w:w="120"/>
              <w:bottom w:type="dxa" w:w="80"/>
              <w:right w:type="dxa" w:w="120"/>
            </w:tcMar>
          </w:tcPr>
          <w:p>
            <w:pPr>
              <w:jc w:val="left"/>
            </w:pPr>
            <w:r>
              <w:rPr>
                <w:b w:val="false"/>
                <w:bCs w:val="false"/>
                <w:color w:val="1E293B"/>
                <w:sz w:val="18"/>
                <w:szCs w:val="18"/>
              </w:rPr>
              <w:t xml:space="preserve">0.2386</w:t>
            </w:r>
          </w:p>
        </w:tc>
      </w:tr>
      <w:tr>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Gradient Boosting</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65.97%</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29.04%</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62.98%</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0.407</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69.61%</w:t>
            </w:r>
          </w:p>
        </w:tc>
        <w:tc>
          <w:tcPr>
            <w:tcW w:type="dxa" w:w="760"/>
            <w:shd w:fill="F4F6F9" w:val="clear"/>
            <w:tcMar>
              <w:top w:type="dxa" w:w="80"/>
              <w:left w:type="dxa" w:w="120"/>
              <w:bottom w:type="dxa" w:w="80"/>
              <w:right w:type="dxa" w:w="120"/>
            </w:tcMar>
          </w:tcPr>
          <w:p>
            <w:pPr>
              <w:jc w:val="left"/>
            </w:pPr>
            <w:r>
              <w:rPr>
                <w:b w:val="false"/>
                <w:bCs w:val="false"/>
                <w:color w:val="1E293B"/>
                <w:sz w:val="18"/>
                <w:szCs w:val="18"/>
              </w:rPr>
              <w:t xml:space="preserve">0.2212</w:t>
            </w:r>
          </w:p>
        </w:tc>
      </w:tr>
    </w:tbl>
    <w:p>
      <w:pPr>
        <w:spacing w:after="240"/>
      </w:pPr>
    </w:p>
    <w:p>
      <w:pPr>
        <w:spacing w:after="100"/>
        <w:jc w:val="both"/>
      </w:pPr>
      <w:r>
        <w:rPr>
          <w:color w:val="1E293B"/>
          <w:sz w:val="20"/>
          <w:szCs w:val="20"/>
        </w:rPr>
        <w:t xml:space="preserve">All five models converged to the same performance range — 70-72% recall and 68-70% AUC. This confirms the ceiling is in the data signal, not the algorithms. Gradient Boosting was selected as the final deployment model based on best probability calibration (Brier 0.2212), validated on 235,399 active loans in Phase 4.</w:t>
      </w:r>
    </w:p>
    <w:p>
      <w:pPr>
        <w:spacing w:after="120"/>
      </w:pP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2026-07-24T10:23:04.148Z</dcterms:created>
  <dcterms:modified xsi:type="dcterms:W3CDTF">2026-07-24T10:23:04.169Z</dcterms:modified>
</cp:coreProperties>
</file>

<file path=docProps/custom.xml><?xml version="1.0" encoding="utf-8"?>
<Properties xmlns="http://schemas.openxmlformats.org/officeDocument/2006/custom-properties" xmlns:vt="http://schemas.openxmlformats.org/officeDocument/2006/docPropsVTypes"/>
</file>