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200"/>
        <w:jc w:val="center"/>
      </w:pPr>
      <w:r>
        <w:rPr>
          <w:b/>
          <w:bCs/>
          <w:caps/>
          <w:color w:val="2E75B6"/>
          <w:sz w:val="20"/>
          <w:szCs w:val="20"/>
        </w:rPr>
        <w:t xml:space="preserve">PHASE 2</w:t>
      </w:r>
    </w:p>
    <w:p>
      <w:pPr>
        <w:spacing w:after="240"/>
        <w:jc w:val="center"/>
      </w:pPr>
      <w:r>
        <w:rPr>
          <w:b/>
          <w:bCs/>
          <w:color w:val="1E2761"/>
          <w:sz w:val="52"/>
          <w:szCs w:val="52"/>
        </w:rPr>
        <w:t xml:space="preserve">Exploratory Data Analysis</w:t>
      </w:r>
    </w:p>
    <w:p>
      <w:pPr>
        <w:spacing w:after="600"/>
        <w:jc w:val="center"/>
      </w:pPr>
      <w:r>
        <w:rPr>
          <w:color w:val="2E75B6"/>
          <w:sz w:val="24"/>
          <w:szCs w:val="24"/>
        </w:rPr>
        <w:t xml:space="preserve">Lending Club Loan Dataset  |  2007 – 2014</w:t>
      </w:r>
    </w:p>
    <w:p>
      <w:pPr>
        <w:pBdr>
          <w:top w:val="single" w:color="1E2761" w:sz="4"/>
        </w:pBdr>
        <w:spacing w:after="400"/>
      </w:pPr>
    </w:p>
    <w:p>
      <w:pPr>
        <w:spacing w:after="120"/>
        <w:jc w:val="center"/>
      </w:pPr>
      <w:r>
        <w:rPr>
          <w:color w:val="1E293B"/>
          <w:sz w:val="22"/>
          <w:szCs w:val="22"/>
        </w:rPr>
        <w:t xml:space="preserve">Credit Risk Prediction Project</w:t>
      </w:r>
    </w:p>
    <w:p>
      <w:pPr>
        <w:spacing w:after="800"/>
        <w:jc w:val="center"/>
      </w:pPr>
      <w:r>
        <w:rPr>
          <w:i/>
          <w:iCs/>
          <w:color w:val="64748B"/>
          <w:sz w:val="20"/>
          <w:szCs w:val="20"/>
        </w:rPr>
        <w:t xml:space="preserve">Explainable ML in Corporate Banking</w:t>
      </w:r>
    </w:p>
    <w:p>
      <w:r>
        <w:br w:type="page"/>
      </w:r>
    </w:p>
    <w:p>
      <w:pPr>
        <w:pBdr>
          <w:bottom w:val="single" w:color="1E2761" w:sz="6"/>
        </w:pBdr>
        <w:spacing w:after="120" w:before="400"/>
      </w:pPr>
      <w:r>
        <w:rPr>
          <w:b/>
          <w:bCs/>
          <w:color w:val="1E2761"/>
          <w:sz w:val="30"/>
          <w:szCs w:val="30"/>
        </w:rPr>
        <w:t xml:space="preserve">1. Overview</w:t>
      </w:r>
    </w:p>
    <w:p>
      <w:pPr>
        <w:spacing w:after="100"/>
        <w:jc w:val="both"/>
      </w:pPr>
      <w:r>
        <w:rPr>
          <w:color w:val="1E293B"/>
          <w:sz w:val="20"/>
          <w:szCs w:val="20"/>
        </w:rPr>
        <w:t xml:space="preserve">This report documents the exploratory data analysis performed on the cleaned Lending Club loan dataset (230,288 resolved loans). Each feature was analysed through distribution plots, default rate comparisons, and correlation analysis to identify its predictive strength before modelling.</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200"/>
            <w:shd w:fill="1E2761" w:val="clear"/>
            <w:tcMar>
              <w:top w:type="dxa" w:w="80"/>
              <w:left w:type="dxa" w:w="120"/>
              <w:bottom w:type="dxa" w:w="80"/>
              <w:right w:type="dxa" w:w="120"/>
            </w:tcMar>
          </w:tcPr>
          <w:p>
            <w:pPr>
              <w:jc w:val="left"/>
            </w:pPr>
            <w:r>
              <w:rPr>
                <w:b/>
                <w:bCs/>
                <w:color w:val="FFFFFF"/>
                <w:sz w:val="18"/>
                <w:szCs w:val="18"/>
              </w:rPr>
              <w:t xml:space="preserve">Property</w:t>
            </w:r>
          </w:p>
        </w:tc>
        <w:tc>
          <w:tcPr>
            <w:tcW w:type="dxa" w:w="6160"/>
            <w:shd w:fill="1E2761" w:val="clear"/>
            <w:tcMar>
              <w:top w:type="dxa" w:w="80"/>
              <w:left w:type="dxa" w:w="120"/>
              <w:bottom w:type="dxa" w:w="80"/>
              <w:right w:type="dxa" w:w="120"/>
            </w:tcMar>
          </w:tcPr>
          <w:p>
            <w:pPr>
              <w:jc w:val="left"/>
            </w:pPr>
            <w:r>
              <w:rPr>
                <w:b/>
                <w:bCs/>
                <w:color w:val="FFFFFF"/>
                <w:sz w:val="18"/>
                <w:szCs w:val="18"/>
              </w:rPr>
              <w:t xml:space="preserve">Value</w:t>
            </w:r>
          </w:p>
        </w:tc>
      </w:tr>
      <w:tr>
        <w:tc>
          <w:tcPr>
            <w:tcW w:type="dxa" w:w="3200"/>
            <w:shd w:fill="F4F6F9" w:val="clear"/>
            <w:tcMar>
              <w:top w:type="dxa" w:w="80"/>
              <w:left w:type="dxa" w:w="120"/>
              <w:bottom w:type="dxa" w:w="80"/>
              <w:right w:type="dxa" w:w="120"/>
            </w:tcMar>
          </w:tcPr>
          <w:p>
            <w:pPr>
              <w:jc w:val="left"/>
            </w:pPr>
            <w:r>
              <w:rPr>
                <w:b w:val="false"/>
                <w:bCs w:val="false"/>
                <w:color w:val="1E293B"/>
                <w:sz w:val="18"/>
                <w:szCs w:val="18"/>
              </w:rPr>
              <w:t xml:space="preserve">Dataset</w:t>
            </w:r>
          </w:p>
        </w:tc>
        <w:tc>
          <w:tcPr>
            <w:tcW w:type="dxa" w:w="6160"/>
            <w:shd w:fill="F4F6F9" w:val="clear"/>
            <w:tcMar>
              <w:top w:type="dxa" w:w="80"/>
              <w:left w:type="dxa" w:w="120"/>
              <w:bottom w:type="dxa" w:w="80"/>
              <w:right w:type="dxa" w:w="120"/>
            </w:tcMar>
          </w:tcPr>
          <w:p>
            <w:pPr>
              <w:jc w:val="left"/>
            </w:pPr>
            <w:r>
              <w:rPr>
                <w:b w:val="false"/>
                <w:bCs w:val="false"/>
                <w:color w:val="1E293B"/>
                <w:sz w:val="18"/>
                <w:szCs w:val="18"/>
              </w:rPr>
              <w:t xml:space="preserve">Lending Club Loan Data — 2007 to 2014</w:t>
            </w:r>
          </w:p>
        </w:tc>
      </w:tr>
      <w:tr>
        <w:tc>
          <w:tcPr>
            <w:tcW w:type="dxa" w:w="3200"/>
            <w:shd w:fill="FFFFFF" w:val="clear"/>
            <w:tcMar>
              <w:top w:type="dxa" w:w="80"/>
              <w:left w:type="dxa" w:w="120"/>
              <w:bottom w:type="dxa" w:w="80"/>
              <w:right w:type="dxa" w:w="120"/>
            </w:tcMar>
          </w:tcPr>
          <w:p>
            <w:pPr>
              <w:jc w:val="left"/>
            </w:pPr>
            <w:r>
              <w:rPr>
                <w:b w:val="false"/>
                <w:bCs w:val="false"/>
                <w:color w:val="1E293B"/>
                <w:sz w:val="18"/>
                <w:szCs w:val="18"/>
              </w:rPr>
              <w:t xml:space="preserve">Records</w:t>
            </w:r>
          </w:p>
        </w:tc>
        <w:tc>
          <w:tcPr>
            <w:tcW w:type="dxa" w:w="6160"/>
            <w:shd w:fill="FFFFFF" w:val="clear"/>
            <w:tcMar>
              <w:top w:type="dxa" w:w="80"/>
              <w:left w:type="dxa" w:w="120"/>
              <w:bottom w:type="dxa" w:w="80"/>
              <w:right w:type="dxa" w:w="120"/>
            </w:tcMar>
          </w:tcPr>
          <w:p>
            <w:pPr>
              <w:jc w:val="left"/>
            </w:pPr>
            <w:r>
              <w:rPr>
                <w:b w:val="false"/>
                <w:bCs w:val="false"/>
                <w:color w:val="1E293B"/>
                <w:sz w:val="18"/>
                <w:szCs w:val="18"/>
              </w:rPr>
              <w:t xml:space="preserve">230,288 resolved loans (Fully Paid + Charged Off)</w:t>
            </w:r>
          </w:p>
        </w:tc>
      </w:tr>
      <w:tr>
        <w:tc>
          <w:tcPr>
            <w:tcW w:type="dxa" w:w="3200"/>
            <w:shd w:fill="F4F6F9" w:val="clear"/>
            <w:tcMar>
              <w:top w:type="dxa" w:w="80"/>
              <w:left w:type="dxa" w:w="120"/>
              <w:bottom w:type="dxa" w:w="80"/>
              <w:right w:type="dxa" w:w="120"/>
            </w:tcMar>
          </w:tcPr>
          <w:p>
            <w:pPr>
              <w:jc w:val="left"/>
            </w:pPr>
            <w:r>
              <w:rPr>
                <w:b w:val="false"/>
                <w:bCs w:val="false"/>
                <w:color w:val="1E293B"/>
                <w:sz w:val="18"/>
                <w:szCs w:val="18"/>
              </w:rPr>
              <w:t xml:space="preserve">Target variable</w:t>
            </w:r>
          </w:p>
        </w:tc>
        <w:tc>
          <w:tcPr>
            <w:tcW w:type="dxa" w:w="6160"/>
            <w:shd w:fill="F4F6F9" w:val="clear"/>
            <w:tcMar>
              <w:top w:type="dxa" w:w="80"/>
              <w:left w:type="dxa" w:w="120"/>
              <w:bottom w:type="dxa" w:w="80"/>
              <w:right w:type="dxa" w:w="120"/>
            </w:tcMar>
          </w:tcPr>
          <w:p>
            <w:pPr>
              <w:jc w:val="left"/>
            </w:pPr>
            <w:r>
              <w:rPr>
                <w:b w:val="false"/>
                <w:bCs w:val="false"/>
                <w:color w:val="1E293B"/>
                <w:sz w:val="18"/>
                <w:szCs w:val="18"/>
              </w:rPr>
              <w:t xml:space="preserve">loan_status — Defaulter (1) vs Not Defaulter (0)</w:t>
            </w:r>
          </w:p>
        </w:tc>
      </w:tr>
      <w:tr>
        <w:tc>
          <w:tcPr>
            <w:tcW w:type="dxa" w:w="3200"/>
            <w:shd w:fill="FFFFFF" w:val="clear"/>
            <w:tcMar>
              <w:top w:type="dxa" w:w="80"/>
              <w:left w:type="dxa" w:w="120"/>
              <w:bottom w:type="dxa" w:w="80"/>
              <w:right w:type="dxa" w:w="120"/>
            </w:tcMar>
          </w:tcPr>
          <w:p>
            <w:pPr>
              <w:jc w:val="left"/>
            </w:pPr>
            <w:r>
              <w:rPr>
                <w:b w:val="false"/>
                <w:bCs w:val="false"/>
                <w:color w:val="1E293B"/>
                <w:sz w:val="18"/>
                <w:szCs w:val="18"/>
              </w:rPr>
              <w:t xml:space="preserve">Class split</w:t>
            </w:r>
          </w:p>
        </w:tc>
        <w:tc>
          <w:tcPr>
            <w:tcW w:type="dxa" w:w="6160"/>
            <w:shd w:fill="FFFFFF" w:val="clear"/>
            <w:tcMar>
              <w:top w:type="dxa" w:w="80"/>
              <w:left w:type="dxa" w:w="120"/>
              <w:bottom w:type="dxa" w:w="80"/>
              <w:right w:type="dxa" w:w="120"/>
            </w:tcMar>
          </w:tcPr>
          <w:p>
            <w:pPr>
              <w:jc w:val="left"/>
            </w:pPr>
            <w:r>
              <w:rPr>
                <w:b w:val="false"/>
                <w:bCs w:val="false"/>
                <w:color w:val="1E293B"/>
                <w:sz w:val="18"/>
                <w:szCs w:val="18"/>
              </w:rPr>
              <w:t xml:space="preserve">81% Not Defaulter  |  19% Defaulter</w:t>
            </w:r>
          </w:p>
        </w:tc>
      </w:tr>
      <w:tr>
        <w:tc>
          <w:tcPr>
            <w:tcW w:type="dxa" w:w="3200"/>
            <w:shd w:fill="F4F6F9" w:val="clear"/>
            <w:tcMar>
              <w:top w:type="dxa" w:w="80"/>
              <w:left w:type="dxa" w:w="120"/>
              <w:bottom w:type="dxa" w:w="80"/>
              <w:right w:type="dxa" w:w="120"/>
            </w:tcMar>
          </w:tcPr>
          <w:p>
            <w:pPr>
              <w:jc w:val="left"/>
            </w:pPr>
            <w:r>
              <w:rPr>
                <w:b w:val="false"/>
                <w:bCs w:val="false"/>
                <w:color w:val="1E293B"/>
                <w:sz w:val="18"/>
                <w:szCs w:val="18"/>
              </w:rPr>
              <w:t xml:space="preserve">Features analysed</w:t>
            </w:r>
          </w:p>
        </w:tc>
        <w:tc>
          <w:tcPr>
            <w:tcW w:type="dxa" w:w="6160"/>
            <w:shd w:fill="F4F6F9" w:val="clear"/>
            <w:tcMar>
              <w:top w:type="dxa" w:w="80"/>
              <w:left w:type="dxa" w:w="120"/>
              <w:bottom w:type="dxa" w:w="80"/>
              <w:right w:type="dxa" w:w="120"/>
            </w:tcMar>
          </w:tcPr>
          <w:p>
            <w:pPr>
              <w:jc w:val="left"/>
            </w:pPr>
            <w:r>
              <w:rPr>
                <w:b w:val="false"/>
                <w:bCs w:val="false"/>
                <w:color w:val="1E293B"/>
                <w:sz w:val="18"/>
                <w:szCs w:val="18"/>
              </w:rPr>
              <w:t xml:space="preserve">Loan details, borrower profile, credit history, time features</w:t>
            </w:r>
          </w:p>
        </w:tc>
      </w:tr>
    </w:tbl>
    <w:p>
      <w:pPr>
        <w:spacing w:after="240"/>
      </w:pPr>
    </w:p>
    <w:p>
      <w:pPr>
        <w:spacing w:after="80"/>
        <w:jc w:val="center"/>
      </w:pPr>
      <w:r>
        <w:drawing>
          <wp:inline distT="0" distB="0" distL="0" distR="0">
            <wp:extent cx="3619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3333750"/>
                    </a:xfrm>
                    <a:prstGeom prst="rect">
                      <a:avLst/>
                    </a:prstGeom>
                  </pic:spPr>
                </pic:pic>
              </a:graphicData>
            </a:graphic>
          </wp:inline>
        </w:drawing>
      </w:r>
    </w:p>
    <w:p>
      <w:pPr>
        <w:spacing w:after="120"/>
        <w:jc w:val="center"/>
      </w:pPr>
      <w:r>
        <w:rPr>
          <w:i/>
          <w:iCs/>
          <w:color w:val="64748B"/>
          <w:sz w:val="17"/>
          <w:szCs w:val="17"/>
        </w:rPr>
        <w:t xml:space="preserve">Figure 1: Target variable split — 19% Defaulter vs 81% Not Defaulter</w:t>
      </w:r>
    </w:p>
    <w:p>
      <w:pPr>
        <w:pBdr>
          <w:bottom w:val="single" w:color="1E2761" w:sz="6"/>
        </w:pBdr>
        <w:spacing w:after="120" w:before="400"/>
      </w:pPr>
      <w:r>
        <w:rPr>
          <w:b/>
          <w:bCs/>
          <w:color w:val="1E2761"/>
          <w:sz w:val="30"/>
          <w:szCs w:val="30"/>
        </w:rPr>
        <w:t xml:space="preserve">2. Loan Amount</w:t>
      </w:r>
    </w:p>
    <w:p>
      <w:pPr>
        <w:spacing w:after="100"/>
        <w:jc w:val="both"/>
      </w:pPr>
      <w:r>
        <w:rPr>
          <w:color w:val="1E293B"/>
          <w:sz w:val="20"/>
          <w:szCs w:val="20"/>
        </w:rPr>
        <w:t xml:space="preserve">Loan amount ranges from $500 to $35,000, with a mean of $13,418 and median of $12,000. The distribution is right-skewed with notable peaks at round numbers ($5,000, $10,000, $15,000, $20,000, $35,000), indicating loans are sanctioned in predefined amounts rather than arbitrary values.</w:t>
      </w:r>
    </w:p>
    <w:p>
      <w:pPr>
        <w:spacing w:after="80"/>
      </w:pPr>
    </w:p>
    <w:p>
      <w:pPr>
        <w:spacing w:after="80"/>
        <w:jc w:val="center"/>
      </w:pPr>
      <w:r>
        <w:drawing>
          <wp:inline distT="0" distB="0" distL="0" distR="0">
            <wp:extent cx="5524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2667000"/>
                    </a:xfrm>
                    <a:prstGeom prst="rect">
                      <a:avLst/>
                    </a:prstGeom>
                  </pic:spPr>
                </pic:pic>
              </a:graphicData>
            </a:graphic>
          </wp:inline>
        </w:drawing>
      </w:r>
    </w:p>
    <w:p>
      <w:pPr>
        <w:spacing w:after="120"/>
        <w:jc w:val="center"/>
      </w:pPr>
      <w:r>
        <w:rPr>
          <w:i/>
          <w:iCs/>
          <w:color w:val="64748B"/>
          <w:sz w:val="17"/>
          <w:szCs w:val="17"/>
        </w:rPr>
        <w:t xml:space="preserve">Figure 2: Loan amount distribution (histogram + quartile breakdown)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shd w:fill="1E2761" w:val="clear"/>
            <w:tcMar>
              <w:top w:type="dxa" w:w="80"/>
              <w:left w:type="dxa" w:w="120"/>
              <w:bottom w:type="dxa" w:w="80"/>
              <w:right w:type="dxa" w:w="120"/>
            </w:tcMar>
          </w:tcPr>
          <w:p>
            <w:pPr>
              <w:jc w:val="left"/>
            </w:pPr>
            <w:r>
              <w:rPr>
                <w:b/>
                <w:bCs/>
                <w:color w:val="FFFFFF"/>
                <w:sz w:val="18"/>
                <w:szCs w:val="18"/>
              </w:rPr>
              <w:t xml:space="preserve">Bracket</w:t>
            </w:r>
          </w:p>
        </w:tc>
        <w:tc>
          <w:tcPr>
            <w:tcW w:type="dxa" w:w="2400"/>
            <w:shd w:fill="1E2761" w:val="clear"/>
            <w:tcMar>
              <w:top w:type="dxa" w:w="80"/>
              <w:left w:type="dxa" w:w="120"/>
              <w:bottom w:type="dxa" w:w="80"/>
              <w:right w:type="dxa" w:w="120"/>
            </w:tcMar>
          </w:tcPr>
          <w:p>
            <w:pPr>
              <w:jc w:val="left"/>
            </w:pPr>
            <w:r>
              <w:rPr>
                <w:b/>
                <w:bCs/>
                <w:color w:val="FFFFFF"/>
                <w:sz w:val="18"/>
                <w:szCs w:val="18"/>
              </w:rPr>
              <w:t xml:space="preserve">Default Rate</w:t>
            </w:r>
          </w:p>
        </w:tc>
        <w:tc>
          <w:tcPr>
            <w:tcW w:type="dxa" w:w="4560"/>
            <w:shd w:fill="1E2761" w:val="clear"/>
            <w:tcMar>
              <w:top w:type="dxa" w:w="80"/>
              <w:left w:type="dxa" w:w="120"/>
              <w:bottom w:type="dxa" w:w="80"/>
              <w:right w:type="dxa" w:w="120"/>
            </w:tcMar>
          </w:tcPr>
          <w:p>
            <w:pPr>
              <w:jc w:val="left"/>
            </w:pPr>
            <w:r>
              <w:rPr>
                <w:b/>
                <w:bCs/>
                <w:color w:val="FFFFFF"/>
                <w:sz w:val="18"/>
                <w:szCs w:val="18"/>
              </w:rPr>
              <w:t xml:space="preserve">Signal Strength</w:t>
            </w:r>
          </w:p>
        </w:tc>
      </w:tr>
      <w:tr>
        <w:tc>
          <w:tcPr>
            <w:tcW w:type="dxa" w:w="2400"/>
            <w:shd w:fill="F4F6F9" w:val="clear"/>
            <w:tcMar>
              <w:top w:type="dxa" w:w="80"/>
              <w:left w:type="dxa" w:w="120"/>
              <w:bottom w:type="dxa" w:w="80"/>
              <w:right w:type="dxa" w:w="120"/>
            </w:tcMar>
          </w:tcPr>
          <w:p>
            <w:pPr>
              <w:jc w:val="left"/>
            </w:pPr>
            <w:r>
              <w:rPr>
                <w:b w:val="false"/>
                <w:bCs w:val="false"/>
                <w:color w:val="1E293B"/>
                <w:sz w:val="18"/>
                <w:szCs w:val="18"/>
              </w:rPr>
              <w:t xml:space="preserve">&lt; $10,000</w:t>
            </w:r>
          </w:p>
        </w:tc>
        <w:tc>
          <w:tcPr>
            <w:tcW w:type="dxa" w:w="2400"/>
            <w:shd w:fill="F4F6F9" w:val="clear"/>
            <w:tcMar>
              <w:top w:type="dxa" w:w="80"/>
              <w:left w:type="dxa" w:w="120"/>
              <w:bottom w:type="dxa" w:w="80"/>
              <w:right w:type="dxa" w:w="120"/>
            </w:tcMar>
          </w:tcPr>
          <w:p>
            <w:pPr>
              <w:jc w:val="left"/>
            </w:pPr>
            <w:r>
              <w:rPr>
                <w:b w:val="false"/>
                <w:bCs w:val="false"/>
                <w:color w:val="1E293B"/>
                <w:sz w:val="18"/>
                <w:szCs w:val="18"/>
              </w:rPr>
              <w:t xml:space="preserve">16.7%</w:t>
            </w:r>
          </w:p>
        </w:tc>
        <w:tc>
          <w:tcPr>
            <w:tcW w:type="dxa" w:w="4560"/>
            <w:shd w:fill="F4F6F9" w:val="clear"/>
            <w:tcMar>
              <w:top w:type="dxa" w:w="80"/>
              <w:left w:type="dxa" w:w="120"/>
              <w:bottom w:type="dxa" w:w="80"/>
              <w:right w:type="dxa" w:w="120"/>
            </w:tcMar>
          </w:tcPr>
          <w:p>
            <w:pPr>
              <w:jc w:val="left"/>
            </w:pPr>
            <w:r>
              <w:rPr>
                <w:b w:val="false"/>
                <w:bCs w:val="false"/>
                <w:color w:val="1E293B"/>
                <w:sz w:val="18"/>
                <w:szCs w:val="18"/>
              </w:rPr>
              <w:t xml:space="preserve">Lowest risk</w:t>
            </w:r>
          </w:p>
        </w:tc>
      </w:tr>
      <w:tr>
        <w:tc>
          <w:tcPr>
            <w:tcW w:type="dxa" w:w="2400"/>
            <w:shd w:fill="FFFFFF" w:val="clear"/>
            <w:tcMar>
              <w:top w:type="dxa" w:w="80"/>
              <w:left w:type="dxa" w:w="120"/>
              <w:bottom w:type="dxa" w:w="80"/>
              <w:right w:type="dxa" w:w="120"/>
            </w:tcMar>
          </w:tcPr>
          <w:p>
            <w:pPr>
              <w:jc w:val="left"/>
            </w:pPr>
            <w:r>
              <w:rPr>
                <w:b w:val="false"/>
                <w:bCs w:val="false"/>
                <w:color w:val="1E293B"/>
                <w:sz w:val="18"/>
                <w:szCs w:val="18"/>
              </w:rPr>
              <w:t xml:space="preserve">$10,000 – $20,000</w:t>
            </w:r>
          </w:p>
        </w:tc>
        <w:tc>
          <w:tcPr>
            <w:tcW w:type="dxa" w:w="2400"/>
            <w:shd w:fill="FFFFFF" w:val="clear"/>
            <w:tcMar>
              <w:top w:type="dxa" w:w="80"/>
              <w:left w:type="dxa" w:w="120"/>
              <w:bottom w:type="dxa" w:w="80"/>
              <w:right w:type="dxa" w:w="120"/>
            </w:tcMar>
          </w:tcPr>
          <w:p>
            <w:pPr>
              <w:jc w:val="left"/>
            </w:pPr>
            <w:r>
              <w:rPr>
                <w:b w:val="false"/>
                <w:bCs w:val="false"/>
                <w:color w:val="1E293B"/>
                <w:sz w:val="18"/>
                <w:szCs w:val="18"/>
              </w:rPr>
              <w:t xml:space="preserve">19.6%</w:t>
            </w:r>
          </w:p>
        </w:tc>
        <w:tc>
          <w:tcPr>
            <w:tcW w:type="dxa" w:w="4560"/>
            <w:shd w:fill="FFFFFF" w:val="clear"/>
            <w:tcMar>
              <w:top w:type="dxa" w:w="80"/>
              <w:left w:type="dxa" w:w="120"/>
              <w:bottom w:type="dxa" w:w="80"/>
              <w:right w:type="dxa" w:w="120"/>
            </w:tcMar>
          </w:tcPr>
          <w:p>
            <w:pPr>
              <w:jc w:val="left"/>
            </w:pPr>
            <w:r>
              <w:rPr>
                <w:b w:val="false"/>
                <w:bCs w:val="false"/>
                <w:color w:val="1E293B"/>
                <w:sz w:val="18"/>
                <w:szCs w:val="18"/>
              </w:rPr>
              <w:t xml:space="preserve">Moderate</w:t>
            </w:r>
          </w:p>
        </w:tc>
      </w:tr>
      <w:tr>
        <w:tc>
          <w:tcPr>
            <w:tcW w:type="dxa" w:w="2400"/>
            <w:shd w:fill="F4F6F9" w:val="clear"/>
            <w:tcMar>
              <w:top w:type="dxa" w:w="80"/>
              <w:left w:type="dxa" w:w="120"/>
              <w:bottom w:type="dxa" w:w="80"/>
              <w:right w:type="dxa" w:w="120"/>
            </w:tcMar>
          </w:tcPr>
          <w:p>
            <w:pPr>
              <w:jc w:val="left"/>
            </w:pPr>
            <w:r>
              <w:rPr>
                <w:b w:val="false"/>
                <w:bCs w:val="false"/>
                <w:color w:val="1E293B"/>
                <w:sz w:val="18"/>
                <w:szCs w:val="18"/>
              </w:rPr>
              <w:t xml:space="preserve">$20,000 – $30,000</w:t>
            </w:r>
          </w:p>
        </w:tc>
        <w:tc>
          <w:tcPr>
            <w:tcW w:type="dxa" w:w="2400"/>
            <w:shd w:fill="F4F6F9" w:val="clear"/>
            <w:tcMar>
              <w:top w:type="dxa" w:w="80"/>
              <w:left w:type="dxa" w:w="120"/>
              <w:bottom w:type="dxa" w:w="80"/>
              <w:right w:type="dxa" w:w="120"/>
            </w:tcMar>
          </w:tcPr>
          <w:p>
            <w:pPr>
              <w:jc w:val="left"/>
            </w:pPr>
            <w:r>
              <w:rPr>
                <w:b w:val="false"/>
                <w:bCs w:val="false"/>
                <w:color w:val="1E293B"/>
                <w:sz w:val="18"/>
                <w:szCs w:val="18"/>
              </w:rPr>
              <w:t xml:space="preserve">23.0%</w:t>
            </w:r>
          </w:p>
        </w:tc>
        <w:tc>
          <w:tcPr>
            <w:tcW w:type="dxa" w:w="4560"/>
            <w:shd w:fill="F4F6F9" w:val="clear"/>
            <w:tcMar>
              <w:top w:type="dxa" w:w="80"/>
              <w:left w:type="dxa" w:w="120"/>
              <w:bottom w:type="dxa" w:w="80"/>
              <w:right w:type="dxa" w:w="120"/>
            </w:tcMar>
          </w:tcPr>
          <w:p>
            <w:pPr>
              <w:jc w:val="left"/>
            </w:pPr>
            <w:r>
              <w:rPr>
                <w:b w:val="false"/>
                <w:bCs w:val="false"/>
                <w:color w:val="1E293B"/>
                <w:sz w:val="18"/>
                <w:szCs w:val="18"/>
              </w:rPr>
              <w:t xml:space="preserve">Higher risk</w:t>
            </w:r>
          </w:p>
        </w:tc>
      </w:tr>
      <w:tr>
        <w:tc>
          <w:tcPr>
            <w:tcW w:type="dxa" w:w="2400"/>
            <w:shd w:fill="FFFFFF" w:val="clear"/>
            <w:tcMar>
              <w:top w:type="dxa" w:w="80"/>
              <w:left w:type="dxa" w:w="120"/>
              <w:bottom w:type="dxa" w:w="80"/>
              <w:right w:type="dxa" w:w="120"/>
            </w:tcMar>
          </w:tcPr>
          <w:p>
            <w:pPr>
              <w:jc w:val="left"/>
            </w:pPr>
            <w:r>
              <w:rPr>
                <w:b w:val="false"/>
                <w:bCs w:val="false"/>
                <w:color w:val="1E293B"/>
                <w:sz w:val="18"/>
                <w:szCs w:val="18"/>
              </w:rPr>
              <w:t xml:space="preserve">$30,000+</w:t>
            </w:r>
          </w:p>
        </w:tc>
        <w:tc>
          <w:tcPr>
            <w:tcW w:type="dxa" w:w="2400"/>
            <w:shd w:fill="FFFFFF" w:val="clear"/>
            <w:tcMar>
              <w:top w:type="dxa" w:w="80"/>
              <w:left w:type="dxa" w:w="120"/>
              <w:bottom w:type="dxa" w:w="80"/>
              <w:right w:type="dxa" w:w="120"/>
            </w:tcMar>
          </w:tcPr>
          <w:p>
            <w:pPr>
              <w:jc w:val="left"/>
            </w:pPr>
            <w:r>
              <w:rPr>
                <w:b w:val="false"/>
                <w:bCs w:val="false"/>
                <w:color w:val="1E293B"/>
                <w:sz w:val="18"/>
                <w:szCs w:val="18"/>
              </w:rPr>
              <w:t xml:space="preserve">24.4%</w:t>
            </w:r>
          </w:p>
        </w:tc>
        <w:tc>
          <w:tcPr>
            <w:tcW w:type="dxa" w:w="4560"/>
            <w:shd w:fill="FFFFFF" w:val="clear"/>
            <w:tcMar>
              <w:top w:type="dxa" w:w="80"/>
              <w:left w:type="dxa" w:w="120"/>
              <w:bottom w:type="dxa" w:w="80"/>
              <w:right w:type="dxa" w:w="120"/>
            </w:tcMar>
          </w:tcPr>
          <w:p>
            <w:pPr>
              <w:jc w:val="left"/>
            </w:pPr>
            <w:r>
              <w:rPr>
                <w:b w:val="false"/>
                <w:bCs w:val="false"/>
                <w:color w:val="1E293B"/>
                <w:sz w:val="18"/>
                <w:szCs w:val="18"/>
              </w:rPr>
              <w:t xml:space="preserve">Highest risk</w:t>
            </w:r>
          </w:p>
        </w:tc>
      </w:tr>
    </w:tbl>
    <w:p>
      <w:pPr>
        <w:spacing w:after="160"/>
      </w:pPr>
    </w:p>
    <w:p>
      <w:pPr>
        <w:spacing w:after="100"/>
        <w:jc w:val="both"/>
      </w:pPr>
      <w:r>
        <w:rPr>
          <w:color w:val="1E293B"/>
          <w:sz w:val="20"/>
          <w:szCs w:val="20"/>
        </w:rPr>
        <w:t xml:space="preserve">Defaulters have a slightly higher average funded amount ($14,426) compared to non-defaulters ($13,124), but distributions overlap substantially — loan amount is a weak standalone predictor.</w:t>
      </w:r>
    </w:p>
    <w:p>
      <w:pPr>
        <w:pBdr>
          <w:bottom w:val="single" w:color="1E2761" w:sz="6"/>
        </w:pBdr>
        <w:spacing w:after="120" w:before="400"/>
      </w:pPr>
      <w:r>
        <w:rPr>
          <w:b/>
          <w:bCs/>
          <w:color w:val="1E2761"/>
          <w:sz w:val="30"/>
          <w:szCs w:val="30"/>
        </w:rPr>
        <w:t xml:space="preserve">3. Loan Term</w:t>
      </w:r>
    </w:p>
    <w:p>
      <w:pPr>
        <w:spacing w:after="100"/>
        <w:jc w:val="both"/>
      </w:pPr>
      <w:r>
        <w:rPr>
          <w:color w:val="1E293B"/>
          <w:sz w:val="20"/>
          <w:szCs w:val="20"/>
        </w:rPr>
        <w:t xml:space="preserve">78.6% of loans are on a 36-month term and 21.4% on a 60-month term. Despite the imbalance, term is one of the strongest predictors identified — 60-month loans default at nearly twice the rate of 36-month loans.</w:t>
      </w:r>
    </w:p>
    <w:p>
      <w:pPr>
        <w:spacing w:after="80"/>
      </w:pPr>
    </w:p>
    <w:p>
      <w:pPr>
        <w:spacing w:after="80"/>
        <w:jc w:val="center"/>
      </w:pPr>
      <w:r>
        <w:drawing>
          <wp:inline distT="0" distB="0" distL="0" distR="0">
            <wp:extent cx="5524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667000"/>
                    </a:xfrm>
                    <a:prstGeom prst="rect">
                      <a:avLst/>
                    </a:prstGeom>
                  </pic:spPr>
                </pic:pic>
              </a:graphicData>
            </a:graphic>
          </wp:inline>
        </w:drawing>
      </w:r>
    </w:p>
    <w:p>
      <w:pPr>
        <w:spacing w:after="120"/>
        <w:jc w:val="center"/>
      </w:pPr>
      <w:r>
        <w:rPr>
          <w:i/>
          <w:iCs/>
          <w:color w:val="64748B"/>
          <w:sz w:val="17"/>
          <w:szCs w:val="17"/>
        </w:rPr>
        <w:t xml:space="preserve">Figure 3: Term distribution and default rate by term</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shd w:fill="1E2761" w:val="clear"/>
            <w:tcMar>
              <w:top w:type="dxa" w:w="80"/>
              <w:left w:type="dxa" w:w="120"/>
              <w:bottom w:type="dxa" w:w="80"/>
              <w:right w:type="dxa" w:w="120"/>
            </w:tcMar>
          </w:tcPr>
          <w:p>
            <w:pPr>
              <w:jc w:val="left"/>
            </w:pPr>
            <w:r>
              <w:rPr>
                <w:b/>
                <w:bCs/>
                <w:color w:val="FFFFFF"/>
                <w:sz w:val="18"/>
                <w:szCs w:val="18"/>
              </w:rPr>
              <w:t xml:space="preserve">Term</w:t>
            </w:r>
          </w:p>
        </w:tc>
        <w:tc>
          <w:tcPr>
            <w:tcW w:type="dxa" w:w="2400"/>
            <w:shd w:fill="1E2761" w:val="clear"/>
            <w:tcMar>
              <w:top w:type="dxa" w:w="80"/>
              <w:left w:type="dxa" w:w="120"/>
              <w:bottom w:type="dxa" w:w="80"/>
              <w:right w:type="dxa" w:w="120"/>
            </w:tcMar>
          </w:tcPr>
          <w:p>
            <w:pPr>
              <w:jc w:val="left"/>
            </w:pPr>
            <w:r>
              <w:rPr>
                <w:b/>
                <w:bCs/>
                <w:color w:val="FFFFFF"/>
                <w:sz w:val="18"/>
                <w:szCs w:val="18"/>
              </w:rPr>
              <w:t xml:space="preserve">Default Rate</w:t>
            </w:r>
          </w:p>
        </w:tc>
        <w:tc>
          <w:tcPr>
            <w:tcW w:type="dxa" w:w="4560"/>
            <w:shd w:fill="1E2761" w:val="clear"/>
            <w:tcMar>
              <w:top w:type="dxa" w:w="80"/>
              <w:left w:type="dxa" w:w="120"/>
              <w:bottom w:type="dxa" w:w="80"/>
              <w:right w:type="dxa" w:w="120"/>
            </w:tcMar>
          </w:tcPr>
          <w:p>
            <w:pPr>
              <w:jc w:val="left"/>
            </w:pPr>
            <w:r>
              <w:rPr>
                <w:b/>
                <w:bCs/>
                <w:color w:val="FFFFFF"/>
                <w:sz w:val="18"/>
                <w:szCs w:val="18"/>
              </w:rPr>
              <w:t xml:space="preserve">Relative Risk</w:t>
            </w:r>
          </w:p>
        </w:tc>
      </w:tr>
      <w:tr>
        <w:tc>
          <w:tcPr>
            <w:tcW w:type="dxa" w:w="2400"/>
            <w:shd w:fill="F4F6F9" w:val="clear"/>
            <w:tcMar>
              <w:top w:type="dxa" w:w="80"/>
              <w:left w:type="dxa" w:w="120"/>
              <w:bottom w:type="dxa" w:w="80"/>
              <w:right w:type="dxa" w:w="120"/>
            </w:tcMar>
          </w:tcPr>
          <w:p>
            <w:pPr>
              <w:jc w:val="left"/>
            </w:pPr>
            <w:r>
              <w:rPr>
                <w:b w:val="false"/>
                <w:bCs w:val="false"/>
                <w:color w:val="1E293B"/>
                <w:sz w:val="18"/>
                <w:szCs w:val="18"/>
              </w:rPr>
              <w:t xml:space="preserve">36 months</w:t>
            </w:r>
          </w:p>
        </w:tc>
        <w:tc>
          <w:tcPr>
            <w:tcW w:type="dxa" w:w="2400"/>
            <w:shd w:fill="F4F6F9" w:val="clear"/>
            <w:tcMar>
              <w:top w:type="dxa" w:w="80"/>
              <w:left w:type="dxa" w:w="120"/>
              <w:bottom w:type="dxa" w:w="80"/>
              <w:right w:type="dxa" w:w="120"/>
            </w:tcMar>
          </w:tcPr>
          <w:p>
            <w:pPr>
              <w:jc w:val="left"/>
            </w:pPr>
            <w:r>
              <w:rPr>
                <w:b w:val="false"/>
                <w:bCs w:val="false"/>
                <w:color w:val="1E293B"/>
                <w:sz w:val="18"/>
                <w:szCs w:val="18"/>
              </w:rPr>
              <w:t xml:space="preserve">~16%</w:t>
            </w:r>
          </w:p>
        </w:tc>
        <w:tc>
          <w:tcPr>
            <w:tcW w:type="dxa" w:w="4560"/>
            <w:shd w:fill="F4F6F9" w:val="clear"/>
            <w:tcMar>
              <w:top w:type="dxa" w:w="80"/>
              <w:left w:type="dxa" w:w="120"/>
              <w:bottom w:type="dxa" w:w="80"/>
              <w:right w:type="dxa" w:w="120"/>
            </w:tcMar>
          </w:tcPr>
          <w:p>
            <w:pPr>
              <w:jc w:val="left"/>
            </w:pPr>
            <w:r>
              <w:rPr>
                <w:b w:val="false"/>
                <w:bCs w:val="false"/>
                <w:color w:val="1E293B"/>
                <w:sz w:val="18"/>
                <w:szCs w:val="18"/>
              </w:rPr>
              <w:t xml:space="preserve">Baseline</w:t>
            </w:r>
          </w:p>
        </w:tc>
      </w:tr>
      <w:tr>
        <w:tc>
          <w:tcPr>
            <w:tcW w:type="dxa" w:w="2400"/>
            <w:shd w:fill="FFFFFF" w:val="clear"/>
            <w:tcMar>
              <w:top w:type="dxa" w:w="80"/>
              <w:left w:type="dxa" w:w="120"/>
              <w:bottom w:type="dxa" w:w="80"/>
              <w:right w:type="dxa" w:w="120"/>
            </w:tcMar>
          </w:tcPr>
          <w:p>
            <w:pPr>
              <w:jc w:val="left"/>
            </w:pPr>
            <w:r>
              <w:rPr>
                <w:b w:val="false"/>
                <w:bCs w:val="false"/>
                <w:color w:val="1E293B"/>
                <w:sz w:val="18"/>
                <w:szCs w:val="18"/>
              </w:rPr>
              <w:t xml:space="preserve">60 months</w:t>
            </w:r>
          </w:p>
        </w:tc>
        <w:tc>
          <w:tcPr>
            <w:tcW w:type="dxa" w:w="2400"/>
            <w:shd w:fill="FFFFFF" w:val="clear"/>
            <w:tcMar>
              <w:top w:type="dxa" w:w="80"/>
              <w:left w:type="dxa" w:w="120"/>
              <w:bottom w:type="dxa" w:w="80"/>
              <w:right w:type="dxa" w:w="120"/>
            </w:tcMar>
          </w:tcPr>
          <w:p>
            <w:pPr>
              <w:jc w:val="left"/>
            </w:pPr>
            <w:r>
              <w:rPr>
                <w:b w:val="false"/>
                <w:bCs w:val="false"/>
                <w:color w:val="1E293B"/>
                <w:sz w:val="18"/>
                <w:szCs w:val="18"/>
              </w:rPr>
              <w:t xml:space="preserve">~32%</w:t>
            </w:r>
          </w:p>
        </w:tc>
        <w:tc>
          <w:tcPr>
            <w:tcW w:type="dxa" w:w="4560"/>
            <w:shd w:fill="FFFFFF" w:val="clear"/>
            <w:tcMar>
              <w:top w:type="dxa" w:w="80"/>
              <w:left w:type="dxa" w:w="120"/>
              <w:bottom w:type="dxa" w:w="80"/>
              <w:right w:type="dxa" w:w="120"/>
            </w:tcMar>
          </w:tcPr>
          <w:p>
            <w:pPr>
              <w:jc w:val="left"/>
            </w:pPr>
            <w:r>
              <w:rPr>
                <w:b w:val="false"/>
                <w:bCs w:val="false"/>
                <w:color w:val="1E293B"/>
                <w:sz w:val="18"/>
                <w:szCs w:val="18"/>
              </w:rPr>
              <w:t xml:space="preserve">2× higher risk</w:t>
            </w:r>
          </w:p>
        </w:tc>
      </w:tr>
    </w:tbl>
    <w:p>
      <w:pPr>
        <w:pBdr>
          <w:bottom w:val="single" w:color="1E2761" w:sz="6"/>
        </w:pBdr>
        <w:spacing w:after="120" w:before="400"/>
      </w:pPr>
      <w:r>
        <w:rPr>
          <w:b/>
          <w:bCs/>
          <w:color w:val="1E2761"/>
          <w:sz w:val="30"/>
          <w:szCs w:val="30"/>
        </w:rPr>
        <w:t xml:space="preserve">4. Interest Rate</w:t>
      </w:r>
    </w:p>
    <w:p>
      <w:pPr>
        <w:spacing w:after="100"/>
        <w:jc w:val="both"/>
      </w:pPr>
      <w:r>
        <w:rPr>
          <w:color w:val="1E293B"/>
          <w:sz w:val="20"/>
          <w:szCs w:val="20"/>
        </w:rPr>
        <w:t xml:space="preserve">Interest rate ranges from 5.42% to 26.06% (mean: 13.78%). The distribution shows distinct peaks corresponding to sub-grade rate tiers rather than a smooth continuum. This is the clearest continuous separator between defaulters and non-defaulters identified in the entire EDA.</w:t>
      </w:r>
    </w:p>
    <w:p>
      <w:pPr>
        <w:spacing w:after="80"/>
      </w:pPr>
    </w:p>
    <w:p>
      <w:pPr>
        <w:spacing w:after="80"/>
        <w:jc w:val="center"/>
      </w:pPr>
      <w:r>
        <w:drawing>
          <wp:inline distT="0" distB="0" distL="0" distR="0">
            <wp:extent cx="5524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667000"/>
                    </a:xfrm>
                    <a:prstGeom prst="rect">
                      <a:avLst/>
                    </a:prstGeom>
                  </pic:spPr>
                </pic:pic>
              </a:graphicData>
            </a:graphic>
          </wp:inline>
        </w:drawing>
      </w:r>
    </w:p>
    <w:p>
      <w:pPr>
        <w:spacing w:after="120"/>
        <w:jc w:val="center"/>
      </w:pPr>
      <w:r>
        <w:rPr>
          <w:i/>
          <w:iCs/>
          <w:color w:val="64748B"/>
          <w:sz w:val="17"/>
          <w:szCs w:val="17"/>
        </w:rPr>
        <w:t xml:space="preserve">Figure 4: Interest rate distribution (overall and by loan status)</w:t>
      </w:r>
    </w:p>
    <w:p>
      <w:pPr>
        <w:spacing w:after="120"/>
      </w:pPr>
    </w:p>
    <w:p>
      <w:pPr>
        <w:spacing w:after="100"/>
        <w:jc w:val="both"/>
      </w:pPr>
      <w:r>
        <w:rPr>
          <w:color w:val="1E293B"/>
          <w:sz w:val="20"/>
          <w:szCs w:val="20"/>
        </w:rPr>
        <w:t xml:space="preserve">Non-defaulters concentrate at 8–13% while defaulters shift notably higher to 14–20%+, with defaulters dominating beyond 20%. Interest rate encodes the same underlying risk as grade but in continuous form — both features effectively capture the platform's own credit assessment.</w:t>
      </w:r>
    </w:p>
    <w:p>
      <w:pPr>
        <w:pBdr>
          <w:bottom w:val="single" w:color="1E2761" w:sz="6"/>
        </w:pBdr>
        <w:spacing w:after="120" w:before="400"/>
      </w:pPr>
      <w:r>
        <w:rPr>
          <w:b/>
          <w:bCs/>
          <w:color w:val="1E2761"/>
          <w:sz w:val="30"/>
          <w:szCs w:val="30"/>
        </w:rPr>
        <w:t xml:space="preserve">5. Grade &amp; Sub-Grade</w:t>
      </w:r>
    </w:p>
    <w:p>
      <w:pPr>
        <w:spacing w:after="100"/>
        <w:jc w:val="both"/>
      </w:pPr>
      <w:r>
        <w:rPr>
          <w:color w:val="1E293B"/>
          <w:sz w:val="20"/>
          <w:szCs w:val="20"/>
        </w:rPr>
        <w:t xml:space="preserve">Grade is the single strongest predictor in the dataset. Default rate rises perfectly from 6.5% (Grade A) to 43.7% (Grade G) — a 7× increase — with not a single exception across all 7 grades or all 35 sub-grades.</w:t>
      </w:r>
    </w:p>
    <w:p>
      <w:pPr>
        <w:spacing w:after="80"/>
      </w:pPr>
    </w:p>
    <w:p>
      <w:pPr>
        <w:spacing w:after="80"/>
        <w:jc w:val="center"/>
      </w:pPr>
      <w:r>
        <w:drawing>
          <wp:inline distT="0" distB="0" distL="0" distR="0">
            <wp:extent cx="5524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667000"/>
                    </a:xfrm>
                    <a:prstGeom prst="rect">
                      <a:avLst/>
                    </a:prstGeom>
                  </pic:spPr>
                </pic:pic>
              </a:graphicData>
            </a:graphic>
          </wp:inline>
        </w:drawing>
      </w:r>
    </w:p>
    <w:p>
      <w:pPr>
        <w:spacing w:after="120"/>
        <w:jc w:val="center"/>
      </w:pPr>
      <w:r>
        <w:rPr>
          <w:i/>
          <w:iCs/>
          <w:color w:val="64748B"/>
          <w:sz w:val="17"/>
          <w:szCs w:val="17"/>
        </w:rPr>
        <w:t xml:space="preserve">Figure 5: Grade distribution and default rate by grade</w:t>
      </w:r>
    </w:p>
    <w:p>
      <w:pPr>
        <w:spacing w:after="160"/>
      </w:pPr>
    </w:p>
    <w:p>
      <w:pPr>
        <w:spacing w:after="80"/>
        <w:jc w:val="center"/>
      </w:pPr>
      <w:r>
        <w:drawing>
          <wp:inline distT="0" distB="0" distL="0" distR="0">
            <wp:extent cx="5524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476500"/>
                    </a:xfrm>
                    <a:prstGeom prst="rect">
                      <a:avLst/>
                    </a:prstGeom>
                  </pic:spPr>
                </pic:pic>
              </a:graphicData>
            </a:graphic>
          </wp:inline>
        </w:drawing>
      </w:r>
    </w:p>
    <w:p>
      <w:pPr>
        <w:spacing w:after="120"/>
        <w:jc w:val="center"/>
      </w:pPr>
      <w:r>
        <w:rPr>
          <w:i/>
          <w:iCs/>
          <w:color w:val="64748B"/>
          <w:sz w:val="17"/>
          <w:szCs w:val="17"/>
        </w:rPr>
        <w:t xml:space="preserve">Figure 6: Default rate by sub-grade — near-perfectly monotonic from A1 to G5</w:t>
      </w:r>
    </w:p>
    <w:p>
      <w:pPr>
        <w:spacing w:after="160"/>
      </w:pPr>
    </w:p>
    <w:p>
      <w:pPr>
        <w:spacing w:after="80"/>
        <w:jc w:val="center"/>
      </w:pPr>
      <w:r>
        <w:drawing>
          <wp:inline distT="0" distB="0" distL="0" distR="0">
            <wp:extent cx="4762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476500"/>
                    </a:xfrm>
                    <a:prstGeom prst="rect">
                      <a:avLst/>
                    </a:prstGeom>
                  </pic:spPr>
                </pic:pic>
              </a:graphicData>
            </a:graphic>
          </wp:inline>
        </w:drawing>
      </w:r>
    </w:p>
    <w:p>
      <w:pPr>
        <w:spacing w:after="120"/>
        <w:jc w:val="center"/>
      </w:pPr>
      <w:r>
        <w:rPr>
          <w:i/>
          <w:iCs/>
          <w:color w:val="64748B"/>
          <w:sz w:val="17"/>
          <w:szCs w:val="17"/>
        </w:rPr>
        <w:t xml:space="preserve">Figure 7: Interest rate by grade — near non-overlapping rate bands from A to F</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400"/>
            <w:shd w:fill="1E2761" w:val="clear"/>
            <w:tcMar>
              <w:top w:type="dxa" w:w="80"/>
              <w:left w:type="dxa" w:w="120"/>
              <w:bottom w:type="dxa" w:w="80"/>
              <w:right w:type="dxa" w:w="120"/>
            </w:tcMar>
          </w:tcPr>
          <w:p>
            <w:pPr>
              <w:jc w:val="left"/>
            </w:pPr>
            <w:r>
              <w:rPr>
                <w:b/>
                <w:bCs/>
                <w:color w:val="FFFFFF"/>
                <w:sz w:val="18"/>
                <w:szCs w:val="18"/>
              </w:rPr>
              <w:t xml:space="preserve">Grade</w:t>
            </w:r>
          </w:p>
        </w:tc>
        <w:tc>
          <w:tcPr>
            <w:tcW w:type="dxa" w:w="2400"/>
            <w:shd w:fill="1E2761" w:val="clear"/>
            <w:tcMar>
              <w:top w:type="dxa" w:w="80"/>
              <w:left w:type="dxa" w:w="120"/>
              <w:bottom w:type="dxa" w:w="80"/>
              <w:right w:type="dxa" w:w="120"/>
            </w:tcMar>
          </w:tcPr>
          <w:p>
            <w:pPr>
              <w:jc w:val="left"/>
            </w:pPr>
            <w:r>
              <w:rPr>
                <w:b/>
                <w:bCs/>
                <w:color w:val="FFFFFF"/>
                <w:sz w:val="18"/>
                <w:szCs w:val="18"/>
              </w:rPr>
              <w:t xml:space="preserve">Default Rate</w:t>
            </w:r>
          </w:p>
        </w:tc>
        <w:tc>
          <w:tcPr>
            <w:tcW w:type="dxa" w:w="2400"/>
            <w:shd w:fill="1E2761" w:val="clear"/>
            <w:tcMar>
              <w:top w:type="dxa" w:w="80"/>
              <w:left w:type="dxa" w:w="120"/>
              <w:bottom w:type="dxa" w:w="80"/>
              <w:right w:type="dxa" w:w="120"/>
            </w:tcMar>
          </w:tcPr>
          <w:p>
            <w:pPr>
              <w:jc w:val="left"/>
            </w:pPr>
            <w:r>
              <w:rPr>
                <w:b/>
                <w:bCs/>
                <w:color w:val="FFFFFF"/>
                <w:sz w:val="18"/>
                <w:szCs w:val="18"/>
              </w:rPr>
              <w:t xml:space="preserve">Grade</w:t>
            </w:r>
          </w:p>
        </w:tc>
        <w:tc>
          <w:tcPr>
            <w:tcW w:type="dxa" w:w="2160"/>
            <w:shd w:fill="1E2761" w:val="clear"/>
            <w:tcMar>
              <w:top w:type="dxa" w:w="80"/>
              <w:left w:type="dxa" w:w="120"/>
              <w:bottom w:type="dxa" w:w="80"/>
              <w:right w:type="dxa" w:w="120"/>
            </w:tcMar>
          </w:tcPr>
          <w:p>
            <w:pPr>
              <w:jc w:val="left"/>
            </w:pPr>
            <w:r>
              <w:rPr>
                <w:b/>
                <w:bCs/>
                <w:color w:val="FFFFFF"/>
                <w:sz w:val="18"/>
                <w:szCs w:val="18"/>
              </w:rPr>
              <w:t xml:space="preserve">Default Rate</w:t>
            </w:r>
          </w:p>
        </w:tc>
      </w:tr>
      <w:tr>
        <w:tc>
          <w:tcPr>
            <w:tcW w:type="dxa" w:w="2400"/>
            <w:shd w:fill="F4F6F9" w:val="clear"/>
            <w:tcMar>
              <w:top w:type="dxa" w:w="80"/>
              <w:left w:type="dxa" w:w="120"/>
              <w:bottom w:type="dxa" w:w="80"/>
              <w:right w:type="dxa" w:w="120"/>
            </w:tcMar>
          </w:tcPr>
          <w:p>
            <w:pPr>
              <w:jc w:val="left"/>
            </w:pPr>
            <w:r>
              <w:rPr>
                <w:b w:val="false"/>
                <w:bCs w:val="false"/>
                <w:color w:val="1E293B"/>
                <w:sz w:val="18"/>
                <w:szCs w:val="18"/>
              </w:rPr>
              <w:t xml:space="preserve">A</w:t>
            </w:r>
          </w:p>
        </w:tc>
        <w:tc>
          <w:tcPr>
            <w:tcW w:type="dxa" w:w="2400"/>
            <w:shd w:fill="F4F6F9" w:val="clear"/>
            <w:tcMar>
              <w:top w:type="dxa" w:w="80"/>
              <w:left w:type="dxa" w:w="120"/>
              <w:bottom w:type="dxa" w:w="80"/>
              <w:right w:type="dxa" w:w="120"/>
            </w:tcMar>
          </w:tcPr>
          <w:p>
            <w:pPr>
              <w:jc w:val="left"/>
            </w:pPr>
            <w:r>
              <w:rPr>
                <w:b w:val="false"/>
                <w:bCs w:val="false"/>
                <w:color w:val="1E293B"/>
                <w:sz w:val="18"/>
                <w:szCs w:val="18"/>
              </w:rPr>
              <w:t xml:space="preserve">6.50%</w:t>
            </w:r>
          </w:p>
        </w:tc>
        <w:tc>
          <w:tcPr>
            <w:tcW w:type="dxa" w:w="2400"/>
            <w:shd w:fill="F4F6F9" w:val="clear"/>
            <w:tcMar>
              <w:top w:type="dxa" w:w="80"/>
              <w:left w:type="dxa" w:w="120"/>
              <w:bottom w:type="dxa" w:w="80"/>
              <w:right w:type="dxa" w:w="120"/>
            </w:tcMar>
          </w:tcPr>
          <w:p>
            <w:pPr>
              <w:jc w:val="left"/>
            </w:pPr>
            <w:r>
              <w:rPr>
                <w:b w:val="false"/>
                <w:bCs w:val="false"/>
                <w:color w:val="1E293B"/>
                <w:sz w:val="18"/>
                <w:szCs w:val="18"/>
              </w:rPr>
              <w:t xml:space="preserve">E</w:t>
            </w:r>
          </w:p>
        </w:tc>
        <w:tc>
          <w:tcPr>
            <w:tcW w:type="dxa" w:w="2160"/>
            <w:shd w:fill="F4F6F9" w:val="clear"/>
            <w:tcMar>
              <w:top w:type="dxa" w:w="80"/>
              <w:left w:type="dxa" w:w="120"/>
              <w:bottom w:type="dxa" w:w="80"/>
              <w:right w:type="dxa" w:w="120"/>
            </w:tcMar>
          </w:tcPr>
          <w:p>
            <w:pPr>
              <w:jc w:val="left"/>
            </w:pPr>
            <w:r>
              <w:rPr>
                <w:b w:val="false"/>
                <w:bCs w:val="false"/>
                <w:color w:val="1E293B"/>
                <w:sz w:val="18"/>
                <w:szCs w:val="18"/>
              </w:rPr>
              <w:t xml:space="preserve">35.12%</w:t>
            </w:r>
          </w:p>
        </w:tc>
      </w:tr>
      <w:tr>
        <w:tc>
          <w:tcPr>
            <w:tcW w:type="dxa" w:w="2400"/>
            <w:shd w:fill="FFFFFF" w:val="clear"/>
            <w:tcMar>
              <w:top w:type="dxa" w:w="80"/>
              <w:left w:type="dxa" w:w="120"/>
              <w:bottom w:type="dxa" w:w="80"/>
              <w:right w:type="dxa" w:w="120"/>
            </w:tcMar>
          </w:tcPr>
          <w:p>
            <w:pPr>
              <w:jc w:val="left"/>
            </w:pPr>
            <w:r>
              <w:rPr>
                <w:b w:val="false"/>
                <w:bCs w:val="false"/>
                <w:color w:val="1E293B"/>
                <w:sz w:val="18"/>
                <w:szCs w:val="18"/>
              </w:rPr>
              <w:t xml:space="preserve">B</w:t>
            </w:r>
          </w:p>
        </w:tc>
        <w:tc>
          <w:tcPr>
            <w:tcW w:type="dxa" w:w="2400"/>
            <w:shd w:fill="FFFFFF" w:val="clear"/>
            <w:tcMar>
              <w:top w:type="dxa" w:w="80"/>
              <w:left w:type="dxa" w:w="120"/>
              <w:bottom w:type="dxa" w:w="80"/>
              <w:right w:type="dxa" w:w="120"/>
            </w:tcMar>
          </w:tcPr>
          <w:p>
            <w:pPr>
              <w:jc w:val="left"/>
            </w:pPr>
            <w:r>
              <w:rPr>
                <w:b w:val="false"/>
                <w:bCs w:val="false"/>
                <w:color w:val="1E293B"/>
                <w:sz w:val="18"/>
                <w:szCs w:val="18"/>
              </w:rPr>
              <w:t xml:space="preserve">13.22%</w:t>
            </w:r>
          </w:p>
        </w:tc>
        <w:tc>
          <w:tcPr>
            <w:tcW w:type="dxa" w:w="2400"/>
            <w:shd w:fill="FFFFFF" w:val="clear"/>
            <w:tcMar>
              <w:top w:type="dxa" w:w="80"/>
              <w:left w:type="dxa" w:w="120"/>
              <w:bottom w:type="dxa" w:w="80"/>
              <w:right w:type="dxa" w:w="120"/>
            </w:tcMar>
          </w:tcPr>
          <w:p>
            <w:pPr>
              <w:jc w:val="left"/>
            </w:pPr>
            <w:r>
              <w:rPr>
                <w:b w:val="false"/>
                <w:bCs w:val="false"/>
                <w:color w:val="1E293B"/>
                <w:sz w:val="18"/>
                <w:szCs w:val="18"/>
              </w:rPr>
              <w:t xml:space="preserve">F</w:t>
            </w:r>
          </w:p>
        </w:tc>
        <w:tc>
          <w:tcPr>
            <w:tcW w:type="dxa" w:w="2160"/>
            <w:shd w:fill="FFFFFF" w:val="clear"/>
            <w:tcMar>
              <w:top w:type="dxa" w:w="80"/>
              <w:left w:type="dxa" w:w="120"/>
              <w:bottom w:type="dxa" w:w="80"/>
              <w:right w:type="dxa" w:w="120"/>
            </w:tcMar>
          </w:tcPr>
          <w:p>
            <w:pPr>
              <w:jc w:val="left"/>
            </w:pPr>
            <w:r>
              <w:rPr>
                <w:b w:val="false"/>
                <w:bCs w:val="false"/>
                <w:color w:val="1E293B"/>
                <w:sz w:val="18"/>
                <w:szCs w:val="18"/>
              </w:rPr>
              <w:t xml:space="preserve">40.62%</w:t>
            </w:r>
          </w:p>
        </w:tc>
      </w:tr>
      <w:tr>
        <w:tc>
          <w:tcPr>
            <w:tcW w:type="dxa" w:w="2400"/>
            <w:shd w:fill="F4F6F9" w:val="clear"/>
            <w:tcMar>
              <w:top w:type="dxa" w:w="80"/>
              <w:left w:type="dxa" w:w="120"/>
              <w:bottom w:type="dxa" w:w="80"/>
              <w:right w:type="dxa" w:w="120"/>
            </w:tcMar>
          </w:tcPr>
          <w:p>
            <w:pPr>
              <w:jc w:val="left"/>
            </w:pPr>
            <w:r>
              <w:rPr>
                <w:b w:val="false"/>
                <w:bCs w:val="false"/>
                <w:color w:val="1E293B"/>
                <w:sz w:val="18"/>
                <w:szCs w:val="18"/>
              </w:rPr>
              <w:t xml:space="preserve">C</w:t>
            </w:r>
          </w:p>
        </w:tc>
        <w:tc>
          <w:tcPr>
            <w:tcW w:type="dxa" w:w="2400"/>
            <w:shd w:fill="F4F6F9" w:val="clear"/>
            <w:tcMar>
              <w:top w:type="dxa" w:w="80"/>
              <w:left w:type="dxa" w:w="120"/>
              <w:bottom w:type="dxa" w:w="80"/>
              <w:right w:type="dxa" w:w="120"/>
            </w:tcMar>
          </w:tcPr>
          <w:p>
            <w:pPr>
              <w:jc w:val="left"/>
            </w:pPr>
            <w:r>
              <w:rPr>
                <w:b w:val="false"/>
                <w:bCs w:val="false"/>
                <w:color w:val="1E293B"/>
                <w:sz w:val="18"/>
                <w:szCs w:val="18"/>
              </w:rPr>
              <w:t xml:space="preserve">20.90%</w:t>
            </w:r>
          </w:p>
        </w:tc>
        <w:tc>
          <w:tcPr>
            <w:tcW w:type="dxa" w:w="2400"/>
            <w:shd w:fill="F4F6F9" w:val="clear"/>
            <w:tcMar>
              <w:top w:type="dxa" w:w="80"/>
              <w:left w:type="dxa" w:w="120"/>
              <w:bottom w:type="dxa" w:w="80"/>
              <w:right w:type="dxa" w:w="120"/>
            </w:tcMar>
          </w:tcPr>
          <w:p>
            <w:pPr>
              <w:jc w:val="left"/>
            </w:pPr>
            <w:r>
              <w:rPr>
                <w:b w:val="false"/>
                <w:bCs w:val="false"/>
                <w:color w:val="1E293B"/>
                <w:sz w:val="18"/>
                <w:szCs w:val="18"/>
              </w:rPr>
              <w:t xml:space="preserve">G</w:t>
            </w:r>
          </w:p>
        </w:tc>
        <w:tc>
          <w:tcPr>
            <w:tcW w:type="dxa" w:w="2160"/>
            <w:shd w:fill="F4F6F9" w:val="clear"/>
            <w:tcMar>
              <w:top w:type="dxa" w:w="80"/>
              <w:left w:type="dxa" w:w="120"/>
              <w:bottom w:type="dxa" w:w="80"/>
              <w:right w:type="dxa" w:w="120"/>
            </w:tcMar>
          </w:tcPr>
          <w:p>
            <w:pPr>
              <w:jc w:val="left"/>
            </w:pPr>
            <w:r>
              <w:rPr>
                <w:b w:val="false"/>
                <w:bCs w:val="false"/>
                <w:color w:val="1E293B"/>
                <w:sz w:val="18"/>
                <w:szCs w:val="18"/>
              </w:rPr>
              <w:t xml:space="preserve">43.73%</w:t>
            </w:r>
          </w:p>
        </w:tc>
      </w:tr>
      <w:tr>
        <w:tc>
          <w:tcPr>
            <w:tcW w:type="dxa" w:w="2400"/>
            <w:shd w:fill="FFFFFF" w:val="clear"/>
            <w:tcMar>
              <w:top w:type="dxa" w:w="80"/>
              <w:left w:type="dxa" w:w="120"/>
              <w:bottom w:type="dxa" w:w="80"/>
              <w:right w:type="dxa" w:w="120"/>
            </w:tcMar>
          </w:tcPr>
          <w:p>
            <w:pPr>
              <w:jc w:val="left"/>
            </w:pPr>
            <w:r>
              <w:rPr>
                <w:b w:val="false"/>
                <w:bCs w:val="false"/>
                <w:color w:val="1E293B"/>
                <w:sz w:val="18"/>
                <w:szCs w:val="18"/>
              </w:rPr>
              <w:t xml:space="preserve">D</w:t>
            </w:r>
          </w:p>
        </w:tc>
        <w:tc>
          <w:tcPr>
            <w:tcW w:type="dxa" w:w="2400"/>
            <w:shd w:fill="FFFFFF" w:val="clear"/>
            <w:tcMar>
              <w:top w:type="dxa" w:w="80"/>
              <w:left w:type="dxa" w:w="120"/>
              <w:bottom w:type="dxa" w:w="80"/>
              <w:right w:type="dxa" w:w="120"/>
            </w:tcMar>
          </w:tcPr>
          <w:p>
            <w:pPr>
              <w:jc w:val="left"/>
            </w:pPr>
            <w:r>
              <w:rPr>
                <w:b w:val="false"/>
                <w:bCs w:val="false"/>
                <w:color w:val="1E293B"/>
                <w:sz w:val="18"/>
                <w:szCs w:val="18"/>
              </w:rPr>
              <w:t xml:space="preserve">27.45%</w:t>
            </w:r>
          </w:p>
        </w:tc>
        <w:tc>
          <w:tcPr>
            <w:tcW w:type="dxa" w:w="2400"/>
            <w:shd w:fill="FFFFFF" w:val="clear"/>
            <w:tcMar>
              <w:top w:type="dxa" w:w="80"/>
              <w:left w:type="dxa" w:w="120"/>
              <w:bottom w:type="dxa" w:w="80"/>
              <w:right w:type="dxa" w:w="120"/>
            </w:tcMar>
          </w:tcPr>
          <w:p>
            <w:pPr>
              <w:jc w:val="left"/>
            </w:pPr>
            <w:r>
              <w:rPr>
                <w:b w:val="false"/>
                <w:bCs w:val="false"/>
                <w:color w:val="1E293B"/>
                <w:sz w:val="18"/>
                <w:szCs w:val="18"/>
              </w:rPr>
              <w:t xml:space="preserve">—</w:t>
            </w:r>
          </w:p>
        </w:tc>
        <w:tc>
          <w:tcPr>
            <w:tcW w:type="dxa" w:w="2160"/>
            <w:shd w:fill="FFFFFF" w:val="clear"/>
            <w:tcMar>
              <w:top w:type="dxa" w:w="80"/>
              <w:left w:type="dxa" w:w="120"/>
              <w:bottom w:type="dxa" w:w="80"/>
              <w:right w:type="dxa" w:w="120"/>
            </w:tcMar>
          </w:tcPr>
          <w:p>
            <w:pPr>
              <w:jc w:val="left"/>
            </w:pPr>
            <w:r>
              <w:rPr>
                <w:b w:val="false"/>
                <w:bCs w:val="false"/>
                <w:color w:val="1E293B"/>
                <w:sz w:val="18"/>
                <w:szCs w:val="18"/>
              </w:rPr>
              <w:t xml:space="preserve">—</w:t>
            </w:r>
          </w:p>
        </w:tc>
      </w:tr>
    </w:tbl>
    <w:p>
      <w:pPr>
        <w:spacing w:after="160"/>
      </w:pPr>
    </w:p>
    <w:p>
      <w:pPr>
        <w:spacing w:after="100"/>
        <w:jc w:val="both"/>
      </w:pPr>
      <w:r>
        <w:rPr>
          <w:color w:val="1E293B"/>
          <w:sz w:val="20"/>
          <w:szCs w:val="20"/>
        </w:rPr>
        <w:t xml:space="preserve">Interest rate increases in near-lockstep with grade — the two features encode the same risk signal from different angles. Sub-grade refines this into 35 finer categories with equally clean monotonic behaviour.</w:t>
      </w:r>
    </w:p>
    <w:p>
      <w:pPr>
        <w:pBdr>
          <w:bottom w:val="single" w:color="1E2761" w:sz="6"/>
        </w:pBdr>
        <w:spacing w:after="120" w:before="400"/>
      </w:pPr>
      <w:r>
        <w:rPr>
          <w:b/>
          <w:bCs/>
          <w:color w:val="1E2761"/>
          <w:sz w:val="30"/>
          <w:szCs w:val="30"/>
        </w:rPr>
        <w:t xml:space="preserve">6. Employment Length</w:t>
      </w:r>
    </w:p>
    <w:p>
      <w:pPr>
        <w:spacing w:after="100"/>
        <w:jc w:val="both"/>
      </w:pPr>
      <w:r>
        <w:rPr>
          <w:color w:val="1E293B"/>
          <w:sz w:val="20"/>
          <w:szCs w:val="20"/>
        </w:rPr>
        <w:t xml:space="preserve">Employment length shows no meaningful relationship with default risk. Every category from "&lt; 1 year" to "10+ years" produces a default rate hovering between 18–20%, with no monotonic trend and no separation between groups. This is one of the weakest features in the dataset.</w:t>
      </w:r>
    </w:p>
    <w:p>
      <w:pPr>
        <w:spacing w:after="80"/>
      </w:pPr>
    </w:p>
    <w:p>
      <w:pPr>
        <w:spacing w:after="80"/>
        <w:jc w:val="center"/>
      </w:pPr>
      <w:r>
        <w:drawing>
          <wp:inline distT="0" distB="0" distL="0" distR="0">
            <wp:extent cx="5524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2667000"/>
                    </a:xfrm>
                    <a:prstGeom prst="rect">
                      <a:avLst/>
                    </a:prstGeom>
                  </pic:spPr>
                </pic:pic>
              </a:graphicData>
            </a:graphic>
          </wp:inline>
        </w:drawing>
      </w:r>
    </w:p>
    <w:p>
      <w:pPr>
        <w:spacing w:after="120"/>
        <w:jc w:val="center"/>
      </w:pPr>
      <w:r>
        <w:rPr>
          <w:i/>
          <w:iCs/>
          <w:color w:val="64748B"/>
          <w:sz w:val="17"/>
          <w:szCs w:val="17"/>
        </w:rPr>
        <w:t xml:space="preserve">Figure 8: Employment length distribution and default rate — flat across all categories</w:t>
      </w:r>
    </w:p>
    <w:p>
      <w:pPr>
        <w:spacing w:after="120"/>
      </w:pPr>
    </w:p>
    <w:p>
      <w:pPr>
        <w:spacing w:after="100"/>
        <w:jc w:val="both"/>
      </w:pPr>
      <w:r>
        <w:rPr>
          <w:color w:val="1E293B"/>
          <w:sz w:val="20"/>
          <w:szCs w:val="20"/>
        </w:rPr>
        <w:t xml:space="preserve">The only exception is the UNKNOWN category (27.1% default rate), representing borrowers whose employment is unverifiable. This single category was retained as a binary flag (emp_status_unverifiable) for modelling while the rest of emp_length was effectively discarded.</w:t>
      </w:r>
    </w:p>
    <w:p>
      <w:pPr>
        <w:pBdr>
          <w:bottom w:val="single" w:color="1E2761" w:sz="6"/>
        </w:pBdr>
        <w:spacing w:after="120" w:before="400"/>
      </w:pPr>
      <w:r>
        <w:rPr>
          <w:b/>
          <w:bCs/>
          <w:color w:val="1E2761"/>
          <w:sz w:val="30"/>
          <w:szCs w:val="30"/>
        </w:rPr>
        <w:t xml:space="preserve">7. Home Ownership</w:t>
      </w:r>
    </w:p>
    <w:p>
      <w:pPr>
        <w:spacing w:after="100"/>
        <w:jc w:val="both"/>
      </w:pPr>
      <w:r>
        <w:rPr>
          <w:color w:val="1E293B"/>
          <w:sz w:val="20"/>
          <w:szCs w:val="20"/>
        </w:rPr>
        <w:t xml:space="preserve">The rare categories OTHER, NONE, and ANY were merged into UNSPECIFIED (~0.1% of data) to reduce noise. Mortgage holders default least frequently while renters default most — a 3–4 percentage point range across categories.</w:t>
      </w:r>
    </w:p>
    <w:p>
      <w:pPr>
        <w:spacing w:after="80"/>
      </w:pPr>
    </w:p>
    <w:p>
      <w:pPr>
        <w:spacing w:after="80"/>
        <w:jc w:val="center"/>
      </w:pPr>
      <w:r>
        <w:drawing>
          <wp:inline distT="0" distB="0" distL="0" distR="0">
            <wp:extent cx="5524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2667000"/>
                    </a:xfrm>
                    <a:prstGeom prst="rect">
                      <a:avLst/>
                    </a:prstGeom>
                  </pic:spPr>
                </pic:pic>
              </a:graphicData>
            </a:graphic>
          </wp:inline>
        </w:drawing>
      </w:r>
    </w:p>
    <w:p>
      <w:pPr>
        <w:spacing w:after="120"/>
        <w:jc w:val="center"/>
      </w:pPr>
      <w:r>
        <w:rPr>
          <w:i/>
          <w:iCs/>
          <w:color w:val="64748B"/>
          <w:sz w:val="17"/>
          <w:szCs w:val="17"/>
        </w:rPr>
        <w:t xml:space="preserve">Figure 9: Home ownership count and default rate by category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200"/>
            <w:shd w:fill="1E2761" w:val="clear"/>
            <w:tcMar>
              <w:top w:type="dxa" w:w="80"/>
              <w:left w:type="dxa" w:w="120"/>
              <w:bottom w:type="dxa" w:w="80"/>
              <w:right w:type="dxa" w:w="120"/>
            </w:tcMar>
          </w:tcPr>
          <w:p>
            <w:pPr>
              <w:jc w:val="left"/>
            </w:pPr>
            <w:r>
              <w:rPr>
                <w:b/>
                <w:bCs/>
                <w:color w:val="FFFFFF"/>
                <w:sz w:val="18"/>
                <w:szCs w:val="18"/>
              </w:rPr>
              <w:t xml:space="preserve">Category</w:t>
            </w:r>
          </w:p>
        </w:tc>
        <w:tc>
          <w:tcPr>
            <w:tcW w:type="dxa" w:w="6160"/>
            <w:shd w:fill="1E2761" w:val="clear"/>
            <w:tcMar>
              <w:top w:type="dxa" w:w="80"/>
              <w:left w:type="dxa" w:w="120"/>
              <w:bottom w:type="dxa" w:w="80"/>
              <w:right w:type="dxa" w:w="120"/>
            </w:tcMar>
          </w:tcPr>
          <w:p>
            <w:pPr>
              <w:jc w:val="left"/>
            </w:pPr>
            <w:r>
              <w:rPr>
                <w:b/>
                <w:bCs/>
                <w:color w:val="FFFFFF"/>
                <w:sz w:val="18"/>
                <w:szCs w:val="18"/>
              </w:rPr>
              <w:t xml:space="preserve">Default Rate</w:t>
            </w:r>
          </w:p>
        </w:tc>
      </w:tr>
      <w:tr>
        <w:tc>
          <w:tcPr>
            <w:tcW w:type="dxa" w:w="3200"/>
            <w:shd w:fill="F4F6F9" w:val="clear"/>
            <w:tcMar>
              <w:top w:type="dxa" w:w="80"/>
              <w:left w:type="dxa" w:w="120"/>
              <w:bottom w:type="dxa" w:w="80"/>
              <w:right w:type="dxa" w:w="120"/>
            </w:tcMar>
          </w:tcPr>
          <w:p>
            <w:pPr>
              <w:jc w:val="left"/>
            </w:pPr>
            <w:r>
              <w:rPr>
                <w:b w:val="false"/>
                <w:bCs w:val="false"/>
                <w:color w:val="1E293B"/>
                <w:sz w:val="18"/>
                <w:szCs w:val="18"/>
              </w:rPr>
              <w:t xml:space="preserve">MORTGAGE</w:t>
            </w:r>
          </w:p>
        </w:tc>
        <w:tc>
          <w:tcPr>
            <w:tcW w:type="dxa" w:w="6160"/>
            <w:shd w:fill="F4F6F9" w:val="clear"/>
            <w:tcMar>
              <w:top w:type="dxa" w:w="80"/>
              <w:left w:type="dxa" w:w="120"/>
              <w:bottom w:type="dxa" w:w="80"/>
              <w:right w:type="dxa" w:w="120"/>
            </w:tcMar>
          </w:tcPr>
          <w:p>
            <w:pPr>
              <w:jc w:val="left"/>
            </w:pPr>
            <w:r>
              <w:rPr>
                <w:b w:val="false"/>
                <w:bCs w:val="false"/>
                <w:color w:val="1E293B"/>
                <w:sz w:val="18"/>
                <w:szCs w:val="18"/>
              </w:rPr>
              <w:t xml:space="preserve">17.09%</w:t>
            </w:r>
          </w:p>
        </w:tc>
      </w:tr>
      <w:tr>
        <w:tc>
          <w:tcPr>
            <w:tcW w:type="dxa" w:w="3200"/>
            <w:shd w:fill="FFFFFF" w:val="clear"/>
            <w:tcMar>
              <w:top w:type="dxa" w:w="80"/>
              <w:left w:type="dxa" w:w="120"/>
              <w:bottom w:type="dxa" w:w="80"/>
              <w:right w:type="dxa" w:w="120"/>
            </w:tcMar>
          </w:tcPr>
          <w:p>
            <w:pPr>
              <w:jc w:val="left"/>
            </w:pPr>
            <w:r>
              <w:rPr>
                <w:b w:val="false"/>
                <w:bCs w:val="false"/>
                <w:color w:val="1E293B"/>
                <w:sz w:val="18"/>
                <w:szCs w:val="18"/>
              </w:rPr>
              <w:t xml:space="preserve">OWN</w:t>
            </w:r>
          </w:p>
        </w:tc>
        <w:tc>
          <w:tcPr>
            <w:tcW w:type="dxa" w:w="6160"/>
            <w:shd w:fill="FFFFFF" w:val="clear"/>
            <w:tcMar>
              <w:top w:type="dxa" w:w="80"/>
              <w:left w:type="dxa" w:w="120"/>
              <w:bottom w:type="dxa" w:w="80"/>
              <w:right w:type="dxa" w:w="120"/>
            </w:tcMar>
          </w:tcPr>
          <w:p>
            <w:pPr>
              <w:jc w:val="left"/>
            </w:pPr>
            <w:r>
              <w:rPr>
                <w:b w:val="false"/>
                <w:bCs w:val="false"/>
                <w:color w:val="1E293B"/>
                <w:sz w:val="18"/>
                <w:szCs w:val="18"/>
              </w:rPr>
              <w:t xml:space="preserve">19.75%</w:t>
            </w:r>
          </w:p>
        </w:tc>
      </w:tr>
      <w:tr>
        <w:tc>
          <w:tcPr>
            <w:tcW w:type="dxa" w:w="3200"/>
            <w:shd w:fill="F4F6F9" w:val="clear"/>
            <w:tcMar>
              <w:top w:type="dxa" w:w="80"/>
              <w:left w:type="dxa" w:w="120"/>
              <w:bottom w:type="dxa" w:w="80"/>
              <w:right w:type="dxa" w:w="120"/>
            </w:tcMar>
          </w:tcPr>
          <w:p>
            <w:pPr>
              <w:jc w:val="left"/>
            </w:pPr>
            <w:r>
              <w:rPr>
                <w:b w:val="false"/>
                <w:bCs w:val="false"/>
                <w:color w:val="1E293B"/>
                <w:sz w:val="18"/>
                <w:szCs w:val="18"/>
              </w:rPr>
              <w:t xml:space="preserve">RENT</w:t>
            </w:r>
          </w:p>
        </w:tc>
        <w:tc>
          <w:tcPr>
            <w:tcW w:type="dxa" w:w="6160"/>
            <w:shd w:fill="F4F6F9" w:val="clear"/>
            <w:tcMar>
              <w:top w:type="dxa" w:w="80"/>
              <w:left w:type="dxa" w:w="120"/>
              <w:bottom w:type="dxa" w:w="80"/>
              <w:right w:type="dxa" w:w="120"/>
            </w:tcMar>
          </w:tcPr>
          <w:p>
            <w:pPr>
              <w:jc w:val="left"/>
            </w:pPr>
            <w:r>
              <w:rPr>
                <w:b w:val="false"/>
                <w:bCs w:val="false"/>
                <w:color w:val="1E293B"/>
                <w:sz w:val="18"/>
                <w:szCs w:val="18"/>
              </w:rPr>
              <w:t xml:space="preserve">20.99%</w:t>
            </w:r>
          </w:p>
        </w:tc>
      </w:tr>
      <w:tr>
        <w:tc>
          <w:tcPr>
            <w:tcW w:type="dxa" w:w="3200"/>
            <w:shd w:fill="FFFFFF" w:val="clear"/>
            <w:tcMar>
              <w:top w:type="dxa" w:w="80"/>
              <w:left w:type="dxa" w:w="120"/>
              <w:bottom w:type="dxa" w:w="80"/>
              <w:right w:type="dxa" w:w="120"/>
            </w:tcMar>
          </w:tcPr>
          <w:p>
            <w:pPr>
              <w:jc w:val="left"/>
            </w:pPr>
            <w:r>
              <w:rPr>
                <w:b w:val="false"/>
                <w:bCs w:val="false"/>
                <w:color w:val="1E293B"/>
                <w:sz w:val="18"/>
                <w:szCs w:val="18"/>
              </w:rPr>
              <w:t xml:space="preserve">UNSPECIFIED</w:t>
            </w:r>
          </w:p>
        </w:tc>
        <w:tc>
          <w:tcPr>
            <w:tcW w:type="dxa" w:w="6160"/>
            <w:shd w:fill="FFFFFF" w:val="clear"/>
            <w:tcMar>
              <w:top w:type="dxa" w:w="80"/>
              <w:left w:type="dxa" w:w="120"/>
              <w:bottom w:type="dxa" w:w="80"/>
              <w:right w:type="dxa" w:w="120"/>
            </w:tcMar>
          </w:tcPr>
          <w:p>
            <w:pPr>
              <w:jc w:val="left"/>
            </w:pPr>
            <w:r>
              <w:rPr>
                <w:b w:val="false"/>
                <w:bCs w:val="false"/>
                <w:color w:val="1E293B"/>
                <w:sz w:val="18"/>
                <w:szCs w:val="18"/>
              </w:rPr>
              <w:t xml:space="preserve">20.18%</w:t>
            </w:r>
          </w:p>
        </w:tc>
      </w:tr>
    </w:tbl>
    <w:p>
      <w:pPr>
        <w:spacing w:after="160"/>
      </w:pPr>
    </w:p>
    <w:p>
      <w:pPr>
        <w:spacing w:after="100"/>
        <w:jc w:val="both"/>
      </w:pPr>
      <w:r>
        <w:rPr>
          <w:color w:val="1E293B"/>
          <w:sz w:val="20"/>
          <w:szCs w:val="20"/>
        </w:rPr>
        <w:t xml:space="preserve">While the signal exists, the 3.9 percentage point gap between mortgage and rent is modest compared to grade (37.2pp gap). Home ownership is a moderate predictor — useful as a supporting feature but not dominant.</w:t>
      </w:r>
    </w:p>
    <w:p>
      <w:pPr>
        <w:pBdr>
          <w:bottom w:val="single" w:color="1E2761" w:sz="6"/>
        </w:pBdr>
        <w:spacing w:after="120" w:before="400"/>
      </w:pPr>
      <w:r>
        <w:rPr>
          <w:b/>
          <w:bCs/>
          <w:color w:val="1E2761"/>
          <w:sz w:val="30"/>
          <w:szCs w:val="30"/>
        </w:rPr>
        <w:t xml:space="preserve">8. Annual Income</w:t>
      </w:r>
    </w:p>
    <w:p>
      <w:pPr>
        <w:spacing w:after="100"/>
        <w:jc w:val="both"/>
      </w:pPr>
      <w:r>
        <w:rPr>
          <w:color w:val="1E293B"/>
          <w:sz w:val="20"/>
          <w:szCs w:val="20"/>
        </w:rPr>
        <w:t xml:space="preserve">Annual income is highly right-skewed (mean $73,283 vs median $63,000), with the distribution normalising substantially after log-transformation. A clear negative gradient exists — higher income consistently predicts lower default risk.</w:t>
      </w:r>
    </w:p>
    <w:p>
      <w:pPr>
        <w:spacing w:after="80"/>
      </w:pPr>
    </w:p>
    <w:p>
      <w:pPr>
        <w:spacing w:after="80"/>
        <w:jc w:val="center"/>
      </w:pPr>
      <w:r>
        <w:drawing>
          <wp:inline distT="0" distB="0" distL="0" distR="0">
            <wp:extent cx="5524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2667000"/>
                    </a:xfrm>
                    <a:prstGeom prst="rect">
                      <a:avLst/>
                    </a:prstGeom>
                  </pic:spPr>
                </pic:pic>
              </a:graphicData>
            </a:graphic>
          </wp:inline>
        </w:drawing>
      </w:r>
    </w:p>
    <w:p>
      <w:pPr>
        <w:spacing w:after="120"/>
        <w:jc w:val="center"/>
      </w:pPr>
      <w:r>
        <w:rPr>
          <w:i/>
          <w:iCs/>
          <w:color w:val="64748B"/>
          <w:sz w:val="17"/>
          <w:szCs w:val="17"/>
        </w:rPr>
        <w:t xml:space="preserve">Figure 10: Annual income distribution (raw and log-transformed)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200"/>
            <w:shd w:fill="1E2761" w:val="clear"/>
            <w:tcMar>
              <w:top w:type="dxa" w:w="80"/>
              <w:left w:type="dxa" w:w="120"/>
              <w:bottom w:type="dxa" w:w="80"/>
              <w:right w:type="dxa" w:w="120"/>
            </w:tcMar>
          </w:tcPr>
          <w:p>
            <w:pPr>
              <w:jc w:val="left"/>
            </w:pPr>
            <w:r>
              <w:rPr>
                <w:b/>
                <w:bCs/>
                <w:color w:val="FFFFFF"/>
                <w:sz w:val="18"/>
                <w:szCs w:val="18"/>
              </w:rPr>
              <w:t xml:space="preserve">Income Bracket</w:t>
            </w:r>
          </w:p>
        </w:tc>
        <w:tc>
          <w:tcPr>
            <w:tcW w:type="dxa" w:w="6160"/>
            <w:shd w:fill="1E2761" w:val="clear"/>
            <w:tcMar>
              <w:top w:type="dxa" w:w="80"/>
              <w:left w:type="dxa" w:w="120"/>
              <w:bottom w:type="dxa" w:w="80"/>
              <w:right w:type="dxa" w:w="120"/>
            </w:tcMar>
          </w:tcPr>
          <w:p>
            <w:pPr>
              <w:jc w:val="left"/>
            </w:pPr>
            <w:r>
              <w:rPr>
                <w:b/>
                <w:bCs/>
                <w:color w:val="FFFFFF"/>
                <w:sz w:val="18"/>
                <w:szCs w:val="18"/>
              </w:rPr>
              <w:t xml:space="preserve">Default Rate</w:t>
            </w:r>
          </w:p>
        </w:tc>
      </w:tr>
      <w:tr>
        <w:tc>
          <w:tcPr>
            <w:tcW w:type="dxa" w:w="3200"/>
            <w:shd w:fill="F4F6F9" w:val="clear"/>
            <w:tcMar>
              <w:top w:type="dxa" w:w="80"/>
              <w:left w:type="dxa" w:w="120"/>
              <w:bottom w:type="dxa" w:w="80"/>
              <w:right w:type="dxa" w:w="120"/>
            </w:tcMar>
          </w:tcPr>
          <w:p>
            <w:pPr>
              <w:jc w:val="left"/>
            </w:pPr>
            <w:r>
              <w:rPr>
                <w:b w:val="false"/>
                <w:bCs w:val="false"/>
                <w:color w:val="1E293B"/>
                <w:sz w:val="18"/>
                <w:szCs w:val="18"/>
              </w:rPr>
              <w:t xml:space="preserve">&lt; $40,000</w:t>
            </w:r>
          </w:p>
        </w:tc>
        <w:tc>
          <w:tcPr>
            <w:tcW w:type="dxa" w:w="6160"/>
            <w:shd w:fill="F4F6F9" w:val="clear"/>
            <w:tcMar>
              <w:top w:type="dxa" w:w="80"/>
              <w:left w:type="dxa" w:w="120"/>
              <w:bottom w:type="dxa" w:w="80"/>
              <w:right w:type="dxa" w:w="120"/>
            </w:tcMar>
          </w:tcPr>
          <w:p>
            <w:pPr>
              <w:jc w:val="left"/>
            </w:pPr>
            <w:r>
              <w:rPr>
                <w:b w:val="false"/>
                <w:bCs w:val="false"/>
                <w:color w:val="1E293B"/>
                <w:sz w:val="18"/>
                <w:szCs w:val="18"/>
              </w:rPr>
              <w:t xml:space="preserve">24.05%</w:t>
            </w:r>
          </w:p>
        </w:tc>
      </w:tr>
      <w:tr>
        <w:tc>
          <w:tcPr>
            <w:tcW w:type="dxa" w:w="3200"/>
            <w:shd w:fill="FFFFFF" w:val="clear"/>
            <w:tcMar>
              <w:top w:type="dxa" w:w="80"/>
              <w:left w:type="dxa" w:w="120"/>
              <w:bottom w:type="dxa" w:w="80"/>
              <w:right w:type="dxa" w:w="120"/>
            </w:tcMar>
          </w:tcPr>
          <w:p>
            <w:pPr>
              <w:jc w:val="left"/>
            </w:pPr>
            <w:r>
              <w:rPr>
                <w:b w:val="false"/>
                <w:bCs w:val="false"/>
                <w:color w:val="1E293B"/>
                <w:sz w:val="18"/>
                <w:szCs w:val="18"/>
              </w:rPr>
              <w:t xml:space="preserve">$40,000 – $80,000</w:t>
            </w:r>
          </w:p>
        </w:tc>
        <w:tc>
          <w:tcPr>
            <w:tcW w:type="dxa" w:w="6160"/>
            <w:shd w:fill="FFFFFF" w:val="clear"/>
            <w:tcMar>
              <w:top w:type="dxa" w:w="80"/>
              <w:left w:type="dxa" w:w="120"/>
              <w:bottom w:type="dxa" w:w="80"/>
              <w:right w:type="dxa" w:w="120"/>
            </w:tcMar>
          </w:tcPr>
          <w:p>
            <w:pPr>
              <w:jc w:val="left"/>
            </w:pPr>
            <w:r>
              <w:rPr>
                <w:b w:val="false"/>
                <w:bCs w:val="false"/>
                <w:color w:val="1E293B"/>
                <w:sz w:val="18"/>
                <w:szCs w:val="18"/>
              </w:rPr>
              <w:t xml:space="preserve">19.61%</w:t>
            </w:r>
          </w:p>
        </w:tc>
      </w:tr>
      <w:tr>
        <w:tc>
          <w:tcPr>
            <w:tcW w:type="dxa" w:w="3200"/>
            <w:shd w:fill="F4F6F9" w:val="clear"/>
            <w:tcMar>
              <w:top w:type="dxa" w:w="80"/>
              <w:left w:type="dxa" w:w="120"/>
              <w:bottom w:type="dxa" w:w="80"/>
              <w:right w:type="dxa" w:w="120"/>
            </w:tcMar>
          </w:tcPr>
          <w:p>
            <w:pPr>
              <w:jc w:val="left"/>
            </w:pPr>
            <w:r>
              <w:rPr>
                <w:b w:val="false"/>
                <w:bCs w:val="false"/>
                <w:color w:val="1E293B"/>
                <w:sz w:val="18"/>
                <w:szCs w:val="18"/>
              </w:rPr>
              <w:t xml:space="preserve">$80,000 – $120,000</w:t>
            </w:r>
          </w:p>
        </w:tc>
        <w:tc>
          <w:tcPr>
            <w:tcW w:type="dxa" w:w="6160"/>
            <w:shd w:fill="F4F6F9" w:val="clear"/>
            <w:tcMar>
              <w:top w:type="dxa" w:w="80"/>
              <w:left w:type="dxa" w:w="120"/>
              <w:bottom w:type="dxa" w:w="80"/>
              <w:right w:type="dxa" w:w="120"/>
            </w:tcMar>
          </w:tcPr>
          <w:p>
            <w:pPr>
              <w:jc w:val="left"/>
            </w:pPr>
            <w:r>
              <w:rPr>
                <w:b w:val="false"/>
                <w:bCs w:val="false"/>
                <w:color w:val="1E293B"/>
                <w:sz w:val="18"/>
                <w:szCs w:val="18"/>
              </w:rPr>
              <w:t xml:space="preserve">14.91%</w:t>
            </w:r>
          </w:p>
        </w:tc>
      </w:tr>
      <w:tr>
        <w:tc>
          <w:tcPr>
            <w:tcW w:type="dxa" w:w="3200"/>
            <w:shd w:fill="FFFFFF" w:val="clear"/>
            <w:tcMar>
              <w:top w:type="dxa" w:w="80"/>
              <w:left w:type="dxa" w:w="120"/>
              <w:bottom w:type="dxa" w:w="80"/>
              <w:right w:type="dxa" w:w="120"/>
            </w:tcMar>
          </w:tcPr>
          <w:p>
            <w:pPr>
              <w:jc w:val="left"/>
            </w:pPr>
            <w:r>
              <w:rPr>
                <w:b w:val="false"/>
                <w:bCs w:val="false"/>
                <w:color w:val="1E293B"/>
                <w:sz w:val="18"/>
                <w:szCs w:val="18"/>
              </w:rPr>
              <w:t xml:space="preserve">&gt; $120,000</w:t>
            </w:r>
          </w:p>
        </w:tc>
        <w:tc>
          <w:tcPr>
            <w:tcW w:type="dxa" w:w="6160"/>
            <w:shd w:fill="FFFFFF" w:val="clear"/>
            <w:tcMar>
              <w:top w:type="dxa" w:w="80"/>
              <w:left w:type="dxa" w:w="120"/>
              <w:bottom w:type="dxa" w:w="80"/>
              <w:right w:type="dxa" w:w="120"/>
            </w:tcMar>
          </w:tcPr>
          <w:p>
            <w:pPr>
              <w:jc w:val="left"/>
            </w:pPr>
            <w:r>
              <w:rPr>
                <w:b w:val="false"/>
                <w:bCs w:val="false"/>
                <w:color w:val="1E293B"/>
                <w:sz w:val="18"/>
                <w:szCs w:val="18"/>
              </w:rPr>
              <w:t xml:space="preserve">13.16%</w:t>
            </w:r>
          </w:p>
        </w:tc>
      </w:tr>
    </w:tbl>
    <w:p>
      <w:pPr>
        <w:pBdr>
          <w:bottom w:val="single" w:color="1E2761" w:sz="6"/>
        </w:pBdr>
        <w:spacing w:after="120" w:before="400"/>
      </w:pPr>
      <w:r>
        <w:rPr>
          <w:b/>
          <w:bCs/>
          <w:color w:val="1E2761"/>
          <w:sz w:val="30"/>
          <w:szCs w:val="30"/>
        </w:rPr>
        <w:t xml:space="preserve">9. Loan Purpose</w:t>
      </w:r>
    </w:p>
    <w:p>
      <w:pPr>
        <w:spacing w:after="100"/>
        <w:jc w:val="both"/>
      </w:pPr>
      <w:r>
        <w:rPr>
          <w:color w:val="1E293B"/>
          <w:sz w:val="20"/>
          <w:szCs w:val="20"/>
        </w:rPr>
        <w:t xml:space="preserve">The original 13 purpose categories were grouped into 5 business-oriented groups to reduce noise and improve model stability. Business &amp; Education carries the highest default risk while Vehicle &amp; Major Purchases carries the lowest.</w:t>
      </w:r>
    </w:p>
    <w:p>
      <w:pPr>
        <w:spacing w:after="80"/>
      </w:pPr>
    </w:p>
    <w:p>
      <w:pPr>
        <w:spacing w:after="80"/>
        <w:jc w:val="center"/>
      </w:pPr>
      <w:r>
        <w:drawing>
          <wp:inline distT="0" distB="0" distL="0" distR="0">
            <wp:extent cx="5524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2667000"/>
                    </a:xfrm>
                    <a:prstGeom prst="rect">
                      <a:avLst/>
                    </a:prstGeom>
                  </pic:spPr>
                </pic:pic>
              </a:graphicData>
            </a:graphic>
          </wp:inline>
        </w:drawing>
      </w:r>
    </w:p>
    <w:p>
      <w:pPr>
        <w:spacing w:after="120"/>
        <w:jc w:val="center"/>
      </w:pPr>
      <w:r>
        <w:rPr>
          <w:i/>
          <w:iCs/>
          <w:color w:val="64748B"/>
          <w:sz w:val="17"/>
          <w:szCs w:val="17"/>
        </w:rPr>
        <w:t xml:space="preserve">Figure 11: Default rate and count by purpose group</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000"/>
            <w:shd w:fill="1E2761" w:val="clear"/>
            <w:tcMar>
              <w:top w:type="dxa" w:w="80"/>
              <w:left w:type="dxa" w:w="120"/>
              <w:bottom w:type="dxa" w:w="80"/>
              <w:right w:type="dxa" w:w="120"/>
            </w:tcMar>
          </w:tcPr>
          <w:p>
            <w:pPr>
              <w:jc w:val="left"/>
            </w:pPr>
            <w:r>
              <w:rPr>
                <w:b/>
                <w:bCs/>
                <w:color w:val="FFFFFF"/>
                <w:sz w:val="18"/>
                <w:szCs w:val="18"/>
              </w:rPr>
              <w:t xml:space="preserve">Purpose Group</w:t>
            </w:r>
          </w:p>
        </w:tc>
        <w:tc>
          <w:tcPr>
            <w:tcW w:type="dxa" w:w="5360"/>
            <w:shd w:fill="1E2761" w:val="clear"/>
            <w:tcMar>
              <w:top w:type="dxa" w:w="80"/>
              <w:left w:type="dxa" w:w="120"/>
              <w:bottom w:type="dxa" w:w="80"/>
              <w:right w:type="dxa" w:w="120"/>
            </w:tcMar>
          </w:tcPr>
          <w:p>
            <w:pPr>
              <w:jc w:val="left"/>
            </w:pPr>
            <w:r>
              <w:rPr>
                <w:b/>
                <w:bCs/>
                <w:color w:val="FFFFFF"/>
                <w:sz w:val="18"/>
                <w:szCs w:val="18"/>
              </w:rPr>
              <w:t xml:space="preserve">Default Rate</w:t>
            </w:r>
          </w:p>
        </w:tc>
      </w:tr>
      <w:tr>
        <w:tc>
          <w:tcPr>
            <w:tcW w:type="dxa" w:w="4000"/>
            <w:shd w:fill="F4F6F9" w:val="clear"/>
            <w:tcMar>
              <w:top w:type="dxa" w:w="80"/>
              <w:left w:type="dxa" w:w="120"/>
              <w:bottom w:type="dxa" w:w="80"/>
              <w:right w:type="dxa" w:w="120"/>
            </w:tcMar>
          </w:tcPr>
          <w:p>
            <w:pPr>
              <w:jc w:val="left"/>
            </w:pPr>
            <w:r>
              <w:rPr>
                <w:b w:val="false"/>
                <w:bCs w:val="false"/>
                <w:color w:val="1E293B"/>
                <w:sz w:val="18"/>
                <w:szCs w:val="18"/>
              </w:rPr>
              <w:t xml:space="preserve">Business &amp; Education</w:t>
            </w:r>
          </w:p>
        </w:tc>
        <w:tc>
          <w:tcPr>
            <w:tcW w:type="dxa" w:w="5360"/>
            <w:shd w:fill="F4F6F9" w:val="clear"/>
            <w:tcMar>
              <w:top w:type="dxa" w:w="80"/>
              <w:left w:type="dxa" w:w="120"/>
              <w:bottom w:type="dxa" w:w="80"/>
              <w:right w:type="dxa" w:w="120"/>
            </w:tcMar>
          </w:tcPr>
          <w:p>
            <w:pPr>
              <w:jc w:val="left"/>
            </w:pPr>
            <w:r>
              <w:rPr>
                <w:b w:val="false"/>
                <w:bCs w:val="false"/>
                <w:color w:val="1E293B"/>
                <w:sz w:val="18"/>
                <w:szCs w:val="18"/>
              </w:rPr>
              <w:t xml:space="preserve">28.66%</w:t>
            </w:r>
          </w:p>
        </w:tc>
      </w:tr>
      <w:tr>
        <w:tc>
          <w:tcPr>
            <w:tcW w:type="dxa" w:w="4000"/>
            <w:shd w:fill="FFFFFF" w:val="clear"/>
            <w:tcMar>
              <w:top w:type="dxa" w:w="80"/>
              <w:left w:type="dxa" w:w="120"/>
              <w:bottom w:type="dxa" w:w="80"/>
              <w:right w:type="dxa" w:w="120"/>
            </w:tcMar>
          </w:tcPr>
          <w:p>
            <w:pPr>
              <w:jc w:val="left"/>
            </w:pPr>
            <w:r>
              <w:rPr>
                <w:b w:val="false"/>
                <w:bCs w:val="false"/>
                <w:color w:val="1E293B"/>
                <w:sz w:val="18"/>
                <w:szCs w:val="18"/>
              </w:rPr>
              <w:t xml:space="preserve">Personal Expenses</w:t>
            </w:r>
          </w:p>
        </w:tc>
        <w:tc>
          <w:tcPr>
            <w:tcW w:type="dxa" w:w="5360"/>
            <w:shd w:fill="FFFFFF" w:val="clear"/>
            <w:tcMar>
              <w:top w:type="dxa" w:w="80"/>
              <w:left w:type="dxa" w:w="120"/>
              <w:bottom w:type="dxa" w:w="80"/>
              <w:right w:type="dxa" w:w="120"/>
            </w:tcMar>
          </w:tcPr>
          <w:p>
            <w:pPr>
              <w:jc w:val="left"/>
            </w:pPr>
            <w:r>
              <w:rPr>
                <w:b w:val="false"/>
                <w:bCs w:val="false"/>
                <w:color w:val="1E293B"/>
                <w:sz w:val="18"/>
                <w:szCs w:val="18"/>
              </w:rPr>
              <w:t xml:space="preserve">20.48%</w:t>
            </w:r>
          </w:p>
        </w:tc>
      </w:tr>
      <w:tr>
        <w:tc>
          <w:tcPr>
            <w:tcW w:type="dxa" w:w="4000"/>
            <w:shd w:fill="F4F6F9" w:val="clear"/>
            <w:tcMar>
              <w:top w:type="dxa" w:w="80"/>
              <w:left w:type="dxa" w:w="120"/>
              <w:bottom w:type="dxa" w:w="80"/>
              <w:right w:type="dxa" w:w="120"/>
            </w:tcMar>
          </w:tcPr>
          <w:p>
            <w:pPr>
              <w:jc w:val="left"/>
            </w:pPr>
            <w:r>
              <w:rPr>
                <w:b w:val="false"/>
                <w:bCs w:val="false"/>
                <w:color w:val="1E293B"/>
                <w:sz w:val="18"/>
                <w:szCs w:val="18"/>
              </w:rPr>
              <w:t xml:space="preserve">Debt Management</w:t>
            </w:r>
          </w:p>
        </w:tc>
        <w:tc>
          <w:tcPr>
            <w:tcW w:type="dxa" w:w="5360"/>
            <w:shd w:fill="F4F6F9" w:val="clear"/>
            <w:tcMar>
              <w:top w:type="dxa" w:w="80"/>
              <w:left w:type="dxa" w:w="120"/>
              <w:bottom w:type="dxa" w:w="80"/>
              <w:right w:type="dxa" w:w="120"/>
            </w:tcMar>
          </w:tcPr>
          <w:p>
            <w:pPr>
              <w:jc w:val="left"/>
            </w:pPr>
            <w:r>
              <w:rPr>
                <w:b w:val="false"/>
                <w:bCs w:val="false"/>
                <w:color w:val="1E293B"/>
                <w:sz w:val="18"/>
                <w:szCs w:val="18"/>
              </w:rPr>
              <w:t xml:space="preserve">18.95%</w:t>
            </w:r>
          </w:p>
        </w:tc>
      </w:tr>
      <w:tr>
        <w:tc>
          <w:tcPr>
            <w:tcW w:type="dxa" w:w="4000"/>
            <w:shd w:fill="FFFFFF" w:val="clear"/>
            <w:tcMar>
              <w:top w:type="dxa" w:w="80"/>
              <w:left w:type="dxa" w:w="120"/>
              <w:bottom w:type="dxa" w:w="80"/>
              <w:right w:type="dxa" w:w="120"/>
            </w:tcMar>
          </w:tcPr>
          <w:p>
            <w:pPr>
              <w:jc w:val="left"/>
            </w:pPr>
            <w:r>
              <w:rPr>
                <w:b w:val="false"/>
                <w:bCs w:val="false"/>
                <w:color w:val="1E293B"/>
                <w:sz w:val="18"/>
                <w:szCs w:val="18"/>
              </w:rPr>
              <w:t xml:space="preserve">Home &amp; Property</w:t>
            </w:r>
          </w:p>
        </w:tc>
        <w:tc>
          <w:tcPr>
            <w:tcW w:type="dxa" w:w="5360"/>
            <w:shd w:fill="FFFFFF" w:val="clear"/>
            <w:tcMar>
              <w:top w:type="dxa" w:w="80"/>
              <w:left w:type="dxa" w:w="120"/>
              <w:bottom w:type="dxa" w:w="80"/>
              <w:right w:type="dxa" w:w="120"/>
            </w:tcMar>
          </w:tcPr>
          <w:p>
            <w:pPr>
              <w:jc w:val="left"/>
            </w:pPr>
            <w:r>
              <w:rPr>
                <w:b w:val="false"/>
                <w:bCs w:val="false"/>
                <w:color w:val="1E293B"/>
                <w:sz w:val="18"/>
                <w:szCs w:val="18"/>
              </w:rPr>
              <w:t xml:space="preserve">17.25%</w:t>
            </w:r>
          </w:p>
        </w:tc>
      </w:tr>
      <w:tr>
        <w:tc>
          <w:tcPr>
            <w:tcW w:type="dxa" w:w="4000"/>
            <w:shd w:fill="F4F6F9" w:val="clear"/>
            <w:tcMar>
              <w:top w:type="dxa" w:w="80"/>
              <w:left w:type="dxa" w:w="120"/>
              <w:bottom w:type="dxa" w:w="80"/>
              <w:right w:type="dxa" w:w="120"/>
            </w:tcMar>
          </w:tcPr>
          <w:p>
            <w:pPr>
              <w:jc w:val="left"/>
            </w:pPr>
            <w:r>
              <w:rPr>
                <w:b w:val="false"/>
                <w:bCs w:val="false"/>
                <w:color w:val="1E293B"/>
                <w:sz w:val="18"/>
                <w:szCs w:val="18"/>
              </w:rPr>
              <w:t xml:space="preserve">Vehicle &amp; Major Purchases</w:t>
            </w:r>
          </w:p>
        </w:tc>
        <w:tc>
          <w:tcPr>
            <w:tcW w:type="dxa" w:w="5360"/>
            <w:shd w:fill="F4F6F9" w:val="clear"/>
            <w:tcMar>
              <w:top w:type="dxa" w:w="80"/>
              <w:left w:type="dxa" w:w="120"/>
              <w:bottom w:type="dxa" w:w="80"/>
              <w:right w:type="dxa" w:w="120"/>
            </w:tcMar>
          </w:tcPr>
          <w:p>
            <w:pPr>
              <w:jc w:val="left"/>
            </w:pPr>
            <w:r>
              <w:rPr>
                <w:b w:val="false"/>
                <w:bCs w:val="false"/>
                <w:color w:val="1E293B"/>
                <w:sz w:val="18"/>
                <w:szCs w:val="18"/>
              </w:rPr>
              <w:t xml:space="preserve">13.56%</w:t>
            </w:r>
          </w:p>
        </w:tc>
      </w:tr>
    </w:tbl>
    <w:p>
      <w:pPr>
        <w:pBdr>
          <w:bottom w:val="single" w:color="1E2761" w:sz="6"/>
        </w:pBdr>
        <w:spacing w:after="120" w:before="400"/>
      </w:pPr>
      <w:r>
        <w:rPr>
          <w:b/>
          <w:bCs/>
          <w:color w:val="1E2761"/>
          <w:sz w:val="30"/>
          <w:szCs w:val="30"/>
        </w:rPr>
        <w:t xml:space="preserve">10. Debt-to-Income Ratio (DTI)</w:t>
      </w:r>
    </w:p>
    <w:p>
      <w:pPr>
        <w:spacing w:after="100"/>
        <w:jc w:val="both"/>
      </w:pPr>
      <w:r>
        <w:rPr>
          <w:color w:val="1E293B"/>
          <w:sz w:val="20"/>
          <w:szCs w:val="20"/>
        </w:rPr>
        <w:t xml:space="preserve">DTI shows a consistent and statistically significant difference between defaulters and non-defaulters across all loan purpose subgroups. Defaulters carry higher DTI in every single subgroup (Z-test p-value = 0.0 for all groups).</w:t>
      </w:r>
    </w:p>
    <w:p>
      <w:pPr>
        <w:spacing w:after="80"/>
      </w:pPr>
    </w:p>
    <w:p>
      <w:pPr>
        <w:spacing w:after="80"/>
        <w:jc w:val="center"/>
      </w:pPr>
      <w:r>
        <w:drawing>
          <wp:inline distT="0" distB="0" distL="0" distR="0">
            <wp:extent cx="4762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476500"/>
                    </a:xfrm>
                    <a:prstGeom prst="rect">
                      <a:avLst/>
                    </a:prstGeom>
                  </pic:spPr>
                </pic:pic>
              </a:graphicData>
            </a:graphic>
          </wp:inline>
        </w:drawing>
      </w:r>
    </w:p>
    <w:p>
      <w:pPr>
        <w:spacing w:after="120"/>
        <w:jc w:val="center"/>
      </w:pPr>
      <w:r>
        <w:rPr>
          <w:i/>
          <w:iCs/>
          <w:color w:val="64748B"/>
          <w:sz w:val="17"/>
          <w:szCs w:val="17"/>
        </w:rPr>
        <w:t xml:space="preserve">Figure 12: DTI distribution by loan status — defaulters shifted right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800"/>
            <w:shd w:fill="1E2761" w:val="clear"/>
            <w:tcMar>
              <w:top w:type="dxa" w:w="80"/>
              <w:left w:type="dxa" w:w="120"/>
              <w:bottom w:type="dxa" w:w="80"/>
              <w:right w:type="dxa" w:w="120"/>
            </w:tcMar>
          </w:tcPr>
          <w:p>
            <w:pPr>
              <w:jc w:val="left"/>
            </w:pPr>
            <w:r>
              <w:rPr>
                <w:b/>
                <w:bCs/>
                <w:color w:val="FFFFFF"/>
                <w:sz w:val="18"/>
                <w:szCs w:val="18"/>
              </w:rPr>
              <w:t xml:space="preserve">Group</w:t>
            </w:r>
          </w:p>
        </w:tc>
        <w:tc>
          <w:tcPr>
            <w:tcW w:type="dxa" w:w="3280"/>
            <w:shd w:fill="1E2761" w:val="clear"/>
            <w:tcMar>
              <w:top w:type="dxa" w:w="80"/>
              <w:left w:type="dxa" w:w="120"/>
              <w:bottom w:type="dxa" w:w="80"/>
              <w:right w:type="dxa" w:w="120"/>
            </w:tcMar>
          </w:tcPr>
          <w:p>
            <w:pPr>
              <w:jc w:val="left"/>
            </w:pPr>
            <w:r>
              <w:rPr>
                <w:b/>
                <w:bCs/>
                <w:color w:val="FFFFFF"/>
                <w:sz w:val="18"/>
                <w:szCs w:val="18"/>
              </w:rPr>
              <w:t xml:space="preserve">Mean DTI — Defaulter</w:t>
            </w:r>
          </w:p>
        </w:tc>
        <w:tc>
          <w:tcPr>
            <w:tcW w:type="dxa" w:w="3280"/>
            <w:shd w:fill="1E2761" w:val="clear"/>
            <w:tcMar>
              <w:top w:type="dxa" w:w="80"/>
              <w:left w:type="dxa" w:w="120"/>
              <w:bottom w:type="dxa" w:w="80"/>
              <w:right w:type="dxa" w:w="120"/>
            </w:tcMar>
          </w:tcPr>
          <w:p>
            <w:pPr>
              <w:jc w:val="left"/>
            </w:pPr>
            <w:r>
              <w:rPr>
                <w:b/>
                <w:bCs/>
                <w:color w:val="FFFFFF"/>
                <w:sz w:val="18"/>
                <w:szCs w:val="18"/>
              </w:rPr>
              <w:t xml:space="preserve">Mean DTI — Not Defaulter</w:t>
            </w:r>
          </w:p>
        </w:tc>
      </w:tr>
      <w:tr>
        <w:tc>
          <w:tcPr>
            <w:tcW w:type="dxa" w:w="2800"/>
            <w:shd w:fill="F4F6F9" w:val="clear"/>
            <w:tcMar>
              <w:top w:type="dxa" w:w="80"/>
              <w:left w:type="dxa" w:w="120"/>
              <w:bottom w:type="dxa" w:w="80"/>
              <w:right w:type="dxa" w:w="120"/>
            </w:tcMar>
          </w:tcPr>
          <w:p>
            <w:pPr>
              <w:jc w:val="left"/>
            </w:pPr>
            <w:r>
              <w:rPr>
                <w:b w:val="false"/>
                <w:bCs w:val="false"/>
                <w:color w:val="1E293B"/>
                <w:sz w:val="18"/>
                <w:szCs w:val="18"/>
              </w:rPr>
              <w:t xml:space="preserve">Overall</w:t>
            </w:r>
          </w:p>
        </w:tc>
        <w:tc>
          <w:tcPr>
            <w:tcW w:type="dxa" w:w="3280"/>
            <w:shd w:fill="F4F6F9" w:val="clear"/>
            <w:tcMar>
              <w:top w:type="dxa" w:w="80"/>
              <w:left w:type="dxa" w:w="120"/>
              <w:bottom w:type="dxa" w:w="80"/>
              <w:right w:type="dxa" w:w="120"/>
            </w:tcMar>
          </w:tcPr>
          <w:p>
            <w:pPr>
              <w:jc w:val="left"/>
            </w:pPr>
            <w:r>
              <w:rPr>
                <w:b w:val="false"/>
                <w:bCs w:val="false"/>
                <w:color w:val="1E293B"/>
                <w:sz w:val="18"/>
                <w:szCs w:val="18"/>
              </w:rPr>
              <w:t xml:space="preserve">18.19</w:t>
            </w:r>
          </w:p>
        </w:tc>
        <w:tc>
          <w:tcPr>
            <w:tcW w:type="dxa" w:w="3280"/>
            <w:shd w:fill="F4F6F9" w:val="clear"/>
            <w:tcMar>
              <w:top w:type="dxa" w:w="80"/>
              <w:left w:type="dxa" w:w="120"/>
              <w:bottom w:type="dxa" w:w="80"/>
              <w:right w:type="dxa" w:w="120"/>
            </w:tcMar>
          </w:tcPr>
          <w:p>
            <w:pPr>
              <w:jc w:val="left"/>
            </w:pPr>
            <w:r>
              <w:rPr>
                <w:b w:val="false"/>
                <w:bCs w:val="false"/>
                <w:color w:val="1E293B"/>
                <w:sz w:val="18"/>
                <w:szCs w:val="18"/>
              </w:rPr>
              <w:t xml:space="preserve">15.92</w:t>
            </w:r>
          </w:p>
        </w:tc>
      </w:tr>
      <w:tr>
        <w:tc>
          <w:tcPr>
            <w:tcW w:type="dxa" w:w="2800"/>
            <w:shd w:fill="FFFFFF" w:val="clear"/>
            <w:tcMar>
              <w:top w:type="dxa" w:w="80"/>
              <w:left w:type="dxa" w:w="120"/>
              <w:bottom w:type="dxa" w:w="80"/>
              <w:right w:type="dxa" w:w="120"/>
            </w:tcMar>
          </w:tcPr>
          <w:p>
            <w:pPr>
              <w:jc w:val="left"/>
            </w:pPr>
            <w:r>
              <w:rPr>
                <w:b w:val="false"/>
                <w:bCs w:val="false"/>
                <w:color w:val="1E293B"/>
                <w:sz w:val="18"/>
                <w:szCs w:val="18"/>
              </w:rPr>
              <w:t xml:space="preserve">Debt Management</w:t>
            </w:r>
          </w:p>
        </w:tc>
        <w:tc>
          <w:tcPr>
            <w:tcW w:type="dxa" w:w="3280"/>
            <w:shd w:fill="FFFFFF" w:val="clear"/>
            <w:tcMar>
              <w:top w:type="dxa" w:w="80"/>
              <w:left w:type="dxa" w:w="120"/>
              <w:bottom w:type="dxa" w:w="80"/>
              <w:right w:type="dxa" w:w="120"/>
            </w:tcMar>
          </w:tcPr>
          <w:p>
            <w:pPr>
              <w:jc w:val="left"/>
            </w:pPr>
            <w:r>
              <w:rPr>
                <w:b w:val="false"/>
                <w:bCs w:val="false"/>
                <w:color w:val="1E293B"/>
                <w:sz w:val="18"/>
                <w:szCs w:val="18"/>
              </w:rPr>
              <w:t xml:space="preserve">18.95</w:t>
            </w:r>
          </w:p>
        </w:tc>
        <w:tc>
          <w:tcPr>
            <w:tcW w:type="dxa" w:w="3280"/>
            <w:shd w:fill="FFFFFF" w:val="clear"/>
            <w:tcMar>
              <w:top w:type="dxa" w:w="80"/>
              <w:left w:type="dxa" w:w="120"/>
              <w:bottom w:type="dxa" w:w="80"/>
              <w:right w:type="dxa" w:w="120"/>
            </w:tcMar>
          </w:tcPr>
          <w:p>
            <w:pPr>
              <w:jc w:val="left"/>
            </w:pPr>
            <w:r>
              <w:rPr>
                <w:b w:val="false"/>
                <w:bCs w:val="false"/>
                <w:color w:val="1E293B"/>
                <w:sz w:val="18"/>
                <w:szCs w:val="18"/>
              </w:rPr>
              <w:t xml:space="preserve">16.66</w:t>
            </w:r>
          </w:p>
        </w:tc>
      </w:tr>
      <w:tr>
        <w:tc>
          <w:tcPr>
            <w:tcW w:type="dxa" w:w="2800"/>
            <w:shd w:fill="F4F6F9" w:val="clear"/>
            <w:tcMar>
              <w:top w:type="dxa" w:w="80"/>
              <w:left w:type="dxa" w:w="120"/>
              <w:bottom w:type="dxa" w:w="80"/>
              <w:right w:type="dxa" w:w="120"/>
            </w:tcMar>
          </w:tcPr>
          <w:p>
            <w:pPr>
              <w:jc w:val="left"/>
            </w:pPr>
            <w:r>
              <w:rPr>
                <w:b w:val="false"/>
                <w:bCs w:val="false"/>
                <w:color w:val="1E293B"/>
                <w:sz w:val="18"/>
                <w:szCs w:val="18"/>
              </w:rPr>
              <w:t xml:space="preserve">Business &amp; Education</w:t>
            </w:r>
          </w:p>
        </w:tc>
        <w:tc>
          <w:tcPr>
            <w:tcW w:type="dxa" w:w="3280"/>
            <w:shd w:fill="F4F6F9" w:val="clear"/>
            <w:tcMar>
              <w:top w:type="dxa" w:w="80"/>
              <w:left w:type="dxa" w:w="120"/>
              <w:bottom w:type="dxa" w:w="80"/>
              <w:right w:type="dxa" w:w="120"/>
            </w:tcMar>
          </w:tcPr>
          <w:p>
            <w:pPr>
              <w:jc w:val="left"/>
            </w:pPr>
            <w:r>
              <w:rPr>
                <w:b w:val="false"/>
                <w:bCs w:val="false"/>
                <w:color w:val="1E293B"/>
                <w:sz w:val="18"/>
                <w:szCs w:val="18"/>
              </w:rPr>
              <w:t xml:space="preserve">13.78</w:t>
            </w:r>
          </w:p>
        </w:tc>
        <w:tc>
          <w:tcPr>
            <w:tcW w:type="dxa" w:w="3280"/>
            <w:shd w:fill="F4F6F9" w:val="clear"/>
            <w:tcMar>
              <w:top w:type="dxa" w:w="80"/>
              <w:left w:type="dxa" w:w="120"/>
              <w:bottom w:type="dxa" w:w="80"/>
              <w:right w:type="dxa" w:w="120"/>
            </w:tcMar>
          </w:tcPr>
          <w:p>
            <w:pPr>
              <w:jc w:val="left"/>
            </w:pPr>
            <w:r>
              <w:rPr>
                <w:b w:val="false"/>
                <w:bCs w:val="false"/>
                <w:color w:val="1E293B"/>
                <w:sz w:val="18"/>
                <w:szCs w:val="18"/>
              </w:rPr>
              <w:t xml:space="preserve">11.41</w:t>
            </w:r>
          </w:p>
        </w:tc>
      </w:tr>
      <w:tr>
        <w:tc>
          <w:tcPr>
            <w:tcW w:type="dxa" w:w="2800"/>
            <w:shd w:fill="FFFFFF" w:val="clear"/>
            <w:tcMar>
              <w:top w:type="dxa" w:w="80"/>
              <w:left w:type="dxa" w:w="120"/>
              <w:bottom w:type="dxa" w:w="80"/>
              <w:right w:type="dxa" w:w="120"/>
            </w:tcMar>
          </w:tcPr>
          <w:p>
            <w:pPr>
              <w:jc w:val="left"/>
            </w:pPr>
            <w:r>
              <w:rPr>
                <w:b w:val="false"/>
                <w:bCs w:val="false"/>
                <w:color w:val="1E293B"/>
                <w:sz w:val="18"/>
                <w:szCs w:val="18"/>
              </w:rPr>
              <w:t xml:space="preserve">Vehicle &amp; Major Purchases</w:t>
            </w:r>
          </w:p>
        </w:tc>
        <w:tc>
          <w:tcPr>
            <w:tcW w:type="dxa" w:w="3280"/>
            <w:shd w:fill="FFFFFF" w:val="clear"/>
            <w:tcMar>
              <w:top w:type="dxa" w:w="80"/>
              <w:left w:type="dxa" w:w="120"/>
              <w:bottom w:type="dxa" w:w="80"/>
              <w:right w:type="dxa" w:w="120"/>
            </w:tcMar>
          </w:tcPr>
          <w:p>
            <w:pPr>
              <w:jc w:val="left"/>
            </w:pPr>
            <w:r>
              <w:rPr>
                <w:b w:val="false"/>
                <w:bCs w:val="false"/>
                <w:color w:val="1E293B"/>
                <w:sz w:val="18"/>
                <w:szCs w:val="18"/>
              </w:rPr>
              <w:t xml:space="preserve">14.23</w:t>
            </w:r>
          </w:p>
        </w:tc>
        <w:tc>
          <w:tcPr>
            <w:tcW w:type="dxa" w:w="3280"/>
            <w:shd w:fill="FFFFFF" w:val="clear"/>
            <w:tcMar>
              <w:top w:type="dxa" w:w="80"/>
              <w:left w:type="dxa" w:w="120"/>
              <w:bottom w:type="dxa" w:w="80"/>
              <w:right w:type="dxa" w:w="120"/>
            </w:tcMar>
          </w:tcPr>
          <w:p>
            <w:pPr>
              <w:jc w:val="left"/>
            </w:pPr>
            <w:r>
              <w:rPr>
                <w:b w:val="false"/>
                <w:bCs w:val="false"/>
                <w:color w:val="1E293B"/>
                <w:sz w:val="18"/>
                <w:szCs w:val="18"/>
              </w:rPr>
              <w:t xml:space="preserve">11.87</w:t>
            </w:r>
          </w:p>
        </w:tc>
      </w:tr>
    </w:tbl>
    <w:p>
      <w:pPr>
        <w:spacing w:after="160"/>
      </w:pPr>
    </w:p>
    <w:p>
      <w:pPr>
        <w:spacing w:after="100"/>
        <w:jc w:val="both"/>
      </w:pPr>
      <w:r>
        <w:rPr>
          <w:color w:val="1E293B"/>
          <w:sz w:val="20"/>
          <w:szCs w:val="20"/>
        </w:rPr>
        <w:t xml:space="preserve">DTI has low correlation with other features (max r = 0.31 with open_acc), confirming it provides largely independent predictive signal — an important characteristic for feature selection.</w:t>
      </w:r>
    </w:p>
    <w:p>
      <w:pPr>
        <w:pBdr>
          <w:bottom w:val="single" w:color="1E2761" w:sz="6"/>
        </w:pBdr>
        <w:spacing w:after="120" w:before="400"/>
      </w:pPr>
      <w:r>
        <w:rPr>
          <w:b/>
          <w:bCs/>
          <w:color w:val="1E2761"/>
          <w:sz w:val="30"/>
          <w:szCs w:val="30"/>
        </w:rPr>
        <w:t xml:space="preserve">11. Delinquencies in Last 2 Years</w:t>
      </w:r>
    </w:p>
    <w:p>
      <w:pPr>
        <w:spacing w:after="100"/>
        <w:jc w:val="both"/>
      </w:pPr>
      <w:r>
        <w:rPr>
          <w:color w:val="1E293B"/>
          <w:sz w:val="20"/>
          <w:szCs w:val="20"/>
        </w:rPr>
        <w:t xml:space="preserve">84.2% of borrowers have zero delinquencies. The raw count variable is extremely right-skewed with unreliable sparsity beyond 3 delinquencies. When collapsed to a binary flag, the signal is weak but present.</w:t>
      </w:r>
    </w:p>
    <w:p>
      <w:pPr>
        <w:spacing w:after="80"/>
      </w:pPr>
    </w:p>
    <w:p>
      <w:pPr>
        <w:spacing w:after="80"/>
        <w:jc w:val="center"/>
      </w:pPr>
      <w:r>
        <w:drawing>
          <wp:inline distT="0" distB="0" distL="0" distR="0">
            <wp:extent cx="5524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24500" cy="2667000"/>
                    </a:xfrm>
                    <a:prstGeom prst="rect">
                      <a:avLst/>
                    </a:prstGeom>
                  </pic:spPr>
                </pic:pic>
              </a:graphicData>
            </a:graphic>
          </wp:inline>
        </w:drawing>
      </w:r>
    </w:p>
    <w:p>
      <w:pPr>
        <w:spacing w:after="120"/>
        <w:jc w:val="center"/>
      </w:pPr>
      <w:r>
        <w:rPr>
          <w:i/>
          <w:iCs/>
          <w:color w:val="64748B"/>
          <w:sz w:val="17"/>
          <w:szCs w:val="17"/>
        </w:rPr>
        <w:t xml:space="preserve">Figure 13: Delinquency distribution and loan status by binary flag</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200"/>
            <w:shd w:fill="1E2761" w:val="clear"/>
            <w:tcMar>
              <w:top w:type="dxa" w:w="80"/>
              <w:left w:type="dxa" w:w="120"/>
              <w:bottom w:type="dxa" w:w="80"/>
              <w:right w:type="dxa" w:w="120"/>
            </w:tcMar>
          </w:tcPr>
          <w:p>
            <w:pPr>
              <w:jc w:val="left"/>
            </w:pPr>
            <w:r>
              <w:rPr>
                <w:b/>
                <w:bCs/>
                <w:color w:val="FFFFFF"/>
                <w:sz w:val="18"/>
                <w:szCs w:val="18"/>
              </w:rPr>
              <w:t xml:space="preserve">Group</w:t>
            </w:r>
          </w:p>
        </w:tc>
        <w:tc>
          <w:tcPr>
            <w:tcW w:type="dxa" w:w="6160"/>
            <w:shd w:fill="1E2761" w:val="clear"/>
            <w:tcMar>
              <w:top w:type="dxa" w:w="80"/>
              <w:left w:type="dxa" w:w="120"/>
              <w:bottom w:type="dxa" w:w="80"/>
              <w:right w:type="dxa" w:w="120"/>
            </w:tcMar>
          </w:tcPr>
          <w:p>
            <w:pPr>
              <w:jc w:val="left"/>
            </w:pPr>
            <w:r>
              <w:rPr>
                <w:b/>
                <w:bCs/>
                <w:color w:val="FFFFFF"/>
                <w:sz w:val="18"/>
                <w:szCs w:val="18"/>
              </w:rPr>
              <w:t xml:space="preserve">Default Rate</w:t>
            </w:r>
          </w:p>
        </w:tc>
      </w:tr>
      <w:tr>
        <w:tc>
          <w:tcPr>
            <w:tcW w:type="dxa" w:w="3200"/>
            <w:shd w:fill="F4F6F9" w:val="clear"/>
            <w:tcMar>
              <w:top w:type="dxa" w:w="80"/>
              <w:left w:type="dxa" w:w="120"/>
              <w:bottom w:type="dxa" w:w="80"/>
              <w:right w:type="dxa" w:w="120"/>
            </w:tcMar>
          </w:tcPr>
          <w:p>
            <w:pPr>
              <w:jc w:val="left"/>
            </w:pPr>
            <w:r>
              <w:rPr>
                <w:b w:val="false"/>
                <w:bCs w:val="false"/>
                <w:color w:val="1E293B"/>
                <w:sz w:val="18"/>
                <w:szCs w:val="18"/>
              </w:rPr>
              <w:t xml:space="preserve">No delinquency (0)</w:t>
            </w:r>
          </w:p>
        </w:tc>
        <w:tc>
          <w:tcPr>
            <w:tcW w:type="dxa" w:w="6160"/>
            <w:shd w:fill="F4F6F9" w:val="clear"/>
            <w:tcMar>
              <w:top w:type="dxa" w:w="80"/>
              <w:left w:type="dxa" w:w="120"/>
              <w:bottom w:type="dxa" w:w="80"/>
              <w:right w:type="dxa" w:w="120"/>
            </w:tcMar>
          </w:tcPr>
          <w:p>
            <w:pPr>
              <w:jc w:val="left"/>
            </w:pPr>
            <w:r>
              <w:rPr>
                <w:b w:val="false"/>
                <w:bCs w:val="false"/>
                <w:color w:val="1E293B"/>
                <w:sz w:val="18"/>
                <w:szCs w:val="18"/>
              </w:rPr>
              <w:t xml:space="preserve">18.67%</w:t>
            </w:r>
          </w:p>
        </w:tc>
      </w:tr>
      <w:tr>
        <w:tc>
          <w:tcPr>
            <w:tcW w:type="dxa" w:w="3200"/>
            <w:shd w:fill="FFFFFF" w:val="clear"/>
            <w:tcMar>
              <w:top w:type="dxa" w:w="80"/>
              <w:left w:type="dxa" w:w="120"/>
              <w:bottom w:type="dxa" w:w="80"/>
              <w:right w:type="dxa" w:w="120"/>
            </w:tcMar>
          </w:tcPr>
          <w:p>
            <w:pPr>
              <w:jc w:val="left"/>
            </w:pPr>
            <w:r>
              <w:rPr>
                <w:b w:val="false"/>
                <w:bCs w:val="false"/>
                <w:color w:val="1E293B"/>
                <w:sz w:val="18"/>
                <w:szCs w:val="18"/>
              </w:rPr>
              <w:t xml:space="preserve">Has any delinquency (1+)</w:t>
            </w:r>
          </w:p>
        </w:tc>
        <w:tc>
          <w:tcPr>
            <w:tcW w:type="dxa" w:w="6160"/>
            <w:shd w:fill="FFFFFF" w:val="clear"/>
            <w:tcMar>
              <w:top w:type="dxa" w:w="80"/>
              <w:left w:type="dxa" w:w="120"/>
              <w:bottom w:type="dxa" w:w="80"/>
              <w:right w:type="dxa" w:w="120"/>
            </w:tcMar>
          </w:tcPr>
          <w:p>
            <w:pPr>
              <w:jc w:val="left"/>
            </w:pPr>
            <w:r>
              <w:rPr>
                <w:b w:val="false"/>
                <w:bCs w:val="false"/>
                <w:color w:val="1E293B"/>
                <w:sz w:val="18"/>
                <w:szCs w:val="18"/>
              </w:rPr>
              <w:t xml:space="preserve">20.50%</w:t>
            </w:r>
          </w:p>
        </w:tc>
      </w:tr>
    </w:tbl>
    <w:p>
      <w:pPr>
        <w:spacing w:after="160"/>
      </w:pPr>
    </w:p>
    <w:p>
      <w:pPr>
        <w:spacing w:after="100"/>
        <w:jc w:val="both"/>
      </w:pPr>
      <w:r>
        <w:rPr>
          <w:color w:val="1E293B"/>
          <w:sz w:val="20"/>
          <w:szCs w:val="20"/>
        </w:rPr>
        <w:t xml:space="preserve">A difference of less than 2 percentage points confirms delinq_2yrs is one of the weakest predictors in the dataset. It is retained only as a binary flag (has_delinq) — the raw count adds noise rather than signal.</w:t>
      </w:r>
    </w:p>
    <w:p>
      <w:pPr>
        <w:pBdr>
          <w:bottom w:val="single" w:color="1E2761" w:sz="6"/>
        </w:pBdr>
        <w:spacing w:after="120" w:before="400"/>
      </w:pPr>
      <w:r>
        <w:rPr>
          <w:b/>
          <w:bCs/>
          <w:color w:val="1E2761"/>
          <w:sz w:val="30"/>
          <w:szCs w:val="30"/>
        </w:rPr>
        <w:t xml:space="preserve">12. Revolving Balance</w:t>
      </w:r>
    </w:p>
    <w:p>
      <w:pPr>
        <w:spacing w:after="100"/>
        <w:jc w:val="both"/>
      </w:pPr>
      <w:r>
        <w:rPr>
          <w:color w:val="1E293B"/>
          <w:sz w:val="20"/>
          <w:szCs w:val="20"/>
        </w:rPr>
        <w:t xml:space="preserve">Revolving balance shows essentially no relationship with default status. Mean balances are nearly identical between defaulters ($15,170) and non-defaulters ($15,244), and even after log-transformation the distributions remain indistinguishable.</w:t>
      </w:r>
    </w:p>
    <w:p>
      <w:pPr>
        <w:spacing w:after="80"/>
      </w:pPr>
    </w:p>
    <w:p>
      <w:pPr>
        <w:spacing w:after="80"/>
        <w:jc w:val="center"/>
      </w:pPr>
      <w:r>
        <w:drawing>
          <wp:inline distT="0" distB="0" distL="0" distR="0">
            <wp:extent cx="5524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24500" cy="2667000"/>
                    </a:xfrm>
                    <a:prstGeom prst="rect">
                      <a:avLst/>
                    </a:prstGeom>
                  </pic:spPr>
                </pic:pic>
              </a:graphicData>
            </a:graphic>
          </wp:inline>
        </w:drawing>
      </w:r>
    </w:p>
    <w:p>
      <w:pPr>
        <w:spacing w:after="120"/>
        <w:jc w:val="center"/>
      </w:pPr>
      <w:r>
        <w:rPr>
          <w:i/>
          <w:iCs/>
          <w:color w:val="64748B"/>
          <w:sz w:val="17"/>
          <w:szCs w:val="17"/>
        </w:rPr>
        <w:t xml:space="preserve">Figure 14: Log(revolving balance) — identical distributions for both groups</w:t>
      </w:r>
    </w:p>
    <w:p>
      <w:pPr>
        <w:spacing w:after="120"/>
      </w:pPr>
    </w:p>
    <w:p>
      <w:pPr>
        <w:spacing w:after="100"/>
        <w:jc w:val="both"/>
      </w:pPr>
      <w:r>
        <w:rPr>
          <w:color w:val="1E293B"/>
          <w:sz w:val="20"/>
          <w:szCs w:val="20"/>
        </w:rPr>
        <w:t xml:space="preserve">Correlation between revol_bal and revol_util is only 0.22 — they capture entirely different dimensions of credit usage. Revolving balance without context on credit limit is meaningless; revolving utilization (the ratio) is what carries genuine credit stress signal. revol_bal was dropped from modelling entirely.</w:t>
      </w:r>
    </w:p>
    <w:p>
      <w:pPr>
        <w:pBdr>
          <w:bottom w:val="single" w:color="1E2761" w:sz="6"/>
        </w:pBdr>
        <w:spacing w:after="120" w:before="400"/>
      </w:pPr>
      <w:r>
        <w:rPr>
          <w:b/>
          <w:bCs/>
          <w:color w:val="1E2761"/>
          <w:sz w:val="30"/>
          <w:szCs w:val="30"/>
        </w:rPr>
        <w:t xml:space="preserve">13. Revolving Utilization</w:t>
      </w:r>
    </w:p>
    <w:p>
      <w:pPr>
        <w:spacing w:after="100"/>
        <w:jc w:val="both"/>
      </w:pPr>
      <w:r>
        <w:rPr>
          <w:color w:val="1E293B"/>
          <w:sz w:val="20"/>
          <w:szCs w:val="20"/>
        </w:rPr>
        <w:t xml:space="preserve">Revolving utilization is a pre-loan characteristic captured from the borrower's credit bureau at application time — it measures how much of the available credit limit was already being used before a single rupee was disbursed. This makes it a genuine pre-loan risk indicator with no data leakage concerns.</w:t>
      </w:r>
    </w:p>
    <w:p>
      <w:pPr>
        <w:spacing w:after="80"/>
      </w:pPr>
    </w:p>
    <w:p>
      <w:pPr>
        <w:spacing w:after="80"/>
        <w:jc w:val="center"/>
      </w:pPr>
      <w:r>
        <w:drawing>
          <wp:inline distT="0" distB="0" distL="0" distR="0">
            <wp:extent cx="5524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524500" cy="2667000"/>
                    </a:xfrm>
                    <a:prstGeom prst="rect">
                      <a:avLst/>
                    </a:prstGeom>
                  </pic:spPr>
                </pic:pic>
              </a:graphicData>
            </a:graphic>
          </wp:inline>
        </w:drawing>
      </w:r>
    </w:p>
    <w:p>
      <w:pPr>
        <w:spacing w:after="120"/>
        <w:jc w:val="center"/>
      </w:pPr>
      <w:r>
        <w:rPr>
          <w:i/>
          <w:iCs/>
          <w:color w:val="64748B"/>
          <w:sz w:val="17"/>
          <w:szCs w:val="17"/>
        </w:rPr>
        <w:t xml:space="preserve">Figure 15: Revolving utilization by loan status and default rate by bracket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200"/>
            <w:shd w:fill="1E2761" w:val="clear"/>
            <w:tcMar>
              <w:top w:type="dxa" w:w="80"/>
              <w:left w:type="dxa" w:w="120"/>
              <w:bottom w:type="dxa" w:w="80"/>
              <w:right w:type="dxa" w:w="120"/>
            </w:tcMar>
          </w:tcPr>
          <w:p>
            <w:pPr>
              <w:jc w:val="left"/>
            </w:pPr>
            <w:r>
              <w:rPr>
                <w:b/>
                <w:bCs/>
                <w:color w:val="FFFFFF"/>
                <w:sz w:val="18"/>
                <w:szCs w:val="18"/>
              </w:rPr>
              <w:t xml:space="preserve">Utilization Bracket</w:t>
            </w:r>
          </w:p>
        </w:tc>
        <w:tc>
          <w:tcPr>
            <w:tcW w:type="dxa" w:w="6160"/>
            <w:shd w:fill="1E2761" w:val="clear"/>
            <w:tcMar>
              <w:top w:type="dxa" w:w="80"/>
              <w:left w:type="dxa" w:w="120"/>
              <w:bottom w:type="dxa" w:w="80"/>
              <w:right w:type="dxa" w:w="120"/>
            </w:tcMar>
          </w:tcPr>
          <w:p>
            <w:pPr>
              <w:jc w:val="left"/>
            </w:pPr>
            <w:r>
              <w:rPr>
                <w:b/>
                <w:bCs/>
                <w:color w:val="FFFFFF"/>
                <w:sz w:val="18"/>
                <w:szCs w:val="18"/>
              </w:rPr>
              <w:t xml:space="preserve">Default Rate</w:t>
            </w:r>
          </w:p>
        </w:tc>
      </w:tr>
      <w:tr>
        <w:tc>
          <w:tcPr>
            <w:tcW w:type="dxa" w:w="3200"/>
            <w:shd w:fill="F4F6F9" w:val="clear"/>
            <w:tcMar>
              <w:top w:type="dxa" w:w="80"/>
              <w:left w:type="dxa" w:w="120"/>
              <w:bottom w:type="dxa" w:w="80"/>
              <w:right w:type="dxa" w:w="120"/>
            </w:tcMar>
          </w:tcPr>
          <w:p>
            <w:pPr>
              <w:jc w:val="left"/>
            </w:pPr>
            <w:r>
              <w:rPr>
                <w:b w:val="false"/>
                <w:bCs w:val="false"/>
                <w:color w:val="1E293B"/>
                <w:sz w:val="18"/>
                <w:szCs w:val="18"/>
              </w:rPr>
              <w:t xml:space="preserve">0–20%</w:t>
            </w:r>
          </w:p>
        </w:tc>
        <w:tc>
          <w:tcPr>
            <w:tcW w:type="dxa" w:w="6160"/>
            <w:shd w:fill="F4F6F9" w:val="clear"/>
            <w:tcMar>
              <w:top w:type="dxa" w:w="80"/>
              <w:left w:type="dxa" w:w="120"/>
              <w:bottom w:type="dxa" w:w="80"/>
              <w:right w:type="dxa" w:w="120"/>
            </w:tcMar>
          </w:tcPr>
          <w:p>
            <w:pPr>
              <w:jc w:val="left"/>
            </w:pPr>
            <w:r>
              <w:rPr>
                <w:b w:val="false"/>
                <w:bCs w:val="false"/>
                <w:color w:val="1E293B"/>
                <w:sz w:val="18"/>
                <w:szCs w:val="18"/>
              </w:rPr>
              <w:t xml:space="preserve">11.26%</w:t>
            </w:r>
          </w:p>
        </w:tc>
      </w:tr>
      <w:tr>
        <w:tc>
          <w:tcPr>
            <w:tcW w:type="dxa" w:w="3200"/>
            <w:shd w:fill="FFFFFF" w:val="clear"/>
            <w:tcMar>
              <w:top w:type="dxa" w:w="80"/>
              <w:left w:type="dxa" w:w="120"/>
              <w:bottom w:type="dxa" w:w="80"/>
              <w:right w:type="dxa" w:w="120"/>
            </w:tcMar>
          </w:tcPr>
          <w:p>
            <w:pPr>
              <w:jc w:val="left"/>
            </w:pPr>
            <w:r>
              <w:rPr>
                <w:b w:val="false"/>
                <w:bCs w:val="false"/>
                <w:color w:val="1E293B"/>
                <w:sz w:val="18"/>
                <w:szCs w:val="18"/>
              </w:rPr>
              <w:t xml:space="preserve">20–40%</w:t>
            </w:r>
          </w:p>
        </w:tc>
        <w:tc>
          <w:tcPr>
            <w:tcW w:type="dxa" w:w="6160"/>
            <w:shd w:fill="FFFFFF" w:val="clear"/>
            <w:tcMar>
              <w:top w:type="dxa" w:w="80"/>
              <w:left w:type="dxa" w:w="120"/>
              <w:bottom w:type="dxa" w:w="80"/>
              <w:right w:type="dxa" w:w="120"/>
            </w:tcMar>
          </w:tcPr>
          <w:p>
            <w:pPr>
              <w:jc w:val="left"/>
            </w:pPr>
            <w:r>
              <w:rPr>
                <w:b w:val="false"/>
                <w:bCs w:val="false"/>
                <w:color w:val="1E293B"/>
                <w:sz w:val="18"/>
                <w:szCs w:val="18"/>
              </w:rPr>
              <w:t xml:space="preserve">15.47%</w:t>
            </w:r>
          </w:p>
        </w:tc>
      </w:tr>
      <w:tr>
        <w:tc>
          <w:tcPr>
            <w:tcW w:type="dxa" w:w="3200"/>
            <w:shd w:fill="F4F6F9" w:val="clear"/>
            <w:tcMar>
              <w:top w:type="dxa" w:w="80"/>
              <w:left w:type="dxa" w:w="120"/>
              <w:bottom w:type="dxa" w:w="80"/>
              <w:right w:type="dxa" w:w="120"/>
            </w:tcMar>
          </w:tcPr>
          <w:p>
            <w:pPr>
              <w:jc w:val="left"/>
            </w:pPr>
            <w:r>
              <w:rPr>
                <w:b w:val="false"/>
                <w:bCs w:val="false"/>
                <w:color w:val="1E293B"/>
                <w:sz w:val="18"/>
                <w:szCs w:val="18"/>
              </w:rPr>
              <w:t xml:space="preserve">40–60%</w:t>
            </w:r>
          </w:p>
        </w:tc>
        <w:tc>
          <w:tcPr>
            <w:tcW w:type="dxa" w:w="6160"/>
            <w:shd w:fill="F4F6F9" w:val="clear"/>
            <w:tcMar>
              <w:top w:type="dxa" w:w="80"/>
              <w:left w:type="dxa" w:w="120"/>
              <w:bottom w:type="dxa" w:w="80"/>
              <w:right w:type="dxa" w:w="120"/>
            </w:tcMar>
          </w:tcPr>
          <w:p>
            <w:pPr>
              <w:jc w:val="left"/>
            </w:pPr>
            <w:r>
              <w:rPr>
                <w:b w:val="false"/>
                <w:bCs w:val="false"/>
                <w:color w:val="1E293B"/>
                <w:sz w:val="18"/>
                <w:szCs w:val="18"/>
              </w:rPr>
              <w:t xml:space="preserve">18.73%</w:t>
            </w:r>
          </w:p>
        </w:tc>
      </w:tr>
      <w:tr>
        <w:tc>
          <w:tcPr>
            <w:tcW w:type="dxa" w:w="3200"/>
            <w:shd w:fill="FFFFFF" w:val="clear"/>
            <w:tcMar>
              <w:top w:type="dxa" w:w="80"/>
              <w:left w:type="dxa" w:w="120"/>
              <w:bottom w:type="dxa" w:w="80"/>
              <w:right w:type="dxa" w:w="120"/>
            </w:tcMar>
          </w:tcPr>
          <w:p>
            <w:pPr>
              <w:jc w:val="left"/>
            </w:pPr>
            <w:r>
              <w:rPr>
                <w:b w:val="false"/>
                <w:bCs w:val="false"/>
                <w:color w:val="1E293B"/>
                <w:sz w:val="18"/>
                <w:szCs w:val="18"/>
              </w:rPr>
              <w:t xml:space="preserve">60–80%</w:t>
            </w:r>
          </w:p>
        </w:tc>
        <w:tc>
          <w:tcPr>
            <w:tcW w:type="dxa" w:w="6160"/>
            <w:shd w:fill="FFFFFF" w:val="clear"/>
            <w:tcMar>
              <w:top w:type="dxa" w:w="80"/>
              <w:left w:type="dxa" w:w="120"/>
              <w:bottom w:type="dxa" w:w="80"/>
              <w:right w:type="dxa" w:w="120"/>
            </w:tcMar>
          </w:tcPr>
          <w:p>
            <w:pPr>
              <w:jc w:val="left"/>
            </w:pPr>
            <w:r>
              <w:rPr>
                <w:b w:val="false"/>
                <w:bCs w:val="false"/>
                <w:color w:val="1E293B"/>
                <w:sz w:val="18"/>
                <w:szCs w:val="18"/>
              </w:rPr>
              <w:t xml:space="preserve">21.20%</w:t>
            </w:r>
          </w:p>
        </w:tc>
      </w:tr>
      <w:tr>
        <w:tc>
          <w:tcPr>
            <w:tcW w:type="dxa" w:w="3200"/>
            <w:shd w:fill="F4F6F9" w:val="clear"/>
            <w:tcMar>
              <w:top w:type="dxa" w:w="80"/>
              <w:left w:type="dxa" w:w="120"/>
              <w:bottom w:type="dxa" w:w="80"/>
              <w:right w:type="dxa" w:w="120"/>
            </w:tcMar>
          </w:tcPr>
          <w:p>
            <w:pPr>
              <w:jc w:val="left"/>
            </w:pPr>
            <w:r>
              <w:rPr>
                <w:b w:val="false"/>
                <w:bCs w:val="false"/>
                <w:color w:val="1E293B"/>
                <w:sz w:val="18"/>
                <w:szCs w:val="18"/>
              </w:rPr>
              <w:t xml:space="preserve">80–100%</w:t>
            </w:r>
          </w:p>
        </w:tc>
        <w:tc>
          <w:tcPr>
            <w:tcW w:type="dxa" w:w="6160"/>
            <w:shd w:fill="F4F6F9" w:val="clear"/>
            <w:tcMar>
              <w:top w:type="dxa" w:w="80"/>
              <w:left w:type="dxa" w:w="120"/>
              <w:bottom w:type="dxa" w:w="80"/>
              <w:right w:type="dxa" w:w="120"/>
            </w:tcMar>
          </w:tcPr>
          <w:p>
            <w:pPr>
              <w:jc w:val="left"/>
            </w:pPr>
            <w:r>
              <w:rPr>
                <w:b w:val="false"/>
                <w:bCs w:val="false"/>
                <w:color w:val="1E293B"/>
                <w:sz w:val="18"/>
                <w:szCs w:val="18"/>
              </w:rPr>
              <w:t xml:space="preserve">23.58%</w:t>
            </w:r>
          </w:p>
        </w:tc>
      </w:tr>
      <w:tr>
        <w:tc>
          <w:tcPr>
            <w:tcW w:type="dxa" w:w="3200"/>
            <w:shd w:fill="FFFFFF" w:val="clear"/>
            <w:tcMar>
              <w:top w:type="dxa" w:w="80"/>
              <w:left w:type="dxa" w:w="120"/>
              <w:bottom w:type="dxa" w:w="80"/>
              <w:right w:type="dxa" w:w="120"/>
            </w:tcMar>
          </w:tcPr>
          <w:p>
            <w:pPr>
              <w:jc w:val="left"/>
            </w:pPr>
            <w:r>
              <w:rPr>
                <w:b w:val="false"/>
                <w:bCs w:val="false"/>
                <w:color w:val="1E293B"/>
                <w:sz w:val="18"/>
                <w:szCs w:val="18"/>
              </w:rPr>
              <w:t xml:space="preserve">100%+</w:t>
            </w:r>
          </w:p>
        </w:tc>
        <w:tc>
          <w:tcPr>
            <w:tcW w:type="dxa" w:w="6160"/>
            <w:shd w:fill="FFFFFF" w:val="clear"/>
            <w:tcMar>
              <w:top w:type="dxa" w:w="80"/>
              <w:left w:type="dxa" w:w="120"/>
              <w:bottom w:type="dxa" w:w="80"/>
              <w:right w:type="dxa" w:w="120"/>
            </w:tcMar>
          </w:tcPr>
          <w:p>
            <w:pPr>
              <w:jc w:val="left"/>
            </w:pPr>
            <w:r>
              <w:rPr>
                <w:b w:val="false"/>
                <w:bCs w:val="false"/>
                <w:color w:val="1E293B"/>
                <w:sz w:val="18"/>
                <w:szCs w:val="18"/>
              </w:rPr>
              <w:t xml:space="preserve">30.30%</w:t>
            </w:r>
          </w:p>
        </w:tc>
      </w:tr>
    </w:tbl>
    <w:p>
      <w:pPr>
        <w:spacing w:after="160"/>
      </w:pPr>
    </w:p>
    <w:p>
      <w:pPr>
        <w:spacing w:after="100"/>
        <w:jc w:val="both"/>
      </w:pPr>
      <w:r>
        <w:rPr>
          <w:color w:val="1E293B"/>
          <w:sz w:val="20"/>
          <w:szCs w:val="20"/>
        </w:rPr>
        <w:t xml:space="preserve">A perfectly monotonic increase from 11.26% to 30.30% — nearly a 3× increase in default risk across the utilization range. One extreme outlier at 892.3% was identified as a likely data quality error and flagged for treatment.</w:t>
      </w:r>
    </w:p>
    <w:p>
      <w:pPr>
        <w:pBdr>
          <w:bottom w:val="single" w:color="1E2761" w:sz="6"/>
        </w:pBdr>
        <w:spacing w:after="120" w:before="400"/>
      </w:pPr>
      <w:r>
        <w:rPr>
          <w:b/>
          <w:bCs/>
          <w:color w:val="1E2761"/>
          <w:sz w:val="30"/>
          <w:szCs w:val="30"/>
        </w:rPr>
        <w:t xml:space="preserve">14. Open Credit Accounts</w:t>
      </w:r>
    </w:p>
    <w:p>
      <w:pPr>
        <w:spacing w:after="100"/>
        <w:jc w:val="both"/>
      </w:pPr>
      <w:r>
        <w:rPr>
          <w:color w:val="1E293B"/>
          <w:sz w:val="20"/>
          <w:szCs w:val="20"/>
        </w:rPr>
        <w:t xml:space="preserve">Number of open accounts has minimal predictive power on its own. Mean values are nearly identical (11.02 for defaulters vs 10.79 for non-defaulters). A mild binned trend exists but the range is small.</w:t>
      </w:r>
    </w:p>
    <w:p>
      <w:pPr>
        <w:spacing w:after="80"/>
      </w:pPr>
    </w:p>
    <w:p>
      <w:pPr>
        <w:spacing w:after="80"/>
        <w:jc w:val="center"/>
      </w:pPr>
      <w:r>
        <w:drawing>
          <wp:inline distT="0" distB="0" distL="0" distR="0">
            <wp:extent cx="5524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524500" cy="2667000"/>
                    </a:xfrm>
                    <a:prstGeom prst="rect">
                      <a:avLst/>
                    </a:prstGeom>
                  </pic:spPr>
                </pic:pic>
              </a:graphicData>
            </a:graphic>
          </wp:inline>
        </w:drawing>
      </w:r>
    </w:p>
    <w:p>
      <w:pPr>
        <w:spacing w:after="120"/>
        <w:jc w:val="center"/>
      </w:pPr>
      <w:r>
        <w:rPr>
          <w:i/>
          <w:iCs/>
          <w:color w:val="64748B"/>
          <w:sz w:val="17"/>
          <w:szCs w:val="17"/>
        </w:rPr>
        <w:t xml:space="preserve">Figure 16: Open account distribution and default rate by bracket</w:t>
      </w:r>
    </w:p>
    <w:p>
      <w:pPr>
        <w:spacing w:after="120"/>
      </w:pPr>
    </w:p>
    <w:p>
      <w:pPr>
        <w:spacing w:after="100"/>
        <w:jc w:val="both"/>
      </w:pPr>
      <w:r>
        <w:rPr>
          <w:color w:val="1E293B"/>
          <w:sz w:val="20"/>
          <w:szCs w:val="20"/>
        </w:rPr>
        <w:t xml:space="preserve">Default rate rises from 17.88% (0-5 accounts) to 22.40% (25+ accounts) — a 4.5 percentage point range. This is a real but weak signal compared to grade (37pp) or revol_util (19pp).</w:t>
      </w:r>
    </w:p>
    <w:p>
      <w:pPr>
        <w:pBdr>
          <w:bottom w:val="single" w:color="1E2761" w:sz="6"/>
        </w:pBdr>
        <w:spacing w:after="120" w:before="400"/>
      </w:pPr>
      <w:r>
        <w:rPr>
          <w:b/>
          <w:bCs/>
          <w:color w:val="1E2761"/>
          <w:sz w:val="30"/>
          <w:szCs w:val="30"/>
        </w:rPr>
        <w:t xml:space="preserve">15. Total Accounts</w:t>
      </w:r>
    </w:p>
    <w:p>
      <w:pPr>
        <w:spacing w:after="100"/>
        <w:jc w:val="both"/>
      </w:pPr>
      <w:r>
        <w:rPr>
          <w:color w:val="1E293B"/>
          <w:sz w:val="20"/>
          <w:szCs w:val="20"/>
        </w:rPr>
        <w:t xml:space="preserve">Total accounts (all credit accounts ever opened) shows a mild negative relationship with default — more credit history is marginally associated with lower default risk. Most borrowers have 15–30 total accounts.</w:t>
      </w:r>
    </w:p>
    <w:p>
      <w:pPr>
        <w:spacing w:after="80"/>
      </w:pPr>
    </w:p>
    <w:p>
      <w:pPr>
        <w:spacing w:after="80"/>
        <w:jc w:val="center"/>
      </w:pPr>
      <w:r>
        <w:drawing>
          <wp:inline distT="0" distB="0" distL="0" distR="0">
            <wp:extent cx="5524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524500" cy="2667000"/>
                    </a:xfrm>
                    <a:prstGeom prst="rect">
                      <a:avLst/>
                    </a:prstGeom>
                  </pic:spPr>
                </pic:pic>
              </a:graphicData>
            </a:graphic>
          </wp:inline>
        </w:drawing>
      </w:r>
    </w:p>
    <w:p>
      <w:pPr>
        <w:spacing w:after="120"/>
        <w:jc w:val="center"/>
      </w:pPr>
      <w:r>
        <w:rPr>
          <w:i/>
          <w:iCs/>
          <w:color w:val="64748B"/>
          <w:sz w:val="17"/>
          <w:szCs w:val="17"/>
        </w:rPr>
        <w:t xml:space="preserve">Figure 17: Total account distribution and default rate by bracket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200"/>
            <w:shd w:fill="1E2761" w:val="clear"/>
            <w:tcMar>
              <w:top w:type="dxa" w:w="80"/>
              <w:left w:type="dxa" w:w="120"/>
              <w:bottom w:type="dxa" w:w="80"/>
              <w:right w:type="dxa" w:w="120"/>
            </w:tcMar>
          </w:tcPr>
          <w:p>
            <w:pPr>
              <w:jc w:val="left"/>
            </w:pPr>
            <w:r>
              <w:rPr>
                <w:b/>
                <w:bCs/>
                <w:color w:val="FFFFFF"/>
                <w:sz w:val="18"/>
                <w:szCs w:val="18"/>
              </w:rPr>
              <w:t xml:space="preserve">Bracket</w:t>
            </w:r>
          </w:p>
        </w:tc>
        <w:tc>
          <w:tcPr>
            <w:tcW w:type="dxa" w:w="6160"/>
            <w:shd w:fill="1E2761" w:val="clear"/>
            <w:tcMar>
              <w:top w:type="dxa" w:w="80"/>
              <w:left w:type="dxa" w:w="120"/>
              <w:bottom w:type="dxa" w:w="80"/>
              <w:right w:type="dxa" w:w="120"/>
            </w:tcMar>
          </w:tcPr>
          <w:p>
            <w:pPr>
              <w:jc w:val="left"/>
            </w:pPr>
            <w:r>
              <w:rPr>
                <w:b/>
                <w:bCs/>
                <w:color w:val="FFFFFF"/>
                <w:sz w:val="18"/>
                <w:szCs w:val="18"/>
              </w:rPr>
              <w:t xml:space="preserve">Default Rate</w:t>
            </w:r>
          </w:p>
        </w:tc>
      </w:tr>
      <w:tr>
        <w:tc>
          <w:tcPr>
            <w:tcW w:type="dxa" w:w="3200"/>
            <w:shd w:fill="F4F6F9" w:val="clear"/>
            <w:tcMar>
              <w:top w:type="dxa" w:w="80"/>
              <w:left w:type="dxa" w:w="120"/>
              <w:bottom w:type="dxa" w:w="80"/>
              <w:right w:type="dxa" w:w="120"/>
            </w:tcMar>
          </w:tcPr>
          <w:p>
            <w:pPr>
              <w:jc w:val="left"/>
            </w:pPr>
            <w:r>
              <w:rPr>
                <w:b w:val="false"/>
                <w:bCs w:val="false"/>
                <w:color w:val="1E293B"/>
                <w:sz w:val="18"/>
                <w:szCs w:val="18"/>
              </w:rPr>
              <w:t xml:space="preserve">0–10</w:t>
            </w:r>
          </w:p>
        </w:tc>
        <w:tc>
          <w:tcPr>
            <w:tcW w:type="dxa" w:w="6160"/>
            <w:shd w:fill="F4F6F9" w:val="clear"/>
            <w:tcMar>
              <w:top w:type="dxa" w:w="80"/>
              <w:left w:type="dxa" w:w="120"/>
              <w:bottom w:type="dxa" w:w="80"/>
              <w:right w:type="dxa" w:w="120"/>
            </w:tcMar>
          </w:tcPr>
          <w:p>
            <w:pPr>
              <w:jc w:val="left"/>
            </w:pPr>
            <w:r>
              <w:rPr>
                <w:b w:val="false"/>
                <w:bCs w:val="false"/>
                <w:color w:val="1E293B"/>
                <w:sz w:val="18"/>
                <w:szCs w:val="18"/>
              </w:rPr>
              <w:t xml:space="preserve">20.78%</w:t>
            </w:r>
          </w:p>
        </w:tc>
      </w:tr>
      <w:tr>
        <w:tc>
          <w:tcPr>
            <w:tcW w:type="dxa" w:w="3200"/>
            <w:shd w:fill="FFFFFF" w:val="clear"/>
            <w:tcMar>
              <w:top w:type="dxa" w:w="80"/>
              <w:left w:type="dxa" w:w="120"/>
              <w:bottom w:type="dxa" w:w="80"/>
              <w:right w:type="dxa" w:w="120"/>
            </w:tcMar>
          </w:tcPr>
          <w:p>
            <w:pPr>
              <w:jc w:val="left"/>
            </w:pPr>
            <w:r>
              <w:rPr>
                <w:b w:val="false"/>
                <w:bCs w:val="false"/>
                <w:color w:val="1E293B"/>
                <w:sz w:val="18"/>
                <w:szCs w:val="18"/>
              </w:rPr>
              <w:t xml:space="preserve">10–20</w:t>
            </w:r>
          </w:p>
        </w:tc>
        <w:tc>
          <w:tcPr>
            <w:tcW w:type="dxa" w:w="6160"/>
            <w:shd w:fill="FFFFFF" w:val="clear"/>
            <w:tcMar>
              <w:top w:type="dxa" w:w="80"/>
              <w:left w:type="dxa" w:w="120"/>
              <w:bottom w:type="dxa" w:w="80"/>
              <w:right w:type="dxa" w:w="120"/>
            </w:tcMar>
          </w:tcPr>
          <w:p>
            <w:pPr>
              <w:jc w:val="left"/>
            </w:pPr>
            <w:r>
              <w:rPr>
                <w:b w:val="false"/>
                <w:bCs w:val="false"/>
                <w:color w:val="1E293B"/>
                <w:sz w:val="18"/>
                <w:szCs w:val="18"/>
              </w:rPr>
              <w:t xml:space="preserve">19.86%</w:t>
            </w:r>
          </w:p>
        </w:tc>
      </w:tr>
      <w:tr>
        <w:tc>
          <w:tcPr>
            <w:tcW w:type="dxa" w:w="3200"/>
            <w:shd w:fill="F4F6F9" w:val="clear"/>
            <w:tcMar>
              <w:top w:type="dxa" w:w="80"/>
              <w:left w:type="dxa" w:w="120"/>
              <w:bottom w:type="dxa" w:w="80"/>
              <w:right w:type="dxa" w:w="120"/>
            </w:tcMar>
          </w:tcPr>
          <w:p>
            <w:pPr>
              <w:jc w:val="left"/>
            </w:pPr>
            <w:r>
              <w:rPr>
                <w:b w:val="false"/>
                <w:bCs w:val="false"/>
                <w:color w:val="1E293B"/>
                <w:sz w:val="18"/>
                <w:szCs w:val="18"/>
              </w:rPr>
              <w:t xml:space="preserve">20–30</w:t>
            </w:r>
          </w:p>
        </w:tc>
        <w:tc>
          <w:tcPr>
            <w:tcW w:type="dxa" w:w="6160"/>
            <w:shd w:fill="F4F6F9" w:val="clear"/>
            <w:tcMar>
              <w:top w:type="dxa" w:w="80"/>
              <w:left w:type="dxa" w:w="120"/>
              <w:bottom w:type="dxa" w:w="80"/>
              <w:right w:type="dxa" w:w="120"/>
            </w:tcMar>
          </w:tcPr>
          <w:p>
            <w:pPr>
              <w:jc w:val="left"/>
            </w:pPr>
            <w:r>
              <w:rPr>
                <w:b w:val="false"/>
                <w:bCs w:val="false"/>
                <w:color w:val="1E293B"/>
                <w:sz w:val="18"/>
                <w:szCs w:val="18"/>
              </w:rPr>
              <w:t xml:space="preserve">18.73%</w:t>
            </w:r>
          </w:p>
        </w:tc>
      </w:tr>
      <w:tr>
        <w:tc>
          <w:tcPr>
            <w:tcW w:type="dxa" w:w="3200"/>
            <w:shd w:fill="FFFFFF" w:val="clear"/>
            <w:tcMar>
              <w:top w:type="dxa" w:w="80"/>
              <w:left w:type="dxa" w:w="120"/>
              <w:bottom w:type="dxa" w:w="80"/>
              <w:right w:type="dxa" w:w="120"/>
            </w:tcMar>
          </w:tcPr>
          <w:p>
            <w:pPr>
              <w:jc w:val="left"/>
            </w:pPr>
            <w:r>
              <w:rPr>
                <w:b w:val="false"/>
                <w:bCs w:val="false"/>
                <w:color w:val="1E293B"/>
                <w:sz w:val="18"/>
                <w:szCs w:val="18"/>
              </w:rPr>
              <w:t xml:space="preserve">30–40</w:t>
            </w:r>
          </w:p>
        </w:tc>
        <w:tc>
          <w:tcPr>
            <w:tcW w:type="dxa" w:w="6160"/>
            <w:shd w:fill="FFFFFF" w:val="clear"/>
            <w:tcMar>
              <w:top w:type="dxa" w:w="80"/>
              <w:left w:type="dxa" w:w="120"/>
              <w:bottom w:type="dxa" w:w="80"/>
              <w:right w:type="dxa" w:w="120"/>
            </w:tcMar>
          </w:tcPr>
          <w:p>
            <w:pPr>
              <w:jc w:val="left"/>
            </w:pPr>
            <w:r>
              <w:rPr>
                <w:b w:val="false"/>
                <w:bCs w:val="false"/>
                <w:color w:val="1E293B"/>
                <w:sz w:val="18"/>
                <w:szCs w:val="18"/>
              </w:rPr>
              <w:t xml:space="preserve">18.30%</w:t>
            </w:r>
          </w:p>
        </w:tc>
      </w:tr>
      <w:tr>
        <w:tc>
          <w:tcPr>
            <w:tcW w:type="dxa" w:w="3200"/>
            <w:shd w:fill="F4F6F9" w:val="clear"/>
            <w:tcMar>
              <w:top w:type="dxa" w:w="80"/>
              <w:left w:type="dxa" w:w="120"/>
              <w:bottom w:type="dxa" w:w="80"/>
              <w:right w:type="dxa" w:w="120"/>
            </w:tcMar>
          </w:tcPr>
          <w:p>
            <w:pPr>
              <w:jc w:val="left"/>
            </w:pPr>
            <w:r>
              <w:rPr>
                <w:b w:val="false"/>
                <w:bCs w:val="false"/>
                <w:color w:val="1E293B"/>
                <w:sz w:val="18"/>
                <w:szCs w:val="18"/>
              </w:rPr>
              <w:t xml:space="preserve">40–50</w:t>
            </w:r>
          </w:p>
        </w:tc>
        <w:tc>
          <w:tcPr>
            <w:tcW w:type="dxa" w:w="6160"/>
            <w:shd w:fill="F4F6F9" w:val="clear"/>
            <w:tcMar>
              <w:top w:type="dxa" w:w="80"/>
              <w:left w:type="dxa" w:w="120"/>
              <w:bottom w:type="dxa" w:w="80"/>
              <w:right w:type="dxa" w:w="120"/>
            </w:tcMar>
          </w:tcPr>
          <w:p>
            <w:pPr>
              <w:jc w:val="left"/>
            </w:pPr>
            <w:r>
              <w:rPr>
                <w:b w:val="false"/>
                <w:bCs w:val="false"/>
                <w:color w:val="1E293B"/>
                <w:sz w:val="18"/>
                <w:szCs w:val="18"/>
              </w:rPr>
              <w:t xml:space="preserve">17.56%</w:t>
            </w:r>
          </w:p>
        </w:tc>
      </w:tr>
      <w:tr>
        <w:tc>
          <w:tcPr>
            <w:tcW w:type="dxa" w:w="3200"/>
            <w:shd w:fill="FFFFFF" w:val="clear"/>
            <w:tcMar>
              <w:top w:type="dxa" w:w="80"/>
              <w:left w:type="dxa" w:w="120"/>
              <w:bottom w:type="dxa" w:w="80"/>
              <w:right w:type="dxa" w:w="120"/>
            </w:tcMar>
          </w:tcPr>
          <w:p>
            <w:pPr>
              <w:jc w:val="left"/>
            </w:pPr>
            <w:r>
              <w:rPr>
                <w:b w:val="false"/>
                <w:bCs w:val="false"/>
                <w:color w:val="1E293B"/>
                <w:sz w:val="18"/>
                <w:szCs w:val="18"/>
              </w:rPr>
              <w:t xml:space="preserve">50+</w:t>
            </w:r>
          </w:p>
        </w:tc>
        <w:tc>
          <w:tcPr>
            <w:tcW w:type="dxa" w:w="6160"/>
            <w:shd w:fill="FFFFFF" w:val="clear"/>
            <w:tcMar>
              <w:top w:type="dxa" w:w="80"/>
              <w:left w:type="dxa" w:w="120"/>
              <w:bottom w:type="dxa" w:w="80"/>
              <w:right w:type="dxa" w:w="120"/>
            </w:tcMar>
          </w:tcPr>
          <w:p>
            <w:pPr>
              <w:jc w:val="left"/>
            </w:pPr>
            <w:r>
              <w:rPr>
                <w:b w:val="false"/>
                <w:bCs w:val="false"/>
                <w:color w:val="1E293B"/>
                <w:sz w:val="18"/>
                <w:szCs w:val="18"/>
              </w:rPr>
              <w:t xml:space="preserve">16.65%</w:t>
            </w:r>
          </w:p>
        </w:tc>
      </w:tr>
    </w:tbl>
    <w:p>
      <w:pPr>
        <w:pBdr>
          <w:bottom w:val="single" w:color="1E2761" w:sz="6"/>
        </w:pBdr>
        <w:spacing w:after="120" w:before="400"/>
      </w:pPr>
      <w:r>
        <w:rPr>
          <w:b/>
          <w:bCs/>
          <w:color w:val="1E2761"/>
          <w:sz w:val="30"/>
          <w:szCs w:val="30"/>
        </w:rPr>
        <w:t xml:space="preserve">16. Public Records</w:t>
      </w:r>
    </w:p>
    <w:p>
      <w:pPr>
        <w:spacing w:after="100"/>
        <w:jc w:val="both"/>
      </w:pPr>
      <w:r>
        <w:rPr>
          <w:color w:val="1E293B"/>
          <w:sz w:val="20"/>
          <w:szCs w:val="20"/>
        </w:rPr>
        <w:t xml:space="preserve">87.5% of borrowers have zero public derogatory records. When collapsed to a binary flag the difference in default rate is less than 1 percentage point — confirming public records are among the weakest predictors in this dataset.</w:t>
      </w:r>
    </w:p>
    <w:p>
      <w:pPr>
        <w:spacing w:after="80"/>
      </w:pPr>
    </w:p>
    <w:p>
      <w:pPr>
        <w:spacing w:after="80"/>
        <w:jc w:val="center"/>
      </w:pPr>
      <w:r>
        <w:drawing>
          <wp:inline distT="0" distB="0" distL="0" distR="0">
            <wp:extent cx="5524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524500" cy="2667000"/>
                    </a:xfrm>
                    <a:prstGeom prst="rect">
                      <a:avLst/>
                    </a:prstGeom>
                  </pic:spPr>
                </pic:pic>
              </a:graphicData>
            </a:graphic>
          </wp:inline>
        </w:drawing>
      </w:r>
    </w:p>
    <w:p>
      <w:pPr>
        <w:spacing w:after="120"/>
        <w:jc w:val="center"/>
      </w:pPr>
      <w:r>
        <w:rPr>
          <w:i/>
          <w:iCs/>
          <w:color w:val="64748B"/>
          <w:sz w:val="17"/>
          <w:szCs w:val="17"/>
        </w:rPr>
        <w:t xml:space="preserve">Figure 18: Public record distribution and loan status by binary flag</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200"/>
            <w:shd w:fill="1E2761" w:val="clear"/>
            <w:tcMar>
              <w:top w:type="dxa" w:w="80"/>
              <w:left w:type="dxa" w:w="120"/>
              <w:bottom w:type="dxa" w:w="80"/>
              <w:right w:type="dxa" w:w="120"/>
            </w:tcMar>
          </w:tcPr>
          <w:p>
            <w:pPr>
              <w:jc w:val="left"/>
            </w:pPr>
            <w:r>
              <w:rPr>
                <w:b/>
                <w:bCs/>
                <w:color w:val="FFFFFF"/>
                <w:sz w:val="18"/>
                <w:szCs w:val="18"/>
              </w:rPr>
              <w:t xml:space="preserve">Group</w:t>
            </w:r>
          </w:p>
        </w:tc>
        <w:tc>
          <w:tcPr>
            <w:tcW w:type="dxa" w:w="6160"/>
            <w:shd w:fill="1E2761" w:val="clear"/>
            <w:tcMar>
              <w:top w:type="dxa" w:w="80"/>
              <w:left w:type="dxa" w:w="120"/>
              <w:bottom w:type="dxa" w:w="80"/>
              <w:right w:type="dxa" w:w="120"/>
            </w:tcMar>
          </w:tcPr>
          <w:p>
            <w:pPr>
              <w:jc w:val="left"/>
            </w:pPr>
            <w:r>
              <w:rPr>
                <w:b/>
                <w:bCs/>
                <w:color w:val="FFFFFF"/>
                <w:sz w:val="18"/>
                <w:szCs w:val="18"/>
              </w:rPr>
              <w:t xml:space="preserve">Default Rate</w:t>
            </w:r>
          </w:p>
        </w:tc>
      </w:tr>
      <w:tr>
        <w:tc>
          <w:tcPr>
            <w:tcW w:type="dxa" w:w="3200"/>
            <w:shd w:fill="F4F6F9" w:val="clear"/>
            <w:tcMar>
              <w:top w:type="dxa" w:w="80"/>
              <w:left w:type="dxa" w:w="120"/>
              <w:bottom w:type="dxa" w:w="80"/>
              <w:right w:type="dxa" w:w="120"/>
            </w:tcMar>
          </w:tcPr>
          <w:p>
            <w:pPr>
              <w:jc w:val="left"/>
            </w:pPr>
            <w:r>
              <w:rPr>
                <w:b w:val="false"/>
                <w:bCs w:val="false"/>
                <w:color w:val="1E293B"/>
                <w:sz w:val="18"/>
                <w:szCs w:val="18"/>
              </w:rPr>
              <w:t xml:space="preserve">No public record (0)</w:t>
            </w:r>
          </w:p>
        </w:tc>
        <w:tc>
          <w:tcPr>
            <w:tcW w:type="dxa" w:w="6160"/>
            <w:shd w:fill="F4F6F9" w:val="clear"/>
            <w:tcMar>
              <w:top w:type="dxa" w:w="80"/>
              <w:left w:type="dxa" w:w="120"/>
              <w:bottom w:type="dxa" w:w="80"/>
              <w:right w:type="dxa" w:w="120"/>
            </w:tcMar>
          </w:tcPr>
          <w:p>
            <w:pPr>
              <w:jc w:val="left"/>
            </w:pPr>
            <w:r>
              <w:rPr>
                <w:b w:val="false"/>
                <w:bCs w:val="false"/>
                <w:color w:val="1E293B"/>
                <w:sz w:val="18"/>
                <w:szCs w:val="18"/>
              </w:rPr>
              <w:t xml:space="preserve">18.86%</w:t>
            </w:r>
          </w:p>
        </w:tc>
      </w:tr>
      <w:tr>
        <w:tc>
          <w:tcPr>
            <w:tcW w:type="dxa" w:w="3200"/>
            <w:shd w:fill="FFFFFF" w:val="clear"/>
            <w:tcMar>
              <w:top w:type="dxa" w:w="80"/>
              <w:left w:type="dxa" w:w="120"/>
              <w:bottom w:type="dxa" w:w="80"/>
              <w:right w:type="dxa" w:w="120"/>
            </w:tcMar>
          </w:tcPr>
          <w:p>
            <w:pPr>
              <w:jc w:val="left"/>
            </w:pPr>
            <w:r>
              <w:rPr>
                <w:b w:val="false"/>
                <w:bCs w:val="false"/>
                <w:color w:val="1E293B"/>
                <w:sz w:val="18"/>
                <w:szCs w:val="18"/>
              </w:rPr>
              <w:t xml:space="preserve">Has public record (1+)</w:t>
            </w:r>
          </w:p>
        </w:tc>
        <w:tc>
          <w:tcPr>
            <w:tcW w:type="dxa" w:w="6160"/>
            <w:shd w:fill="FFFFFF" w:val="clear"/>
            <w:tcMar>
              <w:top w:type="dxa" w:w="80"/>
              <w:left w:type="dxa" w:w="120"/>
              <w:bottom w:type="dxa" w:w="80"/>
              <w:right w:type="dxa" w:w="120"/>
            </w:tcMar>
          </w:tcPr>
          <w:p>
            <w:pPr>
              <w:jc w:val="left"/>
            </w:pPr>
            <w:r>
              <w:rPr>
                <w:b w:val="false"/>
                <w:bCs w:val="false"/>
                <w:color w:val="1E293B"/>
                <w:sz w:val="18"/>
                <w:szCs w:val="18"/>
              </w:rPr>
              <w:t xml:space="preserve">19.74%</w:t>
            </w:r>
          </w:p>
        </w:tc>
      </w:tr>
    </w:tbl>
    <w:p>
      <w:pPr>
        <w:pBdr>
          <w:bottom w:val="single" w:color="1E2761" w:sz="6"/>
        </w:pBdr>
        <w:spacing w:after="120" w:before="400"/>
      </w:pPr>
      <w:r>
        <w:rPr>
          <w:b/>
          <w:bCs/>
          <w:color w:val="1E2761"/>
          <w:sz w:val="30"/>
          <w:szCs w:val="30"/>
        </w:rPr>
        <w:t xml:space="preserve">17. Loan Issuance Trend &amp; Default by Tenure</w:t>
      </w:r>
    </w:p>
    <w:p>
      <w:pPr>
        <w:spacing w:after="80" w:before="240"/>
      </w:pPr>
      <w:r>
        <w:rPr>
          <w:b/>
          <w:bCs/>
          <w:color w:val="2E75B6"/>
          <w:sz w:val="24"/>
          <w:szCs w:val="24"/>
        </w:rPr>
        <w:t xml:space="preserve">17.1 Issuance Trend</w:t>
      </w:r>
    </w:p>
    <w:p>
      <w:pPr>
        <w:spacing w:after="100"/>
        <w:jc w:val="both"/>
      </w:pPr>
      <w:r>
        <w:rPr>
          <w:color w:val="1E293B"/>
          <w:sz w:val="20"/>
          <w:szCs w:val="20"/>
        </w:rPr>
        <w:t xml:space="preserve">Loan issuances show a strong upward trend from 2007 to 2014, with acceleration from 2012 onward during a platform expansion period. Critically, the proportion of defaulters did not increase alongside total volume — defaults rose proportionally, confirming consistent underwriting quality throughout the period.</w:t>
      </w:r>
    </w:p>
    <w:p>
      <w:pPr>
        <w:spacing w:after="80"/>
      </w:pPr>
    </w:p>
    <w:p>
      <w:pPr>
        <w:spacing w:after="80"/>
        <w:jc w:val="center"/>
      </w:pPr>
      <w:r>
        <w:drawing>
          <wp:inline distT="0" distB="0" distL="0" distR="0">
            <wp:extent cx="5524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524500" cy="2286000"/>
                    </a:xfrm>
                    <a:prstGeom prst="rect">
                      <a:avLst/>
                    </a:prstGeom>
                  </pic:spPr>
                </pic:pic>
              </a:graphicData>
            </a:graphic>
          </wp:inline>
        </w:drawing>
      </w:r>
    </w:p>
    <w:p>
      <w:pPr>
        <w:spacing w:after="120"/>
        <w:jc w:val="center"/>
      </w:pPr>
      <w:r>
        <w:rPr>
          <w:i/>
          <w:iCs/>
          <w:color w:val="64748B"/>
          <w:sz w:val="17"/>
          <w:szCs w:val="17"/>
        </w:rPr>
        <w:t xml:space="preserve">Figure 19: Total loan issuances over time (2007–2014)</w:t>
      </w:r>
    </w:p>
    <w:p>
      <w:pPr>
        <w:spacing w:after="240"/>
      </w:pPr>
    </w:p>
    <w:p>
      <w:pPr>
        <w:spacing w:after="80" w:before="240"/>
      </w:pPr>
      <w:r>
        <w:rPr>
          <w:b/>
          <w:bCs/>
          <w:color w:val="2E75B6"/>
          <w:sz w:val="24"/>
          <w:szCs w:val="24"/>
        </w:rPr>
        <w:t xml:space="preserve">17.2 Default Risk by Loan Tenure</w:t>
      </w:r>
    </w:p>
    <w:p>
      <w:pPr>
        <w:spacing w:after="100"/>
        <w:jc w:val="both"/>
      </w:pPr>
      <w:r>
        <w:rPr>
          <w:color w:val="1E293B"/>
          <w:sz w:val="20"/>
          <w:szCs w:val="20"/>
        </w:rPr>
        <w:t xml:space="preserve">This is one of the most important time-based findings of the entire EDA. Default risk is not uniform across the loan lifecycle — it peaks sharply in the early months and then declines steadily as borrowers continue making payments.</w:t>
      </w:r>
    </w:p>
    <w:p>
      <w:pPr>
        <w:spacing w:after="80"/>
      </w:pPr>
    </w:p>
    <w:p>
      <w:pPr>
        <w:spacing w:after="80"/>
        <w:jc w:val="center"/>
      </w:pPr>
      <w:r>
        <w:drawing>
          <wp:inline distT="0" distB="0" distL="0" distR="0">
            <wp:extent cx="5524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524500" cy="2667000"/>
                    </a:xfrm>
                    <a:prstGeom prst="rect">
                      <a:avLst/>
                    </a:prstGeom>
                  </pic:spPr>
                </pic:pic>
              </a:graphicData>
            </a:graphic>
          </wp:inline>
        </w:drawing>
      </w:r>
    </w:p>
    <w:p>
      <w:pPr>
        <w:spacing w:after="120"/>
        <w:jc w:val="center"/>
      </w:pPr>
      <w:r>
        <w:rPr>
          <w:i/>
          <w:iCs/>
          <w:color w:val="64748B"/>
          <w:sz w:val="17"/>
          <w:szCs w:val="17"/>
        </w:rPr>
        <w:t xml:space="preserve">Figure 20: Default rate by months with bank — 60-month (left) and 36-month (right) loans</w:t>
      </w:r>
    </w:p>
    <w:p>
      <w:pPr>
        <w:spacing w:after="120"/>
      </w:pPr>
    </w:p>
    <w:p>
      <w:pPr>
        <w:spacing w:after="100"/>
        <w:jc w:val="both"/>
      </w:pPr>
      <w:r>
        <w:rPr>
          <w:color w:val="1E293B"/>
          <w:sz w:val="20"/>
          <w:szCs w:val="20"/>
        </w:rPr>
        <w:t xml:space="preserve">For 36-month loans, default risk peaks in months 5–7. For 60-month loans, the peak occurs at months 8–10, reaching approximately 40%+ before gradually falling toward zero near loan maturity. A borrower who successfully navigates the first 10–12 months is significantly more likely to fully repay.</w:t>
      </w:r>
    </w:p>
    <w:p>
      <w:pPr>
        <w:spacing w:after="100"/>
        <w:jc w:val="both"/>
      </w:pPr>
      <w:r>
        <w:rPr>
          <w:color w:val="1E293B"/>
          <w:sz w:val="20"/>
          <w:szCs w:val="20"/>
        </w:rPr>
        <w:t xml:space="preserve">This front-loaded default risk pattern directly motivates the survival analysis phase — understanding not just whether a borrower defaults but when within the loan lifecycle default is most likely to occur.</w:t>
      </w:r>
    </w:p>
    <w:p>
      <w:pPr>
        <w:pBdr>
          <w:bottom w:val="single" w:color="1E2761" w:sz="6"/>
        </w:pBdr>
        <w:spacing w:after="120" w:before="400"/>
      </w:pPr>
      <w:r>
        <w:rPr>
          <w:b/>
          <w:bCs/>
          <w:color w:val="1E2761"/>
          <w:sz w:val="30"/>
          <w:szCs w:val="30"/>
        </w:rPr>
        <w:t xml:space="preserve">18. Feature Predictive Strength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shd w:fill="1E2761" w:val="clear"/>
            <w:tcMar>
              <w:top w:type="dxa" w:w="80"/>
              <w:left w:type="dxa" w:w="120"/>
              <w:bottom w:type="dxa" w:w="80"/>
              <w:right w:type="dxa" w:w="120"/>
            </w:tcMar>
          </w:tcPr>
          <w:p>
            <w:pPr>
              <w:jc w:val="left"/>
            </w:pPr>
            <w:r>
              <w:rPr>
                <w:b/>
                <w:bCs/>
                <w:color w:val="FFFFFF"/>
                <w:sz w:val="18"/>
                <w:szCs w:val="18"/>
              </w:rPr>
              <w:t xml:space="preserve">Feature</w:t>
            </w:r>
          </w:p>
        </w:tc>
        <w:tc>
          <w:tcPr>
            <w:tcW w:type="dxa" w:w="2000"/>
            <w:shd w:fill="1E2761" w:val="clear"/>
            <w:tcMar>
              <w:top w:type="dxa" w:w="80"/>
              <w:left w:type="dxa" w:w="120"/>
              <w:bottom w:type="dxa" w:w="80"/>
              <w:right w:type="dxa" w:w="120"/>
            </w:tcMar>
          </w:tcPr>
          <w:p>
            <w:pPr>
              <w:jc w:val="left"/>
            </w:pPr>
            <w:r>
              <w:rPr>
                <w:b/>
                <w:bCs/>
                <w:color w:val="FFFFFF"/>
                <w:sz w:val="18"/>
                <w:szCs w:val="18"/>
              </w:rPr>
              <w:t xml:space="preserve">Default Rate Range</w:t>
            </w:r>
          </w:p>
        </w:tc>
        <w:tc>
          <w:tcPr>
            <w:tcW w:type="dxa" w:w="1600"/>
            <w:shd w:fill="1E2761" w:val="clear"/>
            <w:tcMar>
              <w:top w:type="dxa" w:w="80"/>
              <w:left w:type="dxa" w:w="120"/>
              <w:bottom w:type="dxa" w:w="80"/>
              <w:right w:type="dxa" w:w="120"/>
            </w:tcMar>
          </w:tcPr>
          <w:p>
            <w:pPr>
              <w:jc w:val="left"/>
            </w:pPr>
            <w:r>
              <w:rPr>
                <w:b/>
                <w:bCs/>
                <w:color w:val="FFFFFF"/>
                <w:sz w:val="18"/>
                <w:szCs w:val="18"/>
              </w:rPr>
              <w:t xml:space="preserve">Strength</w:t>
            </w:r>
          </w:p>
        </w:tc>
        <w:tc>
          <w:tcPr>
            <w:tcW w:type="dxa" w:w="3560"/>
            <w:shd w:fill="1E2761" w:val="clear"/>
            <w:tcMar>
              <w:top w:type="dxa" w:w="80"/>
              <w:left w:type="dxa" w:w="120"/>
              <w:bottom w:type="dxa" w:w="80"/>
              <w:right w:type="dxa" w:w="120"/>
            </w:tcMar>
          </w:tcPr>
          <w:p>
            <w:pPr>
              <w:jc w:val="left"/>
            </w:pPr>
            <w:r>
              <w:rPr>
                <w:b/>
                <w:bCs/>
                <w:color w:val="FFFFFF"/>
                <w:sz w:val="18"/>
                <w:szCs w:val="18"/>
              </w:rPr>
              <w:t xml:space="preserve">Action</w:t>
            </w:r>
          </w:p>
        </w:tc>
      </w:tr>
      <w:tr>
        <w:tc>
          <w:tcPr>
            <w:tcW w:type="dxa" w:w="2200"/>
            <w:shd w:fill="F4F6F9" w:val="clear"/>
            <w:tcMar>
              <w:top w:type="dxa" w:w="80"/>
              <w:left w:type="dxa" w:w="120"/>
              <w:bottom w:type="dxa" w:w="80"/>
              <w:right w:type="dxa" w:w="120"/>
            </w:tcMar>
          </w:tcPr>
          <w:p>
            <w:pPr>
              <w:jc w:val="left"/>
            </w:pPr>
            <w:r>
              <w:rPr>
                <w:b w:val="false"/>
                <w:bCs w:val="false"/>
                <w:color w:val="1E293B"/>
                <w:sz w:val="18"/>
                <w:szCs w:val="18"/>
              </w:rPr>
              <w:t xml:space="preserve">grade / sub_grade</w:t>
            </w:r>
          </w:p>
        </w:tc>
        <w:tc>
          <w:tcPr>
            <w:tcW w:type="dxa" w:w="2000"/>
            <w:shd w:fill="F4F6F9" w:val="clear"/>
            <w:tcMar>
              <w:top w:type="dxa" w:w="80"/>
              <w:left w:type="dxa" w:w="120"/>
              <w:bottom w:type="dxa" w:w="80"/>
              <w:right w:type="dxa" w:w="120"/>
            </w:tcMar>
          </w:tcPr>
          <w:p>
            <w:pPr>
              <w:jc w:val="left"/>
            </w:pPr>
            <w:r>
              <w:rPr>
                <w:b w:val="false"/>
                <w:bCs w:val="false"/>
                <w:color w:val="1E293B"/>
                <w:sz w:val="18"/>
                <w:szCs w:val="18"/>
              </w:rPr>
              <w:t xml:space="preserve">6.5% – 43.7%</w:t>
            </w:r>
          </w:p>
        </w:tc>
        <w:tc>
          <w:tcPr>
            <w:tcW w:type="dxa" w:w="1600"/>
            <w:shd w:fill="F4F6F9" w:val="clear"/>
            <w:tcMar>
              <w:top w:type="dxa" w:w="80"/>
              <w:left w:type="dxa" w:w="120"/>
              <w:bottom w:type="dxa" w:w="80"/>
              <w:right w:type="dxa" w:w="120"/>
            </w:tcMar>
          </w:tcPr>
          <w:p>
            <w:pPr>
              <w:jc w:val="left"/>
            </w:pPr>
            <w:r>
              <w:rPr>
                <w:b w:val="false"/>
                <w:bCs w:val="false"/>
                <w:color w:val="1E293B"/>
                <w:sz w:val="18"/>
                <w:szCs w:val="18"/>
              </w:rPr>
              <w:t xml:space="preserve">★★★★★ Strongest</w:t>
            </w:r>
          </w:p>
        </w:tc>
        <w:tc>
          <w:tcPr>
            <w:tcW w:type="dxa" w:w="3560"/>
            <w:shd w:fill="F4F6F9" w:val="clear"/>
            <w:tcMar>
              <w:top w:type="dxa" w:w="80"/>
              <w:left w:type="dxa" w:w="120"/>
              <w:bottom w:type="dxa" w:w="80"/>
              <w:right w:type="dxa" w:w="120"/>
            </w:tcMar>
          </w:tcPr>
          <w:p>
            <w:pPr>
              <w:jc w:val="left"/>
            </w:pPr>
            <w:r>
              <w:rPr>
                <w:b w:val="false"/>
                <w:bCs w:val="false"/>
                <w:color w:val="1E293B"/>
                <w:sz w:val="18"/>
                <w:szCs w:val="18"/>
              </w:rPr>
              <w:t xml:space="preserve">Keep — both encode risk score</w:t>
            </w:r>
          </w:p>
        </w:tc>
      </w:tr>
      <w:tr>
        <w:tc>
          <w:tcPr>
            <w:tcW w:type="dxa" w:w="2200"/>
            <w:shd w:fill="FFFFFF" w:val="clear"/>
            <w:tcMar>
              <w:top w:type="dxa" w:w="80"/>
              <w:left w:type="dxa" w:w="120"/>
              <w:bottom w:type="dxa" w:w="80"/>
              <w:right w:type="dxa" w:w="120"/>
            </w:tcMar>
          </w:tcPr>
          <w:p>
            <w:pPr>
              <w:jc w:val="left"/>
            </w:pPr>
            <w:r>
              <w:rPr>
                <w:b w:val="false"/>
                <w:bCs w:val="false"/>
                <w:color w:val="1E293B"/>
                <w:sz w:val="18"/>
                <w:szCs w:val="18"/>
              </w:rPr>
              <w:t xml:space="preserve">int_rate</w:t>
            </w:r>
          </w:p>
        </w:tc>
        <w:tc>
          <w:tcPr>
            <w:tcW w:type="dxa" w:w="2000"/>
            <w:shd w:fill="FFFFFF" w:val="clear"/>
            <w:tcMar>
              <w:top w:type="dxa" w:w="80"/>
              <w:left w:type="dxa" w:w="120"/>
              <w:bottom w:type="dxa" w:w="80"/>
              <w:right w:type="dxa" w:w="120"/>
            </w:tcMar>
          </w:tcPr>
          <w:p>
            <w:pPr>
              <w:jc w:val="left"/>
            </w:pPr>
            <w:r>
              <w:rPr>
                <w:b w:val="false"/>
                <w:bCs w:val="false"/>
                <w:color w:val="1E293B"/>
                <w:sz w:val="18"/>
                <w:szCs w:val="18"/>
              </w:rPr>
              <w:t xml:space="preserve">8–13% vs 14–20%+</w:t>
            </w:r>
          </w:p>
        </w:tc>
        <w:tc>
          <w:tcPr>
            <w:tcW w:type="dxa" w:w="1600"/>
            <w:shd w:fill="FFFFFF" w:val="clear"/>
            <w:tcMar>
              <w:top w:type="dxa" w:w="80"/>
              <w:left w:type="dxa" w:w="120"/>
              <w:bottom w:type="dxa" w:w="80"/>
              <w:right w:type="dxa" w:w="120"/>
            </w:tcMar>
          </w:tcPr>
          <w:p>
            <w:pPr>
              <w:jc w:val="left"/>
            </w:pPr>
            <w:r>
              <w:rPr>
                <w:b w:val="false"/>
                <w:bCs w:val="false"/>
                <w:color w:val="1E293B"/>
                <w:sz w:val="18"/>
                <w:szCs w:val="18"/>
              </w:rPr>
              <w:t xml:space="preserve">★★★★★ Very Strong</w:t>
            </w:r>
          </w:p>
        </w:tc>
        <w:tc>
          <w:tcPr>
            <w:tcW w:type="dxa" w:w="3560"/>
            <w:shd w:fill="FFFFFF" w:val="clear"/>
            <w:tcMar>
              <w:top w:type="dxa" w:w="80"/>
              <w:left w:type="dxa" w:w="120"/>
              <w:bottom w:type="dxa" w:w="80"/>
              <w:right w:type="dxa" w:w="120"/>
            </w:tcMar>
          </w:tcPr>
          <w:p>
            <w:pPr>
              <w:jc w:val="left"/>
            </w:pPr>
            <w:r>
              <w:rPr>
                <w:b w:val="false"/>
                <w:bCs w:val="false"/>
                <w:color w:val="1E293B"/>
                <w:sz w:val="18"/>
                <w:szCs w:val="18"/>
              </w:rPr>
              <w:t xml:space="preserve">Keep — continuous version of grade</w:t>
            </w:r>
          </w:p>
        </w:tc>
      </w:tr>
      <w:tr>
        <w:tc>
          <w:tcPr>
            <w:tcW w:type="dxa" w:w="2200"/>
            <w:shd w:fill="F4F6F9" w:val="clear"/>
            <w:tcMar>
              <w:top w:type="dxa" w:w="80"/>
              <w:left w:type="dxa" w:w="120"/>
              <w:bottom w:type="dxa" w:w="80"/>
              <w:right w:type="dxa" w:w="120"/>
            </w:tcMar>
          </w:tcPr>
          <w:p>
            <w:pPr>
              <w:jc w:val="left"/>
            </w:pPr>
            <w:r>
              <w:rPr>
                <w:b w:val="false"/>
                <w:bCs w:val="false"/>
                <w:color w:val="1E293B"/>
                <w:sz w:val="18"/>
                <w:szCs w:val="18"/>
              </w:rPr>
              <w:t xml:space="preserve">term</w:t>
            </w:r>
          </w:p>
        </w:tc>
        <w:tc>
          <w:tcPr>
            <w:tcW w:type="dxa" w:w="2000"/>
            <w:shd w:fill="F4F6F9" w:val="clear"/>
            <w:tcMar>
              <w:top w:type="dxa" w:w="80"/>
              <w:left w:type="dxa" w:w="120"/>
              <w:bottom w:type="dxa" w:w="80"/>
              <w:right w:type="dxa" w:w="120"/>
            </w:tcMar>
          </w:tcPr>
          <w:p>
            <w:pPr>
              <w:jc w:val="left"/>
            </w:pPr>
            <w:r>
              <w:rPr>
                <w:b w:val="false"/>
                <w:bCs w:val="false"/>
                <w:color w:val="1E293B"/>
                <w:sz w:val="18"/>
                <w:szCs w:val="18"/>
              </w:rPr>
              <w:t xml:space="preserve">~16% vs ~32%</w:t>
            </w:r>
          </w:p>
        </w:tc>
        <w:tc>
          <w:tcPr>
            <w:tcW w:type="dxa" w:w="1600"/>
            <w:shd w:fill="F4F6F9" w:val="clear"/>
            <w:tcMar>
              <w:top w:type="dxa" w:w="80"/>
              <w:left w:type="dxa" w:w="120"/>
              <w:bottom w:type="dxa" w:w="80"/>
              <w:right w:type="dxa" w:w="120"/>
            </w:tcMar>
          </w:tcPr>
          <w:p>
            <w:pPr>
              <w:jc w:val="left"/>
            </w:pPr>
            <w:r>
              <w:rPr>
                <w:b w:val="false"/>
                <w:bCs w:val="false"/>
                <w:color w:val="1E293B"/>
                <w:sz w:val="18"/>
                <w:szCs w:val="18"/>
              </w:rPr>
              <w:t xml:space="preserve">★★★★ Strong</w:t>
            </w:r>
          </w:p>
        </w:tc>
        <w:tc>
          <w:tcPr>
            <w:tcW w:type="dxa" w:w="3560"/>
            <w:shd w:fill="F4F6F9" w:val="clear"/>
            <w:tcMar>
              <w:top w:type="dxa" w:w="80"/>
              <w:left w:type="dxa" w:w="120"/>
              <w:bottom w:type="dxa" w:w="80"/>
              <w:right w:type="dxa" w:w="120"/>
            </w:tcMar>
          </w:tcPr>
          <w:p>
            <w:pPr>
              <w:jc w:val="left"/>
            </w:pPr>
            <w:r>
              <w:rPr>
                <w:b w:val="false"/>
                <w:bCs w:val="false"/>
                <w:color w:val="1E293B"/>
                <w:sz w:val="18"/>
                <w:szCs w:val="18"/>
              </w:rPr>
              <w:t xml:space="preserve">Keep — doubles default risk</w:t>
            </w:r>
          </w:p>
        </w:tc>
      </w:tr>
      <w:tr>
        <w:tc>
          <w:tcPr>
            <w:tcW w:type="dxa" w:w="2200"/>
            <w:shd w:fill="FFFFFF" w:val="clear"/>
            <w:tcMar>
              <w:top w:type="dxa" w:w="80"/>
              <w:left w:type="dxa" w:w="120"/>
              <w:bottom w:type="dxa" w:w="80"/>
              <w:right w:type="dxa" w:w="120"/>
            </w:tcMar>
          </w:tcPr>
          <w:p>
            <w:pPr>
              <w:jc w:val="left"/>
            </w:pPr>
            <w:r>
              <w:rPr>
                <w:b w:val="false"/>
                <w:bCs w:val="false"/>
                <w:color w:val="1E293B"/>
                <w:sz w:val="18"/>
                <w:szCs w:val="18"/>
              </w:rPr>
              <w:t xml:space="preserve">revol_util</w:t>
            </w:r>
          </w:p>
        </w:tc>
        <w:tc>
          <w:tcPr>
            <w:tcW w:type="dxa" w:w="2000"/>
            <w:shd w:fill="FFFFFF" w:val="clear"/>
            <w:tcMar>
              <w:top w:type="dxa" w:w="80"/>
              <w:left w:type="dxa" w:w="120"/>
              <w:bottom w:type="dxa" w:w="80"/>
              <w:right w:type="dxa" w:w="120"/>
            </w:tcMar>
          </w:tcPr>
          <w:p>
            <w:pPr>
              <w:jc w:val="left"/>
            </w:pPr>
            <w:r>
              <w:rPr>
                <w:b w:val="false"/>
                <w:bCs w:val="false"/>
                <w:color w:val="1E293B"/>
                <w:sz w:val="18"/>
                <w:szCs w:val="18"/>
              </w:rPr>
              <w:t xml:space="preserve">11.3% – 30.3%</w:t>
            </w:r>
          </w:p>
        </w:tc>
        <w:tc>
          <w:tcPr>
            <w:tcW w:type="dxa" w:w="1600"/>
            <w:shd w:fill="FFFFFF" w:val="clear"/>
            <w:tcMar>
              <w:top w:type="dxa" w:w="80"/>
              <w:left w:type="dxa" w:w="120"/>
              <w:bottom w:type="dxa" w:w="80"/>
              <w:right w:type="dxa" w:w="120"/>
            </w:tcMar>
          </w:tcPr>
          <w:p>
            <w:pPr>
              <w:jc w:val="left"/>
            </w:pPr>
            <w:r>
              <w:rPr>
                <w:b w:val="false"/>
                <w:bCs w:val="false"/>
                <w:color w:val="1E293B"/>
                <w:sz w:val="18"/>
                <w:szCs w:val="18"/>
              </w:rPr>
              <w:t xml:space="preserve">★★★ Moderate-Strong</w:t>
            </w:r>
          </w:p>
        </w:tc>
        <w:tc>
          <w:tcPr>
            <w:tcW w:type="dxa" w:w="3560"/>
            <w:shd w:fill="FFFFFF" w:val="clear"/>
            <w:tcMar>
              <w:top w:type="dxa" w:w="80"/>
              <w:left w:type="dxa" w:w="120"/>
              <w:bottom w:type="dxa" w:w="80"/>
              <w:right w:type="dxa" w:w="120"/>
            </w:tcMar>
          </w:tcPr>
          <w:p>
            <w:pPr>
              <w:jc w:val="left"/>
            </w:pPr>
            <w:r>
              <w:rPr>
                <w:b w:val="false"/>
                <w:bCs w:val="false"/>
                <w:color w:val="1E293B"/>
                <w:sz w:val="18"/>
                <w:szCs w:val="18"/>
              </w:rPr>
              <w:t xml:space="preserve">Keep — genuine pre-loan stress signal</w:t>
            </w:r>
          </w:p>
        </w:tc>
      </w:tr>
      <w:tr>
        <w:tc>
          <w:tcPr>
            <w:tcW w:type="dxa" w:w="2200"/>
            <w:shd w:fill="F4F6F9" w:val="clear"/>
            <w:tcMar>
              <w:top w:type="dxa" w:w="80"/>
              <w:left w:type="dxa" w:w="120"/>
              <w:bottom w:type="dxa" w:w="80"/>
              <w:right w:type="dxa" w:w="120"/>
            </w:tcMar>
          </w:tcPr>
          <w:p>
            <w:pPr>
              <w:jc w:val="left"/>
            </w:pPr>
            <w:r>
              <w:rPr>
                <w:b w:val="false"/>
                <w:bCs w:val="false"/>
                <w:color w:val="1E293B"/>
                <w:sz w:val="18"/>
                <w:szCs w:val="18"/>
              </w:rPr>
              <w:t xml:space="preserve">annual_inc</w:t>
            </w:r>
          </w:p>
        </w:tc>
        <w:tc>
          <w:tcPr>
            <w:tcW w:type="dxa" w:w="2000"/>
            <w:shd w:fill="F4F6F9" w:val="clear"/>
            <w:tcMar>
              <w:top w:type="dxa" w:w="80"/>
              <w:left w:type="dxa" w:w="120"/>
              <w:bottom w:type="dxa" w:w="80"/>
              <w:right w:type="dxa" w:w="120"/>
            </w:tcMar>
          </w:tcPr>
          <w:p>
            <w:pPr>
              <w:jc w:val="left"/>
            </w:pPr>
            <w:r>
              <w:rPr>
                <w:b w:val="false"/>
                <w:bCs w:val="false"/>
                <w:color w:val="1E293B"/>
                <w:sz w:val="18"/>
                <w:szCs w:val="18"/>
              </w:rPr>
              <w:t xml:space="preserve">24.1% → 13.2%</w:t>
            </w:r>
          </w:p>
        </w:tc>
        <w:tc>
          <w:tcPr>
            <w:tcW w:type="dxa" w:w="1600"/>
            <w:shd w:fill="F4F6F9" w:val="clear"/>
            <w:tcMar>
              <w:top w:type="dxa" w:w="80"/>
              <w:left w:type="dxa" w:w="120"/>
              <w:bottom w:type="dxa" w:w="80"/>
              <w:right w:type="dxa" w:w="120"/>
            </w:tcMar>
          </w:tcPr>
          <w:p>
            <w:pPr>
              <w:jc w:val="left"/>
            </w:pPr>
            <w:r>
              <w:rPr>
                <w:b w:val="false"/>
                <w:bCs w:val="false"/>
                <w:color w:val="1E293B"/>
                <w:sz w:val="18"/>
                <w:szCs w:val="18"/>
              </w:rPr>
              <w:t xml:space="preserve">★★★ Moderate</w:t>
            </w:r>
          </w:p>
        </w:tc>
        <w:tc>
          <w:tcPr>
            <w:tcW w:type="dxa" w:w="3560"/>
            <w:shd w:fill="F4F6F9" w:val="clear"/>
            <w:tcMar>
              <w:top w:type="dxa" w:w="80"/>
              <w:left w:type="dxa" w:w="120"/>
              <w:bottom w:type="dxa" w:w="80"/>
              <w:right w:type="dxa" w:w="120"/>
            </w:tcMar>
          </w:tcPr>
          <w:p>
            <w:pPr>
              <w:jc w:val="left"/>
            </w:pPr>
            <w:r>
              <w:rPr>
                <w:b w:val="false"/>
                <w:bCs w:val="false"/>
                <w:color w:val="1E293B"/>
                <w:sz w:val="18"/>
                <w:szCs w:val="18"/>
              </w:rPr>
              <w:t xml:space="preserve">Keep — log-transform recommended</w:t>
            </w:r>
          </w:p>
        </w:tc>
      </w:tr>
      <w:tr>
        <w:tc>
          <w:tcPr>
            <w:tcW w:type="dxa" w:w="2200"/>
            <w:shd w:fill="FFFFFF" w:val="clear"/>
            <w:tcMar>
              <w:top w:type="dxa" w:w="80"/>
              <w:left w:type="dxa" w:w="120"/>
              <w:bottom w:type="dxa" w:w="80"/>
              <w:right w:type="dxa" w:w="120"/>
            </w:tcMar>
          </w:tcPr>
          <w:p>
            <w:pPr>
              <w:jc w:val="left"/>
            </w:pPr>
            <w:r>
              <w:rPr>
                <w:b w:val="false"/>
                <w:bCs w:val="false"/>
                <w:color w:val="1E293B"/>
                <w:sz w:val="18"/>
                <w:szCs w:val="18"/>
              </w:rPr>
              <w:t xml:space="preserve">dti</w:t>
            </w:r>
          </w:p>
        </w:tc>
        <w:tc>
          <w:tcPr>
            <w:tcW w:type="dxa" w:w="2000"/>
            <w:shd w:fill="FFFFFF" w:val="clear"/>
            <w:tcMar>
              <w:top w:type="dxa" w:w="80"/>
              <w:left w:type="dxa" w:w="120"/>
              <w:bottom w:type="dxa" w:w="80"/>
              <w:right w:type="dxa" w:w="120"/>
            </w:tcMar>
          </w:tcPr>
          <w:p>
            <w:pPr>
              <w:jc w:val="left"/>
            </w:pPr>
            <w:r>
              <w:rPr>
                <w:b w:val="false"/>
                <w:bCs w:val="false"/>
                <w:color w:val="1E293B"/>
                <w:sz w:val="18"/>
                <w:szCs w:val="18"/>
              </w:rPr>
              <w:t xml:space="preserve">Higher for defaulters</w:t>
            </w:r>
          </w:p>
        </w:tc>
        <w:tc>
          <w:tcPr>
            <w:tcW w:type="dxa" w:w="1600"/>
            <w:shd w:fill="FFFFFF" w:val="clear"/>
            <w:tcMar>
              <w:top w:type="dxa" w:w="80"/>
              <w:left w:type="dxa" w:w="120"/>
              <w:bottom w:type="dxa" w:w="80"/>
              <w:right w:type="dxa" w:w="120"/>
            </w:tcMar>
          </w:tcPr>
          <w:p>
            <w:pPr>
              <w:jc w:val="left"/>
            </w:pPr>
            <w:r>
              <w:rPr>
                <w:b w:val="false"/>
                <w:bCs w:val="false"/>
                <w:color w:val="1E293B"/>
                <w:sz w:val="18"/>
                <w:szCs w:val="18"/>
              </w:rPr>
              <w:t xml:space="preserve">★★★ Moderate</w:t>
            </w:r>
          </w:p>
        </w:tc>
        <w:tc>
          <w:tcPr>
            <w:tcW w:type="dxa" w:w="3560"/>
            <w:shd w:fill="FFFFFF" w:val="clear"/>
            <w:tcMar>
              <w:top w:type="dxa" w:w="80"/>
              <w:left w:type="dxa" w:w="120"/>
              <w:bottom w:type="dxa" w:w="80"/>
              <w:right w:type="dxa" w:w="120"/>
            </w:tcMar>
          </w:tcPr>
          <w:p>
            <w:pPr>
              <w:jc w:val="left"/>
            </w:pPr>
            <w:r>
              <w:rPr>
                <w:b w:val="false"/>
                <w:bCs w:val="false"/>
                <w:color w:val="1E293B"/>
                <w:sz w:val="18"/>
                <w:szCs w:val="18"/>
              </w:rPr>
              <w:t xml:space="preserve">Keep — independent signal, low collinearity</w:t>
            </w:r>
          </w:p>
        </w:tc>
      </w:tr>
      <w:tr>
        <w:tc>
          <w:tcPr>
            <w:tcW w:type="dxa" w:w="2200"/>
            <w:shd w:fill="F4F6F9" w:val="clear"/>
            <w:tcMar>
              <w:top w:type="dxa" w:w="80"/>
              <w:left w:type="dxa" w:w="120"/>
              <w:bottom w:type="dxa" w:w="80"/>
              <w:right w:type="dxa" w:w="120"/>
            </w:tcMar>
          </w:tcPr>
          <w:p>
            <w:pPr>
              <w:jc w:val="left"/>
            </w:pPr>
            <w:r>
              <w:rPr>
                <w:b w:val="false"/>
                <w:bCs w:val="false"/>
                <w:color w:val="1E293B"/>
                <w:sz w:val="18"/>
                <w:szCs w:val="18"/>
              </w:rPr>
              <w:t xml:space="preserve">purpose_group</w:t>
            </w:r>
          </w:p>
        </w:tc>
        <w:tc>
          <w:tcPr>
            <w:tcW w:type="dxa" w:w="2000"/>
            <w:shd w:fill="F4F6F9" w:val="clear"/>
            <w:tcMar>
              <w:top w:type="dxa" w:w="80"/>
              <w:left w:type="dxa" w:w="120"/>
              <w:bottom w:type="dxa" w:w="80"/>
              <w:right w:type="dxa" w:w="120"/>
            </w:tcMar>
          </w:tcPr>
          <w:p>
            <w:pPr>
              <w:jc w:val="left"/>
            </w:pPr>
            <w:r>
              <w:rPr>
                <w:b w:val="false"/>
                <w:bCs w:val="false"/>
                <w:color w:val="1E293B"/>
                <w:sz w:val="18"/>
                <w:szCs w:val="18"/>
              </w:rPr>
              <w:t xml:space="preserve">13.6% – 28.7%</w:t>
            </w:r>
          </w:p>
        </w:tc>
        <w:tc>
          <w:tcPr>
            <w:tcW w:type="dxa" w:w="1600"/>
            <w:shd w:fill="F4F6F9" w:val="clear"/>
            <w:tcMar>
              <w:top w:type="dxa" w:w="80"/>
              <w:left w:type="dxa" w:w="120"/>
              <w:bottom w:type="dxa" w:w="80"/>
              <w:right w:type="dxa" w:w="120"/>
            </w:tcMar>
          </w:tcPr>
          <w:p>
            <w:pPr>
              <w:jc w:val="left"/>
            </w:pPr>
            <w:r>
              <w:rPr>
                <w:b w:val="false"/>
                <w:bCs w:val="false"/>
                <w:color w:val="1E293B"/>
                <w:sz w:val="18"/>
                <w:szCs w:val="18"/>
              </w:rPr>
              <w:t xml:space="preserve">★★ Moderate-Weak</w:t>
            </w:r>
          </w:p>
        </w:tc>
        <w:tc>
          <w:tcPr>
            <w:tcW w:type="dxa" w:w="3560"/>
            <w:shd w:fill="F4F6F9" w:val="clear"/>
            <w:tcMar>
              <w:top w:type="dxa" w:w="80"/>
              <w:left w:type="dxa" w:w="120"/>
              <w:bottom w:type="dxa" w:w="80"/>
              <w:right w:type="dxa" w:w="120"/>
            </w:tcMar>
          </w:tcPr>
          <w:p>
            <w:pPr>
              <w:jc w:val="left"/>
            </w:pPr>
            <w:r>
              <w:rPr>
                <w:b w:val="false"/>
                <w:bCs w:val="false"/>
                <w:color w:val="1E293B"/>
                <w:sz w:val="18"/>
                <w:szCs w:val="18"/>
              </w:rPr>
              <w:t xml:space="preserve">Keep — grouped from 13 to 5 categories</w:t>
            </w:r>
          </w:p>
        </w:tc>
      </w:tr>
      <w:tr>
        <w:tc>
          <w:tcPr>
            <w:tcW w:type="dxa" w:w="2200"/>
            <w:shd w:fill="FFFFFF" w:val="clear"/>
            <w:tcMar>
              <w:top w:type="dxa" w:w="80"/>
              <w:left w:type="dxa" w:w="120"/>
              <w:bottom w:type="dxa" w:w="80"/>
              <w:right w:type="dxa" w:w="120"/>
            </w:tcMar>
          </w:tcPr>
          <w:p>
            <w:pPr>
              <w:jc w:val="left"/>
            </w:pPr>
            <w:r>
              <w:rPr>
                <w:b w:val="false"/>
                <w:bCs w:val="false"/>
                <w:color w:val="1E293B"/>
                <w:sz w:val="18"/>
                <w:szCs w:val="18"/>
              </w:rPr>
              <w:t xml:space="preserve">home_ownership</w:t>
            </w:r>
          </w:p>
        </w:tc>
        <w:tc>
          <w:tcPr>
            <w:tcW w:type="dxa" w:w="2000"/>
            <w:shd w:fill="FFFFFF" w:val="clear"/>
            <w:tcMar>
              <w:top w:type="dxa" w:w="80"/>
              <w:left w:type="dxa" w:w="120"/>
              <w:bottom w:type="dxa" w:w="80"/>
              <w:right w:type="dxa" w:w="120"/>
            </w:tcMar>
          </w:tcPr>
          <w:p>
            <w:pPr>
              <w:jc w:val="left"/>
            </w:pPr>
            <w:r>
              <w:rPr>
                <w:b w:val="false"/>
                <w:bCs w:val="false"/>
                <w:color w:val="1E293B"/>
                <w:sz w:val="18"/>
                <w:szCs w:val="18"/>
              </w:rPr>
              <w:t xml:space="preserve">17.1% – 21.0%</w:t>
            </w:r>
          </w:p>
        </w:tc>
        <w:tc>
          <w:tcPr>
            <w:tcW w:type="dxa" w:w="1600"/>
            <w:shd w:fill="FFFFFF" w:val="clear"/>
            <w:tcMar>
              <w:top w:type="dxa" w:w="80"/>
              <w:left w:type="dxa" w:w="120"/>
              <w:bottom w:type="dxa" w:w="80"/>
              <w:right w:type="dxa" w:w="120"/>
            </w:tcMar>
          </w:tcPr>
          <w:p>
            <w:pPr>
              <w:jc w:val="left"/>
            </w:pPr>
            <w:r>
              <w:rPr>
                <w:b w:val="false"/>
                <w:bCs w:val="false"/>
                <w:color w:val="1E293B"/>
                <w:sz w:val="18"/>
                <w:szCs w:val="18"/>
              </w:rPr>
              <w:t xml:space="preserve">★★ Weak-Moderate</w:t>
            </w:r>
          </w:p>
        </w:tc>
        <w:tc>
          <w:tcPr>
            <w:tcW w:type="dxa" w:w="3560"/>
            <w:shd w:fill="FFFFFF" w:val="clear"/>
            <w:tcMar>
              <w:top w:type="dxa" w:w="80"/>
              <w:left w:type="dxa" w:w="120"/>
              <w:bottom w:type="dxa" w:w="80"/>
              <w:right w:type="dxa" w:w="120"/>
            </w:tcMar>
          </w:tcPr>
          <w:p>
            <w:pPr>
              <w:jc w:val="left"/>
            </w:pPr>
            <w:r>
              <w:rPr>
                <w:b w:val="false"/>
                <w:bCs w:val="false"/>
                <w:color w:val="1E293B"/>
                <w:sz w:val="18"/>
                <w:szCs w:val="18"/>
              </w:rPr>
              <w:t xml:space="preserve">Keep — supporting feature</w:t>
            </w:r>
          </w:p>
        </w:tc>
      </w:tr>
      <w:tr>
        <w:tc>
          <w:tcPr>
            <w:tcW w:type="dxa" w:w="2200"/>
            <w:shd w:fill="F4F6F9" w:val="clear"/>
            <w:tcMar>
              <w:top w:type="dxa" w:w="80"/>
              <w:left w:type="dxa" w:w="120"/>
              <w:bottom w:type="dxa" w:w="80"/>
              <w:right w:type="dxa" w:w="120"/>
            </w:tcMar>
          </w:tcPr>
          <w:p>
            <w:pPr>
              <w:jc w:val="left"/>
            </w:pPr>
            <w:r>
              <w:rPr>
                <w:b w:val="false"/>
                <w:bCs w:val="false"/>
                <w:color w:val="1E293B"/>
                <w:sz w:val="18"/>
                <w:szCs w:val="18"/>
              </w:rPr>
              <w:t xml:space="preserve">open_acc</w:t>
            </w:r>
          </w:p>
        </w:tc>
        <w:tc>
          <w:tcPr>
            <w:tcW w:type="dxa" w:w="2000"/>
            <w:shd w:fill="F4F6F9" w:val="clear"/>
            <w:tcMar>
              <w:top w:type="dxa" w:w="80"/>
              <w:left w:type="dxa" w:w="120"/>
              <w:bottom w:type="dxa" w:w="80"/>
              <w:right w:type="dxa" w:w="120"/>
            </w:tcMar>
          </w:tcPr>
          <w:p>
            <w:pPr>
              <w:jc w:val="left"/>
            </w:pPr>
            <w:r>
              <w:rPr>
                <w:b w:val="false"/>
                <w:bCs w:val="false"/>
                <w:color w:val="1E293B"/>
                <w:sz w:val="18"/>
                <w:szCs w:val="18"/>
              </w:rPr>
              <w:t xml:space="preserve">17.9% – 22.4%</w:t>
            </w:r>
          </w:p>
        </w:tc>
        <w:tc>
          <w:tcPr>
            <w:tcW w:type="dxa" w:w="1600"/>
            <w:shd w:fill="F4F6F9" w:val="clear"/>
            <w:tcMar>
              <w:top w:type="dxa" w:w="80"/>
              <w:left w:type="dxa" w:w="120"/>
              <w:bottom w:type="dxa" w:w="80"/>
              <w:right w:type="dxa" w:w="120"/>
            </w:tcMar>
          </w:tcPr>
          <w:p>
            <w:pPr>
              <w:jc w:val="left"/>
            </w:pPr>
            <w:r>
              <w:rPr>
                <w:b w:val="false"/>
                <w:bCs w:val="false"/>
                <w:color w:val="1E293B"/>
                <w:sz w:val="18"/>
                <w:szCs w:val="18"/>
              </w:rPr>
              <w:t xml:space="preserve">★★ Weak</w:t>
            </w:r>
          </w:p>
        </w:tc>
        <w:tc>
          <w:tcPr>
            <w:tcW w:type="dxa" w:w="3560"/>
            <w:shd w:fill="F4F6F9" w:val="clear"/>
            <w:tcMar>
              <w:top w:type="dxa" w:w="80"/>
              <w:left w:type="dxa" w:w="120"/>
              <w:bottom w:type="dxa" w:w="80"/>
              <w:right w:type="dxa" w:w="120"/>
            </w:tcMar>
          </w:tcPr>
          <w:p>
            <w:pPr>
              <w:jc w:val="left"/>
            </w:pPr>
            <w:r>
              <w:rPr>
                <w:b w:val="false"/>
                <w:bCs w:val="false"/>
                <w:color w:val="1E293B"/>
                <w:sz w:val="18"/>
                <w:szCs w:val="18"/>
              </w:rPr>
              <w:t xml:space="preserve">Keep as bin — mild monotonic signal</w:t>
            </w:r>
          </w:p>
        </w:tc>
      </w:tr>
      <w:tr>
        <w:tc>
          <w:tcPr>
            <w:tcW w:type="dxa" w:w="2200"/>
            <w:shd w:fill="FFFFFF" w:val="clear"/>
            <w:tcMar>
              <w:top w:type="dxa" w:w="80"/>
              <w:left w:type="dxa" w:w="120"/>
              <w:bottom w:type="dxa" w:w="80"/>
              <w:right w:type="dxa" w:w="120"/>
            </w:tcMar>
          </w:tcPr>
          <w:p>
            <w:pPr>
              <w:jc w:val="left"/>
            </w:pPr>
            <w:r>
              <w:rPr>
                <w:b w:val="false"/>
                <w:bCs w:val="false"/>
                <w:color w:val="1E293B"/>
                <w:sz w:val="18"/>
                <w:szCs w:val="18"/>
              </w:rPr>
              <w:t xml:space="preserve">total_acc</w:t>
            </w:r>
          </w:p>
        </w:tc>
        <w:tc>
          <w:tcPr>
            <w:tcW w:type="dxa" w:w="2000"/>
            <w:shd w:fill="FFFFFF" w:val="clear"/>
            <w:tcMar>
              <w:top w:type="dxa" w:w="80"/>
              <w:left w:type="dxa" w:w="120"/>
              <w:bottom w:type="dxa" w:w="80"/>
              <w:right w:type="dxa" w:w="120"/>
            </w:tcMar>
          </w:tcPr>
          <w:p>
            <w:pPr>
              <w:jc w:val="left"/>
            </w:pPr>
            <w:r>
              <w:rPr>
                <w:b w:val="false"/>
                <w:bCs w:val="false"/>
                <w:color w:val="1E293B"/>
                <w:sz w:val="18"/>
                <w:szCs w:val="18"/>
              </w:rPr>
              <w:t xml:space="preserve">20.8% → 16.7%</w:t>
            </w:r>
          </w:p>
        </w:tc>
        <w:tc>
          <w:tcPr>
            <w:tcW w:type="dxa" w:w="1600"/>
            <w:shd w:fill="FFFFFF" w:val="clear"/>
            <w:tcMar>
              <w:top w:type="dxa" w:w="80"/>
              <w:left w:type="dxa" w:w="120"/>
              <w:bottom w:type="dxa" w:w="80"/>
              <w:right w:type="dxa" w:w="120"/>
            </w:tcMar>
          </w:tcPr>
          <w:p>
            <w:pPr>
              <w:jc w:val="left"/>
            </w:pPr>
            <w:r>
              <w:rPr>
                <w:b w:val="false"/>
                <w:bCs w:val="false"/>
                <w:color w:val="1E293B"/>
                <w:sz w:val="18"/>
                <w:szCs w:val="18"/>
              </w:rPr>
              <w:t xml:space="preserve">★ Weak</w:t>
            </w:r>
          </w:p>
        </w:tc>
        <w:tc>
          <w:tcPr>
            <w:tcW w:type="dxa" w:w="3560"/>
            <w:shd w:fill="FFFFFF" w:val="clear"/>
            <w:tcMar>
              <w:top w:type="dxa" w:w="80"/>
              <w:left w:type="dxa" w:w="120"/>
              <w:bottom w:type="dxa" w:w="80"/>
              <w:right w:type="dxa" w:w="120"/>
            </w:tcMar>
          </w:tcPr>
          <w:p>
            <w:pPr>
              <w:jc w:val="left"/>
            </w:pPr>
            <w:r>
              <w:rPr>
                <w:b w:val="false"/>
                <w:bCs w:val="false"/>
                <w:color w:val="1E293B"/>
                <w:sz w:val="18"/>
                <w:szCs w:val="18"/>
              </w:rPr>
              <w:t xml:space="preserve">Keep as bin — mild negative trend</w:t>
            </w:r>
          </w:p>
        </w:tc>
      </w:tr>
      <w:tr>
        <w:tc>
          <w:tcPr>
            <w:tcW w:type="dxa" w:w="2200"/>
            <w:shd w:fill="F4F6F9" w:val="clear"/>
            <w:tcMar>
              <w:top w:type="dxa" w:w="80"/>
              <w:left w:type="dxa" w:w="120"/>
              <w:bottom w:type="dxa" w:w="80"/>
              <w:right w:type="dxa" w:w="120"/>
            </w:tcMar>
          </w:tcPr>
          <w:p>
            <w:pPr>
              <w:jc w:val="left"/>
            </w:pPr>
            <w:r>
              <w:rPr>
                <w:b w:val="false"/>
                <w:bCs w:val="false"/>
                <w:color w:val="1E293B"/>
                <w:sz w:val="18"/>
                <w:szCs w:val="18"/>
              </w:rPr>
              <w:t xml:space="preserve">delinq_2yrs</w:t>
            </w:r>
          </w:p>
        </w:tc>
        <w:tc>
          <w:tcPr>
            <w:tcW w:type="dxa" w:w="2000"/>
            <w:shd w:fill="F4F6F9" w:val="clear"/>
            <w:tcMar>
              <w:top w:type="dxa" w:w="80"/>
              <w:left w:type="dxa" w:w="120"/>
              <w:bottom w:type="dxa" w:w="80"/>
              <w:right w:type="dxa" w:w="120"/>
            </w:tcMar>
          </w:tcPr>
          <w:p>
            <w:pPr>
              <w:jc w:val="left"/>
            </w:pPr>
            <w:r>
              <w:rPr>
                <w:b w:val="false"/>
                <w:bCs w:val="false"/>
                <w:color w:val="1E293B"/>
                <w:sz w:val="18"/>
                <w:szCs w:val="18"/>
              </w:rPr>
              <w:t xml:space="preserve">18.7% vs 20.5%</w:t>
            </w:r>
          </w:p>
        </w:tc>
        <w:tc>
          <w:tcPr>
            <w:tcW w:type="dxa" w:w="1600"/>
            <w:shd w:fill="F4F6F9" w:val="clear"/>
            <w:tcMar>
              <w:top w:type="dxa" w:w="80"/>
              <w:left w:type="dxa" w:w="120"/>
              <w:bottom w:type="dxa" w:w="80"/>
              <w:right w:type="dxa" w:w="120"/>
            </w:tcMar>
          </w:tcPr>
          <w:p>
            <w:pPr>
              <w:jc w:val="left"/>
            </w:pPr>
            <w:r>
              <w:rPr>
                <w:b w:val="false"/>
                <w:bCs w:val="false"/>
                <w:color w:val="1E293B"/>
                <w:sz w:val="18"/>
                <w:szCs w:val="18"/>
              </w:rPr>
              <w:t xml:space="preserve">★ Weak</w:t>
            </w:r>
          </w:p>
        </w:tc>
        <w:tc>
          <w:tcPr>
            <w:tcW w:type="dxa" w:w="3560"/>
            <w:shd w:fill="F4F6F9" w:val="clear"/>
            <w:tcMar>
              <w:top w:type="dxa" w:w="80"/>
              <w:left w:type="dxa" w:w="120"/>
              <w:bottom w:type="dxa" w:w="80"/>
              <w:right w:type="dxa" w:w="120"/>
            </w:tcMar>
          </w:tcPr>
          <w:p>
            <w:pPr>
              <w:jc w:val="left"/>
            </w:pPr>
            <w:r>
              <w:rPr>
                <w:b w:val="false"/>
                <w:bCs w:val="false"/>
                <w:color w:val="1E293B"/>
                <w:sz w:val="18"/>
                <w:szCs w:val="18"/>
              </w:rPr>
              <w:t xml:space="preserve">Keep as binary flag only</w:t>
            </w:r>
          </w:p>
        </w:tc>
      </w:tr>
      <w:tr>
        <w:tc>
          <w:tcPr>
            <w:tcW w:type="dxa" w:w="2200"/>
            <w:shd w:fill="FFFFFF" w:val="clear"/>
            <w:tcMar>
              <w:top w:type="dxa" w:w="80"/>
              <w:left w:type="dxa" w:w="120"/>
              <w:bottom w:type="dxa" w:w="80"/>
              <w:right w:type="dxa" w:w="120"/>
            </w:tcMar>
          </w:tcPr>
          <w:p>
            <w:pPr>
              <w:jc w:val="left"/>
            </w:pPr>
            <w:r>
              <w:rPr>
                <w:b w:val="false"/>
                <w:bCs w:val="false"/>
                <w:color w:val="1E293B"/>
                <w:sz w:val="18"/>
                <w:szCs w:val="18"/>
              </w:rPr>
              <w:t xml:space="preserve">pub_rec</w:t>
            </w:r>
          </w:p>
        </w:tc>
        <w:tc>
          <w:tcPr>
            <w:tcW w:type="dxa" w:w="2000"/>
            <w:shd w:fill="FFFFFF" w:val="clear"/>
            <w:tcMar>
              <w:top w:type="dxa" w:w="80"/>
              <w:left w:type="dxa" w:w="120"/>
              <w:bottom w:type="dxa" w:w="80"/>
              <w:right w:type="dxa" w:w="120"/>
            </w:tcMar>
          </w:tcPr>
          <w:p>
            <w:pPr>
              <w:jc w:val="left"/>
            </w:pPr>
            <w:r>
              <w:rPr>
                <w:b w:val="false"/>
                <w:bCs w:val="false"/>
                <w:color w:val="1E293B"/>
                <w:sz w:val="18"/>
                <w:szCs w:val="18"/>
              </w:rPr>
              <w:t xml:space="preserve">18.9% vs 19.7%</w:t>
            </w:r>
          </w:p>
        </w:tc>
        <w:tc>
          <w:tcPr>
            <w:tcW w:type="dxa" w:w="1600"/>
            <w:shd w:fill="FFFFFF" w:val="clear"/>
            <w:tcMar>
              <w:top w:type="dxa" w:w="80"/>
              <w:left w:type="dxa" w:w="120"/>
              <w:bottom w:type="dxa" w:w="80"/>
              <w:right w:type="dxa" w:w="120"/>
            </w:tcMar>
          </w:tcPr>
          <w:p>
            <w:pPr>
              <w:jc w:val="left"/>
            </w:pPr>
            <w:r>
              <w:rPr>
                <w:b w:val="false"/>
                <w:bCs w:val="false"/>
                <w:color w:val="1E293B"/>
                <w:sz w:val="18"/>
                <w:szCs w:val="18"/>
              </w:rPr>
              <w:t xml:space="preserve">✗ Negligible</w:t>
            </w:r>
          </w:p>
        </w:tc>
        <w:tc>
          <w:tcPr>
            <w:tcW w:type="dxa" w:w="3560"/>
            <w:shd w:fill="FFFFFF" w:val="clear"/>
            <w:tcMar>
              <w:top w:type="dxa" w:w="80"/>
              <w:left w:type="dxa" w:w="120"/>
              <w:bottom w:type="dxa" w:w="80"/>
              <w:right w:type="dxa" w:w="120"/>
            </w:tcMar>
          </w:tcPr>
          <w:p>
            <w:pPr>
              <w:jc w:val="left"/>
            </w:pPr>
            <w:r>
              <w:rPr>
                <w:b w:val="false"/>
                <w:bCs w:val="false"/>
                <w:color w:val="1E293B"/>
                <w:sz w:val="18"/>
                <w:szCs w:val="18"/>
              </w:rPr>
              <w:t xml:space="preserve">Drop or binary flag — &lt;1pp difference</w:t>
            </w:r>
          </w:p>
        </w:tc>
      </w:tr>
      <w:tr>
        <w:tc>
          <w:tcPr>
            <w:tcW w:type="dxa" w:w="2200"/>
            <w:shd w:fill="F4F6F9" w:val="clear"/>
            <w:tcMar>
              <w:top w:type="dxa" w:w="80"/>
              <w:left w:type="dxa" w:w="120"/>
              <w:bottom w:type="dxa" w:w="80"/>
              <w:right w:type="dxa" w:w="120"/>
            </w:tcMar>
          </w:tcPr>
          <w:p>
            <w:pPr>
              <w:jc w:val="left"/>
            </w:pPr>
            <w:r>
              <w:rPr>
                <w:b w:val="false"/>
                <w:bCs w:val="false"/>
                <w:color w:val="1E293B"/>
                <w:sz w:val="18"/>
                <w:szCs w:val="18"/>
              </w:rPr>
              <w:t xml:space="preserve">revol_bal</w:t>
            </w:r>
          </w:p>
        </w:tc>
        <w:tc>
          <w:tcPr>
            <w:tcW w:type="dxa" w:w="2000"/>
            <w:shd w:fill="F4F6F9" w:val="clear"/>
            <w:tcMar>
              <w:top w:type="dxa" w:w="80"/>
              <w:left w:type="dxa" w:w="120"/>
              <w:bottom w:type="dxa" w:w="80"/>
              <w:right w:type="dxa" w:w="120"/>
            </w:tcMar>
          </w:tcPr>
          <w:p>
            <w:pPr>
              <w:jc w:val="left"/>
            </w:pPr>
            <w:r>
              <w:rPr>
                <w:b w:val="false"/>
                <w:bCs w:val="false"/>
                <w:color w:val="1E293B"/>
                <w:sz w:val="18"/>
                <w:szCs w:val="18"/>
              </w:rPr>
              <w:t xml:space="preserve">~Equal both groups</w:t>
            </w:r>
          </w:p>
        </w:tc>
        <w:tc>
          <w:tcPr>
            <w:tcW w:type="dxa" w:w="1600"/>
            <w:shd w:fill="F4F6F9" w:val="clear"/>
            <w:tcMar>
              <w:top w:type="dxa" w:w="80"/>
              <w:left w:type="dxa" w:w="120"/>
              <w:bottom w:type="dxa" w:w="80"/>
              <w:right w:type="dxa" w:w="120"/>
            </w:tcMar>
          </w:tcPr>
          <w:p>
            <w:pPr>
              <w:jc w:val="left"/>
            </w:pPr>
            <w:r>
              <w:rPr>
                <w:b w:val="false"/>
                <w:bCs w:val="false"/>
                <w:color w:val="1E293B"/>
                <w:sz w:val="18"/>
                <w:szCs w:val="18"/>
              </w:rPr>
              <w:t xml:space="preserve">✗ None</w:t>
            </w:r>
          </w:p>
        </w:tc>
        <w:tc>
          <w:tcPr>
            <w:tcW w:type="dxa" w:w="3560"/>
            <w:shd w:fill="F4F6F9" w:val="clear"/>
            <w:tcMar>
              <w:top w:type="dxa" w:w="80"/>
              <w:left w:type="dxa" w:w="120"/>
              <w:bottom w:type="dxa" w:w="80"/>
              <w:right w:type="dxa" w:w="120"/>
            </w:tcMar>
          </w:tcPr>
          <w:p>
            <w:pPr>
              <w:jc w:val="left"/>
            </w:pPr>
            <w:r>
              <w:rPr>
                <w:b w:val="false"/>
                <w:bCs w:val="false"/>
                <w:color w:val="1E293B"/>
                <w:sz w:val="18"/>
                <w:szCs w:val="18"/>
              </w:rPr>
              <w:t xml:space="preserve">Drop — zero discriminative power</w:t>
            </w:r>
          </w:p>
        </w:tc>
      </w:tr>
      <w:tr>
        <w:tc>
          <w:tcPr>
            <w:tcW w:type="dxa" w:w="2200"/>
            <w:shd w:fill="FFFFFF" w:val="clear"/>
            <w:tcMar>
              <w:top w:type="dxa" w:w="80"/>
              <w:left w:type="dxa" w:w="120"/>
              <w:bottom w:type="dxa" w:w="80"/>
              <w:right w:type="dxa" w:w="120"/>
            </w:tcMar>
          </w:tcPr>
          <w:p>
            <w:pPr>
              <w:jc w:val="left"/>
            </w:pPr>
            <w:r>
              <w:rPr>
                <w:b w:val="false"/>
                <w:bCs w:val="false"/>
                <w:color w:val="1E293B"/>
                <w:sz w:val="18"/>
                <w:szCs w:val="18"/>
              </w:rPr>
              <w:t xml:space="preserve">emp_length</w:t>
            </w:r>
          </w:p>
        </w:tc>
        <w:tc>
          <w:tcPr>
            <w:tcW w:type="dxa" w:w="2000"/>
            <w:shd w:fill="FFFFFF" w:val="clear"/>
            <w:tcMar>
              <w:top w:type="dxa" w:w="80"/>
              <w:left w:type="dxa" w:w="120"/>
              <w:bottom w:type="dxa" w:w="80"/>
              <w:right w:type="dxa" w:w="120"/>
            </w:tcMar>
          </w:tcPr>
          <w:p>
            <w:pPr>
              <w:jc w:val="left"/>
            </w:pPr>
            <w:r>
              <w:rPr>
                <w:b w:val="false"/>
                <w:bCs w:val="false"/>
                <w:color w:val="1E293B"/>
                <w:sz w:val="18"/>
                <w:szCs w:val="18"/>
              </w:rPr>
              <w:t xml:space="preserve">18–20% flat</w:t>
            </w:r>
          </w:p>
        </w:tc>
        <w:tc>
          <w:tcPr>
            <w:tcW w:type="dxa" w:w="1600"/>
            <w:shd w:fill="FFFFFF" w:val="clear"/>
            <w:tcMar>
              <w:top w:type="dxa" w:w="80"/>
              <w:left w:type="dxa" w:w="120"/>
              <w:bottom w:type="dxa" w:w="80"/>
              <w:right w:type="dxa" w:w="120"/>
            </w:tcMar>
          </w:tcPr>
          <w:p>
            <w:pPr>
              <w:jc w:val="left"/>
            </w:pPr>
            <w:r>
              <w:rPr>
                <w:b w:val="false"/>
                <w:bCs w:val="false"/>
                <w:color w:val="1E293B"/>
                <w:sz w:val="18"/>
                <w:szCs w:val="18"/>
              </w:rPr>
              <w:t xml:space="preserve">✗ None</w:t>
            </w:r>
          </w:p>
        </w:tc>
        <w:tc>
          <w:tcPr>
            <w:tcW w:type="dxa" w:w="3560"/>
            <w:shd w:fill="FFFFFF" w:val="clear"/>
            <w:tcMar>
              <w:top w:type="dxa" w:w="80"/>
              <w:left w:type="dxa" w:w="120"/>
              <w:bottom w:type="dxa" w:w="80"/>
              <w:right w:type="dxa" w:w="120"/>
            </w:tcMar>
          </w:tcPr>
          <w:p>
            <w:pPr>
              <w:jc w:val="left"/>
            </w:pPr>
            <w:r>
              <w:rPr>
                <w:b w:val="false"/>
                <w:bCs w:val="false"/>
                <w:color w:val="1E293B"/>
                <w:sz w:val="18"/>
                <w:szCs w:val="18"/>
              </w:rPr>
              <w:t xml:space="preserve">Drop — UNKNOWN flag only</w:t>
            </w:r>
          </w:p>
        </w:tc>
      </w:tr>
    </w:tbl>
    <w:p>
      <w:pPr>
        <w:spacing w:after="240"/>
      </w:pPr>
    </w:p>
    <w:p>
      <w:pPr>
        <w:pBdr>
          <w:bottom w:val="single" w:color="1E2761" w:sz="6"/>
        </w:pBdr>
        <w:spacing w:after="120" w:before="400"/>
      </w:pPr>
      <w:r>
        <w:rPr>
          <w:b/>
          <w:bCs/>
          <w:color w:val="1E2761"/>
          <w:sz w:val="30"/>
          <w:szCs w:val="30"/>
        </w:rPr>
        <w:t xml:space="preserve">19. Key Conclusions</w:t>
      </w:r>
    </w:p>
    <w:p>
      <w:pPr>
        <w:pStyle w:val="ListParagraph"/>
        <w:numPr>
          <w:ilvl w:val="0"/>
          <w:numId w:val="1"/>
        </w:numPr>
        <w:spacing w:after="80"/>
      </w:pPr>
      <w:r>
        <w:rPr>
          <w:b/>
          <w:bCs/>
          <w:color w:val="1E293B"/>
          <w:sz w:val="20"/>
          <w:szCs w:val="20"/>
        </w:rPr>
        <w:t xml:space="preserve">Grade and interest rate are the dominant signals — </w:t>
      </w:r>
      <w:r>
        <w:rPr>
          <w:color w:val="1E293B"/>
          <w:sz w:val="20"/>
          <w:szCs w:val="20"/>
        </w:rPr>
        <w:t xml:space="preserve">grade rises from 6.5% to 43.7% (7× gap), interest rate separates the two groups more cleanly than any other variable</w:t>
      </w:r>
    </w:p>
    <w:p>
      <w:pPr>
        <w:pStyle w:val="ListParagraph"/>
        <w:numPr>
          <w:ilvl w:val="0"/>
          <w:numId w:val="1"/>
        </w:numPr>
        <w:spacing w:after="80"/>
      </w:pPr>
      <w:r>
        <w:rPr>
          <w:b/>
          <w:bCs/>
          <w:color w:val="1E293B"/>
          <w:sz w:val="20"/>
          <w:szCs w:val="20"/>
        </w:rPr>
        <w:t xml:space="preserve">Revolving balance has zero discriminative power — </w:t>
      </w:r>
      <w:r>
        <w:rPr>
          <w:color w:val="1E293B"/>
          <w:sz w:val="20"/>
          <w:szCs w:val="20"/>
        </w:rPr>
        <w:t xml:space="preserve">but revolving utilization (the ratio) shows a clean 3× increase in default rate from low to high utilization</w:t>
      </w:r>
    </w:p>
    <w:p>
      <w:pPr>
        <w:pStyle w:val="ListParagraph"/>
        <w:numPr>
          <w:ilvl w:val="0"/>
          <w:numId w:val="1"/>
        </w:numPr>
        <w:spacing w:after="80"/>
      </w:pPr>
      <w:r>
        <w:rPr>
          <w:b/>
          <w:bCs/>
          <w:color w:val="1E293B"/>
          <w:sz w:val="20"/>
          <w:szCs w:val="20"/>
        </w:rPr>
        <w:t xml:space="preserve">Employment length is essentially useless — </w:t>
      </w:r>
      <w:r>
        <w:rPr>
          <w:color w:val="1E293B"/>
          <w:sz w:val="20"/>
          <w:szCs w:val="20"/>
        </w:rPr>
        <w:t xml:space="preserve">flat 18–20% default rate across all tenure categories; only the UNKNOWN status carries signal</w:t>
      </w:r>
    </w:p>
    <w:p>
      <w:pPr>
        <w:pStyle w:val="ListParagraph"/>
        <w:numPr>
          <w:ilvl w:val="0"/>
          <w:numId w:val="1"/>
        </w:numPr>
        <w:spacing w:after="80"/>
      </w:pPr>
      <w:r>
        <w:rPr>
          <w:b/>
          <w:bCs/>
          <w:color w:val="1E293B"/>
          <w:sz w:val="20"/>
          <w:szCs w:val="20"/>
        </w:rPr>
        <w:t xml:space="preserve">Default risk is front-loaded in the loan lifecycle — </w:t>
      </w:r>
      <w:r>
        <w:rPr>
          <w:color w:val="1E293B"/>
          <w:sz w:val="20"/>
          <w:szCs w:val="20"/>
        </w:rPr>
        <w:t xml:space="preserve">peaks in months 5–10 then declines; surviving the first year is the strongest signal of full repayment</w:t>
      </w:r>
    </w:p>
    <w:p>
      <w:pPr>
        <w:pStyle w:val="ListParagraph"/>
        <w:numPr>
          <w:ilvl w:val="0"/>
          <w:numId w:val="1"/>
        </w:numPr>
        <w:spacing w:after="80"/>
      </w:pPr>
      <w:r>
        <w:rPr>
          <w:b/>
          <w:bCs/>
          <w:color w:val="1E293B"/>
          <w:sz w:val="20"/>
          <w:szCs w:val="20"/>
        </w:rPr>
        <w:t xml:space="preserve">Loan issuance grew rapidly but quality remained consistent — </w:t>
      </w:r>
      <w:r>
        <w:rPr>
          <w:color w:val="1E293B"/>
          <w:sz w:val="20"/>
          <w:szCs w:val="20"/>
        </w:rPr>
        <w:t xml:space="preserve">default rate did not increase proportionally with volume across the 2007–2014 period</w:t>
      </w:r>
    </w:p>
    <w:p>
      <w:pPr>
        <w:pStyle w:val="ListParagraph"/>
        <w:numPr>
          <w:ilvl w:val="0"/>
          <w:numId w:val="1"/>
        </w:numPr>
        <w:spacing w:after="80"/>
      </w:pPr>
      <w:r>
        <w:rPr>
          <w:b/>
          <w:bCs/>
          <w:color w:val="1E293B"/>
          <w:sz w:val="20"/>
          <w:szCs w:val="20"/>
        </w:rPr>
        <w:t xml:space="preserve">DTI provides independent information — </w:t>
      </w:r>
      <w:r>
        <w:rPr>
          <w:color w:val="1E293B"/>
          <w:sz w:val="20"/>
          <w:szCs w:val="20"/>
        </w:rPr>
        <w:t xml:space="preserve">low correlation with all other features (max r=0.31) means it adds unique predictive signal</w:t>
      </w:r>
    </w:p>
    <w:p>
      <w:pPr>
        <w:spacing w:after="120"/>
      </w:pPr>
    </w:p>
    <w:sectPr>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efb758c27bdefea47892ecb53a032946e8ff491.undefined"/><Relationship Id="rId8" Type="http://schemas.openxmlformats.org/officeDocument/2006/relationships/image" Target="media/5f9a58c5f642ab376428c5aae958626703cc73ed.undefined"/><Relationship Id="rId9" Type="http://schemas.openxmlformats.org/officeDocument/2006/relationships/image" Target="media/ae7cba7237acf78187a4b81ed38441e396b43997.undefined"/><Relationship Id="rId10" Type="http://schemas.openxmlformats.org/officeDocument/2006/relationships/image" Target="media/150a6654fdbe91f2e6a27b636f6a3fdbd42babaf.undefined"/><Relationship Id="rId11" Type="http://schemas.openxmlformats.org/officeDocument/2006/relationships/image" Target="media/d95e5cd6762f1f6f88dd31ad35b9d994a8adb054.undefined"/><Relationship Id="rId12" Type="http://schemas.openxmlformats.org/officeDocument/2006/relationships/image" Target="media/f038c5fb3b5674dd4de918866cd299d205cb91d7.undefined"/><Relationship Id="rId13" Type="http://schemas.openxmlformats.org/officeDocument/2006/relationships/image" Target="media/41fd6c5e6bb908ba251ad5defc8021f2dd604a4e.undefined"/><Relationship Id="rId14" Type="http://schemas.openxmlformats.org/officeDocument/2006/relationships/image" Target="media/28a5e7d507f9dfa83f58a246b17906cbc2e59715.undefined"/><Relationship Id="rId15" Type="http://schemas.openxmlformats.org/officeDocument/2006/relationships/image" Target="media/6e07fd5b03fbc8806148d21155fa8216440ff0d1.undefined"/><Relationship Id="rId16" Type="http://schemas.openxmlformats.org/officeDocument/2006/relationships/image" Target="media/e5ba33812f8e1c91f9ffb26439784cb7763f5f68.undefined"/><Relationship Id="rId17" Type="http://schemas.openxmlformats.org/officeDocument/2006/relationships/image" Target="media/0f1c180d7d397c4c7bfc00b56fa34c4502d18b7f.undefined"/><Relationship Id="rId18" Type="http://schemas.openxmlformats.org/officeDocument/2006/relationships/image" Target="media/65a65d2a3cde17131b2f2e7633041482689ed7e1.undefined"/><Relationship Id="rId19" Type="http://schemas.openxmlformats.org/officeDocument/2006/relationships/image" Target="media/609517abfd9f1c863d54251795b4f5ddb6a18c8f.undefined"/><Relationship Id="rId20" Type="http://schemas.openxmlformats.org/officeDocument/2006/relationships/image" Target="media/a1a59de6acc0e25496bea1f013f6d11c158c8e07.undefined"/><Relationship Id="rId21" Type="http://schemas.openxmlformats.org/officeDocument/2006/relationships/image" Target="media/8f2b9bea8d5b0bedc8c9a5c14bc62ce113db5013.undefined"/><Relationship Id="rId22" Type="http://schemas.openxmlformats.org/officeDocument/2006/relationships/image" Target="media/e97b46bff8460385bc9929d1095a7b6ba68006ed.undefined"/><Relationship Id="rId23" Type="http://schemas.openxmlformats.org/officeDocument/2006/relationships/image" Target="media/9d983e38905949c8ea870edb00bf576695187906.undefined"/><Relationship Id="rId24" Type="http://schemas.openxmlformats.org/officeDocument/2006/relationships/image" Target="media/59d2054797fe71f439bde5012501bccc1a7043ea.undefined"/><Relationship Id="rId25" Type="http://schemas.openxmlformats.org/officeDocument/2006/relationships/image" Target="media/97a15d91db17e53596a2b67dc3d4ab0733f10f24.undefined"/><Relationship Id="rId26" Type="http://schemas.openxmlformats.org/officeDocument/2006/relationships/image" Target="media/79b3684fb4e6bcde7bd44e38a9fec04ba2bae898.undefined"/><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2026-07-23T16:13:22.055Z</dcterms:created>
  <dcterms:modified xsi:type="dcterms:W3CDTF">2026-07-23T16:13:22.070Z</dcterms:modified>
</cp:coreProperties>
</file>

<file path=docProps/custom.xml><?xml version="1.0" encoding="utf-8"?>
<Properties xmlns="http://schemas.openxmlformats.org/officeDocument/2006/custom-properties" xmlns:vt="http://schemas.openxmlformats.org/officeDocument/2006/docPropsVTypes"/>
</file>