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B6670"/>
          <w:spacing w:val="40"/>
          <w:sz w:val="17"/>
          <w:szCs w:val="17"/>
        </w:rPr>
        <w:t xml:space="preserve">DEV AASTHA · SHIPROCKET QUICK REPORT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6202A"/>
          <w:sz w:val="36"/>
          <w:szCs w:val="36"/>
        </w:rPr>
        <w:t xml:space="preserve">Shipping cost, weight discrepancy, COD remittance and pickups</w:t>
      </w:r>
    </w:p>
    <w:p>
      <w:pPr>
        <w:spacing w:after="160" w:before="0"/>
      </w:pPr>
      <w:r>
        <w:rPr>
          <w:rFonts w:ascii="Calibri" w:cs="Calibri" w:eastAsia="Calibri" w:hAnsi="Calibri"/>
          <w:color w:val="5B6670"/>
          <w:sz w:val="19"/>
          <w:szCs w:val="19"/>
        </w:rPr>
        <w:t xml:space="preserve">17 August – 15 September 2026 · prepared 15 September 2026 · source: Shiprocket exports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1. Wallet: recharge vs spend vs orders vs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685"/>
        <w:gridCol w:w="2059"/>
        <w:gridCol w:w="2059"/>
        <w:gridCol w:w="1872"/>
      </w:tblGrid>
      <w:tr>
        <w:trPr>
          <w:tblHeader/>
        </w:trPr>
        <w:tc>
          <w:tcPr>
            <w:tcW w:type="dxa" w:w="1685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Recharged</w:t>
            </w:r>
          </w:p>
        </w:tc>
        <w:tc>
          <w:tcPr>
            <w:tcW w:type="dxa" w:w="1685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Spent</w:t>
            </w:r>
          </w:p>
        </w:tc>
        <w:tc>
          <w:tcPr>
            <w:tcW w:type="dxa" w:w="2059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Orders received</w:t>
            </w:r>
          </w:p>
        </w:tc>
        <w:tc>
          <w:tcPr>
            <w:tcW w:type="dxa" w:w="2059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Sales (shipped)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Shipping % of sales</w:t>
            </w:r>
          </w:p>
        </w:tc>
      </w:tr>
      <w:tr>
        <w:tc>
          <w:tcPr>
            <w:tcW w:type="dxa" w:w="1685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₹1,98,000</w:t>
            </w:r>
          </w:p>
        </w:tc>
        <w:tc>
          <w:tcPr>
            <w:tcW w:type="dxa" w:w="1685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₹1,50,458</w:t>
            </w:r>
          </w:p>
        </w:tc>
        <w:tc>
          <w:tcPr>
            <w:tcW w:type="dxa" w:w="2059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861 (626 shipped)</w:t>
            </w:r>
          </w:p>
        </w:tc>
        <w:tc>
          <w:tcPr>
            <w:tcW w:type="dxa" w:w="2059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₹11,65,094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12.9%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The ₹47,542 gap between recharge and spend cannot be explained without the passbook export. One ₹15,000 recharge failed on 2 September.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2. Where the ₹1,50,458 went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Amount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Share</w:t>
            </w:r>
          </w:p>
        </w:tc>
      </w:tr>
      <w:tr>
        <w:tc>
          <w:tcPr>
            <w:tcW w:type="dxa" w:w="561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Forward freight on delivered orders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₹1,11,262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74%</w:t>
            </w:r>
          </w:p>
        </w:tc>
      </w:tr>
      <w:tr>
        <w:tc>
          <w:tcPr>
            <w:tcW w:type="dxa" w:w="561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COD collection charges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₹15,696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561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RTO (forward lost + return freight + COD charge)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₹27,014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561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₹1,50,458</w:t>
            </w:r>
          </w:p>
        </w:tc>
        <w:tc>
          <w:tcPr>
            <w:tcW w:type="dxa" w:w="187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the bill is high: </w:t>
      </w:r>
      <w:r>
        <w:rPr>
          <w:rFonts w:ascii="Calibri" w:cs="Calibri" w:eastAsia="Calibri" w:hAnsi="Calibri"/>
          <w:sz w:val="21"/>
          <w:szCs w:val="21"/>
        </w:rPr>
        <w:t xml:space="preserve">71 returns (all but 2 were COD) cost ₹23,501, and 187 shipments went by Air at ₹67 more than Surface, adding ₹12,499.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3. Average shipping cost: COD vs Prepaid (AOV vs ASC)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936"/>
        <w:gridCol w:w="1498"/>
        <w:gridCol w:w="1123"/>
        <w:gridCol w:w="1498"/>
        <w:gridCol w:w="1778"/>
        <w:gridCol w:w="1310"/>
      </w:tblGrid>
      <w:tr>
        <w:trPr>
          <w:tblHeader/>
        </w:trPr>
        <w:tc>
          <w:tcPr>
            <w:tcW w:type="dxa" w:w="1217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Segment</w:t>
            </w:r>
          </w:p>
        </w:tc>
        <w:tc>
          <w:tcPr>
            <w:tcW w:type="dxa" w:w="93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Orders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Sales</w:t>
            </w:r>
          </w:p>
        </w:tc>
        <w:tc>
          <w:tcPr>
            <w:tcW w:type="dxa" w:w="1123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AOV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ASC per shipment</w:t>
            </w:r>
          </w:p>
        </w:tc>
        <w:tc>
          <w:tcPr>
            <w:tcW w:type="dxa" w:w="177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ASC per delivered order</w:t>
            </w:r>
          </w:p>
        </w:tc>
        <w:tc>
          <w:tcPr>
            <w:tcW w:type="dxa" w:w="1310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% of AOV</w:t>
            </w:r>
          </w:p>
        </w:tc>
      </w:tr>
      <w:tr>
        <w:tc>
          <w:tcPr>
            <w:tcW w:type="dxa" w:w="1217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COD</w:t>
            </w:r>
          </w:p>
        </w:tc>
        <w:tc>
          <w:tcPr>
            <w:tcW w:type="dxa" w:w="93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381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₹6,14,209</w:t>
            </w:r>
          </w:p>
        </w:tc>
        <w:tc>
          <w:tcPr>
            <w:tcW w:type="dxa" w:w="1123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₹1,669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₹247</w:t>
            </w:r>
          </w:p>
        </w:tc>
        <w:tc>
          <w:tcPr>
            <w:tcW w:type="dxa" w:w="177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₹302</w:t>
            </w:r>
          </w:p>
        </w:tc>
        <w:tc>
          <w:tcPr>
            <w:tcW w:type="dxa" w:w="1310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18.2%</w:t>
            </w:r>
          </w:p>
        </w:tc>
      </w:tr>
      <w:tr>
        <w:tc>
          <w:tcPr>
            <w:tcW w:type="dxa" w:w="1217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Prepaid</w:t>
            </w:r>
          </w:p>
        </w:tc>
        <w:tc>
          <w:tcPr>
            <w:tcW w:type="dxa" w:w="93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290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₹5,35,489</w:t>
            </w:r>
          </w:p>
        </w:tc>
        <w:tc>
          <w:tcPr>
            <w:tcW w:type="dxa" w:w="1123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₹2,052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₹194</w:t>
            </w:r>
          </w:p>
        </w:tc>
        <w:tc>
          <w:tcPr>
            <w:tcW w:type="dxa" w:w="177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₹195</w:t>
            </w:r>
          </w:p>
        </w:tc>
        <w:tc>
          <w:tcPr>
            <w:tcW w:type="dxa" w:w="1310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9.5%</w:t>
            </w:r>
          </w:p>
        </w:tc>
      </w:tr>
      <w:tr>
        <w:tc>
          <w:tcPr>
            <w:tcW w:type="dxa" w:w="1217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All</w:t>
            </w:r>
          </w:p>
        </w:tc>
        <w:tc>
          <w:tcPr>
            <w:tcW w:type="dxa" w:w="93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671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₹11,49,698</w:t>
            </w:r>
          </w:p>
        </w:tc>
        <w:tc>
          <w:tcPr>
            <w:tcW w:type="dxa" w:w="1123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₹1,828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₹224</w:t>
            </w:r>
          </w:p>
        </w:tc>
        <w:tc>
          <w:tcPr>
            <w:tcW w:type="dxa" w:w="177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₹251</w:t>
            </w:r>
          </w:p>
        </w:tc>
        <w:tc>
          <w:tcPr>
            <w:tcW w:type="dxa" w:w="1310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13.6%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A COD order costs ₹107 more to deliver than a prepaid one and sells for ₹383 less. Orders under ₹1,300 lose 18% of their value to shipping.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4. Weight discrepancy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Metric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Cases (29 Jun – 7 Aug)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Extra charged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₹13,185 (average ₹101 per case)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Entered vs charged weight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0.61 kg → 1.67 kg average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Disputed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0 of 130, all auto-accepted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Root cause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Every Shopify product is set to 0 kg</w:t>
            </w:r>
          </w:p>
        </w:tc>
      </w:tr>
      <w:tr>
        <w:tc>
          <w:tcPr>
            <w:tcW w:type="dxa" w:w="3276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Current period</w:t>
            </w:r>
          </w:p>
        </w:tc>
        <w:tc>
          <w:tcPr>
            <w:tcW w:type="dxa" w:w="6084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628 of 671 shipments still unbilled; this month's discrepancies are yet to come</w:t>
            </w:r>
          </w:p>
        </w:tc>
      </w:tr>
    </w:tbl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5. COD remittance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1498"/>
        <w:gridCol w:w="2621"/>
      </w:tblGrid>
      <w:tr>
        <w:trPr>
          <w:tblHeader/>
        </w:trP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Status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Orders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B6670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Total COD delivered in period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187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shd w:fill="EEF1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02A"/>
                <w:sz w:val="19"/>
                <w:szCs w:val="19"/>
              </w:rPr>
              <w:t xml:space="preserve">₹3,18,509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Paid to bank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94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₹1,63,678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Scheduled, next batch around 16 Sep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24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₹38,949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Pending, due 18 to 25 Sep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69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₹1,15,882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Still in transit or NDR (not yet delivered)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110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₹1,75,535</w:t>
            </w:r>
          </w:p>
        </w:tc>
      </w:tr>
      <w:tr>
        <w:tc>
          <w:tcPr>
            <w:tcW w:type="dxa" w:w="5242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RTO, not receivable</w:t>
            </w:r>
          </w:p>
        </w:tc>
        <w:tc>
          <w:tcPr>
            <w:tcW w:type="dxa" w:w="1498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63</w:t>
            </w:r>
          </w:p>
        </w:tc>
        <w:tc>
          <w:tcPr>
            <w:tcW w:type="dxa" w:w="2621"/>
            <w:tcBorders>
              <w:top w:val="single" w:color="D9DED9" w:sz="4"/>
              <w:left w:val="none" w:color="FFFFFF" w:sz="0"/>
              <w:bottom w:val="single" w:color="D9DED9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6202A"/>
                <w:sz w:val="19"/>
                <w:szCs w:val="19"/>
              </w:rPr>
              <w:t xml:space="preserve">₹1,07,773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sz w:val="21"/>
          <w:szCs w:val="21"/>
        </w:rPr>
        <w:t xml:space="preserve">13 batches paid in the period totalling ₹2,82,707, all "Remittance success", zero deductions. Cycle is D+8 (paid 8 to 10 days after delivery).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6. Pickup scheduled but not picked up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88 orders from the 14 September batch were waiting for the normal next-day pickup. Three orders are genuinely stuck: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3573 </w:t>
      </w:r>
      <w:r>
        <w:rPr>
          <w:rFonts w:ascii="Calibri" w:cs="Calibri" w:eastAsia="Calibri" w:hAnsi="Calibri"/>
          <w:sz w:val="21"/>
          <w:szCs w:val="21"/>
        </w:rPr>
        <w:t xml:space="preserve">· Delhivery Air · out for pickup since 7 September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3548 </w:t>
      </w:r>
      <w:r>
        <w:rPr>
          <w:rFonts w:ascii="Calibri" w:cs="Calibri" w:eastAsia="Calibri" w:hAnsi="Calibri"/>
          <w:sz w:val="21"/>
          <w:szCs w:val="21"/>
        </w:rPr>
        <w:t xml:space="preserve">· Bluedart Surface · ₹6,799 · "customer could not hand over the shipment"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3836 </w:t>
      </w:r>
      <w:r>
        <w:rPr>
          <w:rFonts w:ascii="Calibri" w:cs="Calibri" w:eastAsia="Calibri" w:hAnsi="Calibri"/>
          <w:sz w:val="21"/>
          <w:szCs w:val="21"/>
        </w:rPr>
        <w:t xml:space="preserve">· Bluedart Surface · ₹7,774 · pickup rescheduled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7. Gaps that matter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weights are 0 kg in Shopify, so the courier scale always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dispute process for weight discrepancies; 130 of 130 auto-accepted.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courier rule: 28% of shipments on Air, most of them COD.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risk check on COD: 18% RTO rate, ₹1.08 lakh of sales returned.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Free shipping on orders under ₹1,300, the worst-performing bucket.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not reconciled monthly; ₹47,542 unexplained.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color w:val="16202A"/>
        </w:rPr>
        <w:t xml:space="preserve">Do first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Set real packed weights in Shopify, switch COD to Surface only, and add a confirmation call on GoKwik "High Risk" COD orders. Together these are worth roughly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₹25,000 to ₹30,000 a month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670"/>
        <w:sz w:val="15"/>
        <w:szCs w:val="15"/>
      </w:rPr>
      <w:t xml:space="preserve">Page </w:t>
    </w:r>
    <w:r>
      <w:rPr>
        <w:rFonts w:ascii="Calibri" w:cs="Calibri" w:eastAsia="Calibri" w:hAnsi="Calibri"/>
        <w:color w:val="5B66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Calibri" w:cs="Calibri" w:eastAsia="Calibri" w:hAnsi="Calibri"/>
        <w:color w:val="5B6670"/>
        <w:sz w:val="15"/>
        <w:szCs w:val="15"/>
      </w:rPr>
      <w:t xml:space="preserve">Dev Aastha · Shiprocket quick report · 17 Aug – 15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Calibri" w:cs="Calibri" w:eastAsia="Calibri" w:hAnsi="Calibri"/>
      <w:b/>
      <w:bCs/>
      <w:color w:val="1620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2026-09-15T07:26:54.202Z</dcterms:created>
  <dcterms:modified xsi:type="dcterms:W3CDTF">2026-09-15T07:26:54.214Z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