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7EF18" w14:textId="77777777" w:rsidR="00CC4E83" w:rsidRPr="00CC4E83" w:rsidRDefault="00CC4E83" w:rsidP="00CC4E83">
      <w:r w:rsidRPr="00CC4E83">
        <w:rPr>
          <w:b/>
          <w:bCs/>
        </w:rPr>
        <w:t>1. ¿Están las Entidades del Estado obligadas a facturar?</w:t>
      </w:r>
    </w:p>
    <w:p w14:paraId="67AC3F30" w14:textId="77777777" w:rsidR="00CC4E83" w:rsidRPr="00CC4E83" w:rsidRDefault="00CC4E83" w:rsidP="00CC4E83">
      <w:r w:rsidRPr="00CC4E83">
        <w:t>La obligación de expedir factura en Colombia no depende de la naturaleza pública o privada de una entidad, sino del </w:t>
      </w:r>
      <w:r w:rsidRPr="00CC4E83">
        <w:rPr>
          <w:b/>
          <w:bCs/>
        </w:rPr>
        <w:t>hecho generador</w:t>
      </w:r>
      <w:r w:rsidRPr="00CC4E83">
        <w:t> de la transacción.</w:t>
      </w:r>
    </w:p>
    <w:p w14:paraId="5600FB9D" w14:textId="77777777" w:rsidR="00CC4E83" w:rsidRPr="00CC4E83" w:rsidRDefault="00CC4E83" w:rsidP="00CC4E83">
      <w:r w:rsidRPr="00CC4E83">
        <w:t>El </w:t>
      </w:r>
      <w:r w:rsidRPr="00CC4E83">
        <w:rPr>
          <w:b/>
          <w:bCs/>
        </w:rPr>
        <w:t>Artículo 615 del Estatuto Tributario (E.T.)</w:t>
      </w:r>
      <w:r w:rsidRPr="00CC4E83">
        <w:t> establece que la obligación de facturar recae sobre "todas las personas o entidades que tengan la calidad de comerciantes, ejerzan profesiones liberales o presten servicios inherentes a éstas, o enajenen bienes producto de la actividad agrícola o ganadera".</w:t>
      </w:r>
    </w:p>
    <w:p w14:paraId="7EC19471" w14:textId="77777777" w:rsidR="00CC4E83" w:rsidRPr="00CC4E83" w:rsidRDefault="00CC4E83" w:rsidP="00CC4E83">
      <w:r w:rsidRPr="00CC4E83">
        <w:t>Bajo este marco, una Entidad Estatal </w:t>
      </w:r>
      <w:r w:rsidRPr="00CC4E83">
        <w:rPr>
          <w:b/>
          <w:bCs/>
        </w:rPr>
        <w:t>NO está obligada a facturar</w:t>
      </w:r>
      <w:r w:rsidRPr="00CC4E83">
        <w:t xml:space="preserve"> los ingresos que percibe en desarrollo de sus funciones soberanas o de </w:t>
      </w:r>
      <w:proofErr w:type="gramStart"/>
      <w:r w:rsidRPr="00CC4E83">
        <w:t>autoridad pública</w:t>
      </w:r>
      <w:proofErr w:type="gramEnd"/>
      <w:r w:rsidRPr="00CC4E83">
        <w:t>. Estos ingresos no constituyen una "venta" ni una "prestación de servicio" comercial, sino que se clasifican como </w:t>
      </w:r>
      <w:r w:rsidRPr="00CC4E83">
        <w:rPr>
          <w:b/>
          <w:bCs/>
        </w:rPr>
        <w:t>tributos</w:t>
      </w:r>
      <w:r w:rsidRPr="00CC4E83">
        <w:t> (impuestos, tasas o contribuciones).</w:t>
      </w:r>
    </w:p>
    <w:p w14:paraId="6368AE28" w14:textId="77777777" w:rsidR="00CC4E83" w:rsidRPr="00CC4E83" w:rsidRDefault="00CC4E83" w:rsidP="00CC4E83">
      <w:r w:rsidRPr="00CC4E83">
        <w:t>Ejemplos de esto incluyen:</w:t>
      </w:r>
    </w:p>
    <w:p w14:paraId="41EE1F28" w14:textId="77777777" w:rsidR="00CC4E83" w:rsidRPr="00CC4E83" w:rsidRDefault="00CC4E83" w:rsidP="00CC4E83">
      <w:pPr>
        <w:numPr>
          <w:ilvl w:val="0"/>
          <w:numId w:val="3"/>
        </w:numPr>
      </w:pPr>
      <w:r w:rsidRPr="00CC4E83">
        <w:t>El pago de impuestos (Predial, ICA, Vehículos).</w:t>
      </w:r>
    </w:p>
    <w:p w14:paraId="672E0736" w14:textId="77777777" w:rsidR="00CC4E83" w:rsidRPr="00CC4E83" w:rsidRDefault="00CC4E83" w:rsidP="00CC4E83">
      <w:pPr>
        <w:numPr>
          <w:ilvl w:val="0"/>
          <w:numId w:val="3"/>
        </w:numPr>
      </w:pPr>
      <w:r w:rsidRPr="00CC4E83">
        <w:t>El pago de multas y sanciones.</w:t>
      </w:r>
    </w:p>
    <w:p w14:paraId="6BD79FF8" w14:textId="77777777" w:rsidR="00CC4E83" w:rsidRPr="00CC4E83" w:rsidRDefault="00CC4E83" w:rsidP="00CC4E83">
      <w:pPr>
        <w:numPr>
          <w:ilvl w:val="0"/>
          <w:numId w:val="3"/>
        </w:numPr>
      </w:pPr>
      <w:r w:rsidRPr="00CC4E83">
        <w:t>El pago de </w:t>
      </w:r>
      <w:r w:rsidRPr="00CC4E83">
        <w:rPr>
          <w:b/>
          <w:bCs/>
        </w:rPr>
        <w:t>tasas</w:t>
      </w:r>
      <w:r w:rsidRPr="00CC4E83">
        <w:t> por servicios que el Estado está obligado a prestar (Ej. Tasas de vigilancia de Superintendencias, tarifas de control del INVIMA, derechos de registro, etc.).</w:t>
      </w:r>
    </w:p>
    <w:p w14:paraId="4A20E8E0" w14:textId="77777777" w:rsidR="00CC4E83" w:rsidRPr="00CC4E83" w:rsidRDefault="00CC4E83" w:rsidP="00CC4E83">
      <w:r w:rsidRPr="00CC4E83">
        <w:rPr>
          <w:b/>
          <w:bCs/>
        </w:rPr>
        <w:t>2. ¿En qué casos SÍ debe facturar una Entidad del Estado?</w:t>
      </w:r>
    </w:p>
    <w:p w14:paraId="6B92B5E9" w14:textId="77777777" w:rsidR="00CC4E83" w:rsidRPr="00CC4E83" w:rsidRDefault="00CC4E83" w:rsidP="00CC4E83">
      <w:r w:rsidRPr="00CC4E83">
        <w:t>Una Entidad del Estado está obligada a expedir Factura Electrónica de Venta, en cumplimiento del </w:t>
      </w:r>
      <w:r w:rsidRPr="00CC4E83">
        <w:rPr>
          <w:b/>
          <w:bCs/>
        </w:rPr>
        <w:t>Artículo 616-1 del E.T.</w:t>
      </w:r>
      <w:r w:rsidRPr="00CC4E83">
        <w:t> y la </w:t>
      </w:r>
      <w:r w:rsidRPr="00CC4E83">
        <w:rPr>
          <w:b/>
          <w:bCs/>
        </w:rPr>
        <w:t>Resolución DIAN 000165 de 2023</w:t>
      </w:r>
      <w:r w:rsidRPr="00CC4E83">
        <w:t> (y sus predecesoras con relación al ecosistema de facturación electrónica), únicamente cuando realiza una operación que se configura como una venta de un bien o una prestación de un servicio de naturaleza comercial.</w:t>
      </w:r>
    </w:p>
    <w:p w14:paraId="765991FE" w14:textId="77777777" w:rsidR="00CC4E83" w:rsidRPr="00CC4E83" w:rsidRDefault="00CC4E83" w:rsidP="00CC4E83">
      <w:r w:rsidRPr="00CC4E83">
        <w:t>Es decir, cuando la entidad no actúa en su rol de autoridad, sino como un agente más del mercado.</w:t>
      </w:r>
    </w:p>
    <w:p w14:paraId="6542C245" w14:textId="77777777" w:rsidR="00CC4E83" w:rsidRPr="00CC4E83" w:rsidRDefault="00CC4E83" w:rsidP="00CC4E83">
      <w:r w:rsidRPr="00CC4E83">
        <w:t>Ejemplos de operaciones que </w:t>
      </w:r>
      <w:r w:rsidRPr="00CC4E83">
        <w:rPr>
          <w:b/>
          <w:bCs/>
        </w:rPr>
        <w:t>SÍ generan obligación de facturar</w:t>
      </w:r>
      <w:r w:rsidRPr="00CC4E83">
        <w:t> para una entidad pública:</w:t>
      </w:r>
    </w:p>
    <w:p w14:paraId="4D23BACA" w14:textId="77777777" w:rsidR="00CC4E83" w:rsidRPr="00CC4E83" w:rsidRDefault="00CC4E83" w:rsidP="00CC4E83">
      <w:pPr>
        <w:numPr>
          <w:ilvl w:val="0"/>
          <w:numId w:val="4"/>
        </w:numPr>
      </w:pPr>
      <w:r w:rsidRPr="00CC4E83">
        <w:t>Arrendamiento de bienes muebles o inmuebles (Ej. alquiler de un auditorio o un local comercial).</w:t>
      </w:r>
    </w:p>
    <w:p w14:paraId="6EC1BC89" w14:textId="77777777" w:rsidR="00CC4E83" w:rsidRPr="00CC4E83" w:rsidRDefault="00CC4E83" w:rsidP="00CC4E83">
      <w:pPr>
        <w:numPr>
          <w:ilvl w:val="0"/>
          <w:numId w:val="4"/>
        </w:numPr>
      </w:pPr>
      <w:r w:rsidRPr="00CC4E83">
        <w:t>Venta de activos fijos (Ej. vehículos o equipos dados de baja).</w:t>
      </w:r>
    </w:p>
    <w:p w14:paraId="196AB5DA" w14:textId="77777777" w:rsidR="00CC4E83" w:rsidRPr="00CC4E83" w:rsidRDefault="00CC4E83" w:rsidP="00CC4E83">
      <w:pPr>
        <w:numPr>
          <w:ilvl w:val="0"/>
          <w:numId w:val="4"/>
        </w:numPr>
      </w:pPr>
      <w:r w:rsidRPr="00CC4E83">
        <w:lastRenderedPageBreak/>
        <w:t>Prestación de servicios que no constituyen tasas obligatorias (Ej. venta de publicaciones, fotocopias, certificaciones no obligatorias, etc.).</w:t>
      </w:r>
    </w:p>
    <w:p w14:paraId="2DCF3D32" w14:textId="77777777" w:rsidR="00CC4E83" w:rsidRPr="00CC4E83" w:rsidRDefault="00CC4E83" w:rsidP="00CC4E83">
      <w:r w:rsidRPr="00CC4E83">
        <w:rPr>
          <w:b/>
          <w:bCs/>
        </w:rPr>
        <w:t>3. El Soporte Válido para Pagos a Entidades del Estado (Caso INVIMA)</w:t>
      </w:r>
    </w:p>
    <w:p w14:paraId="026B6835" w14:textId="77777777" w:rsidR="00CC4E83" w:rsidRPr="00CC4E83" w:rsidRDefault="00CC4E83" w:rsidP="00CC4E83">
      <w:r w:rsidRPr="00CC4E83">
        <w:t>Cuando se realiza un pago a una Entidad Estatal por un concepto que </w:t>
      </w:r>
      <w:r w:rsidRPr="00CC4E83">
        <w:rPr>
          <w:b/>
          <w:bCs/>
        </w:rPr>
        <w:t>no</w:t>
      </w:r>
      <w:r w:rsidRPr="00CC4E83">
        <w:t> es una venta de bien o servicio (como el pago de una tasa al INVIMA por un registro sanitario), surgen dos claridades contundentes para el pagador:</w:t>
      </w:r>
    </w:p>
    <w:p w14:paraId="6D895FD7" w14:textId="77777777" w:rsidR="00CC4E83" w:rsidRPr="00CC4E83" w:rsidRDefault="00CC4E83" w:rsidP="00CC4E83">
      <w:r w:rsidRPr="00CC4E83">
        <w:rPr>
          <w:b/>
          <w:bCs/>
        </w:rPr>
        <w:t>A. El Recibo Oficial es el Soporte Fiscal Idóneo:</w:t>
      </w:r>
      <w:r w:rsidRPr="00CC4E83">
        <w:t> Dado que la entidad pública no está obligada a facturar por el recaudo de una tasa (tributo), el documento soporte válido para la deducibilidad del costo o gasto, en los términos del </w:t>
      </w:r>
      <w:r w:rsidRPr="00CC4E83">
        <w:rPr>
          <w:b/>
          <w:bCs/>
        </w:rPr>
        <w:t>Artículo 107 y Artículo 615,</w:t>
      </w:r>
      <w:r w:rsidRPr="00CC4E83">
        <w:t> es el </w:t>
      </w:r>
      <w:r w:rsidRPr="00CC4E83">
        <w:rPr>
          <w:b/>
          <w:bCs/>
        </w:rPr>
        <w:t>recibo oficial de pago, la liquidación oficial </w:t>
      </w:r>
      <w:r w:rsidRPr="00CC4E83">
        <w:t>expedido</w:t>
      </w:r>
      <w:r w:rsidRPr="00CC4E83">
        <w:rPr>
          <w:b/>
          <w:bCs/>
        </w:rPr>
        <w:t> </w:t>
      </w:r>
      <w:r w:rsidRPr="00CC4E83">
        <w:t>por la propia entidad estatal.</w:t>
      </w:r>
    </w:p>
    <w:p w14:paraId="4A2EA9DA" w14:textId="77777777" w:rsidR="00CC4E83" w:rsidRPr="00CC4E83" w:rsidRDefault="00CC4E83" w:rsidP="00CC4E83">
      <w:r w:rsidRPr="00CC4E83">
        <w:t>Este documento, junto con el comprobante de la transacción bancaria, demuestra fehacientemente la naturaleza, necesidad y causalidad del gasto frente a la autoridad tributaria (DIAN).</w:t>
      </w:r>
    </w:p>
    <w:p w14:paraId="7B36EC94" w14:textId="77777777" w:rsidR="00CC4E83" w:rsidRPr="00CC4E83" w:rsidRDefault="00CC4E83" w:rsidP="00CC4E83">
      <w:r w:rsidRPr="00CC4E83">
        <w:rPr>
          <w:b/>
          <w:bCs/>
        </w:rPr>
        <w:t>B. NO se debe generar un Documento Soporte:</w:t>
      </w:r>
      <w:r w:rsidRPr="00CC4E83">
        <w:t> El "Documento Soporte en adquisiciones efectuadas a no obligados a facturar" (regulado por la Resolución 000165 de 2023) se genera cuando se </w:t>
      </w:r>
      <w:r w:rsidRPr="00CC4E83">
        <w:rPr>
          <w:i/>
          <w:iCs/>
        </w:rPr>
        <w:t>adquiere un bien o servicio</w:t>
      </w:r>
      <w:r w:rsidRPr="00CC4E83">
        <w:t> de un proveedor que no tiene la obligación legal de facturar (Ej. una persona natural no responsable de IVA).</w:t>
      </w:r>
    </w:p>
    <w:p w14:paraId="051EE88C" w14:textId="77777777" w:rsidR="00CC4E83" w:rsidRPr="00CC4E83" w:rsidRDefault="00CC4E83" w:rsidP="00CC4E83">
      <w:r w:rsidRPr="00CC4E83">
        <w:t>El pago de una tasa al INVIMA no es una "adquisición de un servicio" a un no obligado; es el </w:t>
      </w:r>
      <w:r w:rsidRPr="00CC4E83">
        <w:rPr>
          <w:b/>
          <w:bCs/>
        </w:rPr>
        <w:t>pago de un tributo</w:t>
      </w:r>
      <w:r w:rsidRPr="00CC4E83">
        <w:t>. Por lo tanto, es normativamente incorrecto generar un Documento Soporte para esta transacción.</w:t>
      </w:r>
    </w:p>
    <w:p w14:paraId="65B17787" w14:textId="77777777" w:rsidR="002E674C" w:rsidRDefault="002E674C"/>
    <w:sectPr w:rsidR="002E67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74C3F"/>
    <w:multiLevelType w:val="multilevel"/>
    <w:tmpl w:val="AC1A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42A49"/>
    <w:multiLevelType w:val="multilevel"/>
    <w:tmpl w:val="7B40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95A7F"/>
    <w:multiLevelType w:val="multilevel"/>
    <w:tmpl w:val="F130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64212A"/>
    <w:multiLevelType w:val="multilevel"/>
    <w:tmpl w:val="EBF4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133386">
    <w:abstractNumId w:val="1"/>
  </w:num>
  <w:num w:numId="2" w16cid:durableId="915094337">
    <w:abstractNumId w:val="3"/>
  </w:num>
  <w:num w:numId="3" w16cid:durableId="2062901269">
    <w:abstractNumId w:val="0"/>
  </w:num>
  <w:num w:numId="4" w16cid:durableId="1536963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E83"/>
    <w:rsid w:val="002A3664"/>
    <w:rsid w:val="002E674C"/>
    <w:rsid w:val="004D6159"/>
    <w:rsid w:val="00CC4E83"/>
    <w:rsid w:val="00E6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84BB83"/>
  <w15:chartTrackingRefBased/>
  <w15:docId w15:val="{D2D048CB-5107-4E52-9720-C949CD671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4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4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4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4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4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4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4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4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4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4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4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4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4E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4E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4E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4E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4E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4E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4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4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4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4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4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4E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4E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4E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4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4E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4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521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Landazabal</dc:creator>
  <cp:keywords/>
  <dc:description/>
  <cp:lastModifiedBy>Fabian Landazabal</cp:lastModifiedBy>
  <cp:revision>1</cp:revision>
  <dcterms:created xsi:type="dcterms:W3CDTF">2025-12-04T17:34:00Z</dcterms:created>
  <dcterms:modified xsi:type="dcterms:W3CDTF">2025-12-04T17:35:00Z</dcterms:modified>
</cp:coreProperties>
</file>