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Sobre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Agenda</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Participe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Biblioteca</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Contato</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Mobilidade urbana e estruturação do sistema cicloviário no Parque Mambucaba, em Angra dos Reis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 que é</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MambuBike é um projeto de mobilidade urbana que envolve a estruturação do sistema cicloviário no bairro Parque Mambucaba, em Angra dos Reis (RJ). Sua fase piloto foi desenvolvida ao longo de 2023, em uma parceria entre poder público, terceiro setor e com ações de participação da sociedade civil.</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Quem somos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MambuBike é uma ação integrada, desenvolvida pela Prefeitura de Angra dos Reis, por meio da Secretaria Executiva de Ordem Pública e Mobilidade Urbana e da Secretaria de Desenvolvimento Regional, com assistência técnica da Iniciativa Mobilidade em Transformação. A Iniciativa é composta pelas organizações Cidade Ativa e Fundação Grupo Volkswagen, e contou com parcerias especializadas em diversas etapas de implementação do MambuBike.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Objetivo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bairro Parque Mambucaba conta com um número expressivo de ciclistas que utilizam a bicicleta como principal meio de circulação no seu cotidiano. O objetivo central do projeto é oferecer infraestrutura adequada para o deslocamento dos ciclistas, proporcionando segurança e conforto para todos os usuários, além de melhorar a integração com o transporte coletivo. Junto ao desenvolvimento do projeto urbano, diversas ações de engajamento foram programadas, visando ouvir a opinião das pessoas mais impactadas e exercitar 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Ut enim ad minim veniam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Duis aute irure dolor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Sed ut nihil unde omnis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Quis autem vel eum voluptate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Mussum ipsum cacilds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apresentacao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Numero de ciclistas diariamente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Área da infraestrutura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