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0DEE8" w14:textId="77777777" w:rsidR="005B2EAC" w:rsidRDefault="00000000">
      <w:pPr>
        <w:spacing w:after="40"/>
      </w:pPr>
      <w:r>
        <w:rPr>
          <w:b/>
          <w:bCs/>
          <w:color w:val="555555"/>
          <w:sz w:val="18"/>
          <w:szCs w:val="18"/>
        </w:rPr>
        <w:t>TRILHA A - CERTA: ESPECIALISTA EM ANALISE DE DADOS</w:t>
      </w:r>
    </w:p>
    <w:p w14:paraId="71442C24" w14:textId="77777777" w:rsidR="005B2EAC" w:rsidRDefault="00000000">
      <w:pPr>
        <w:spacing w:after="200"/>
      </w:pPr>
      <w:r>
        <w:rPr>
          <w:b/>
          <w:bCs/>
          <w:color w:val="003366"/>
          <w:sz w:val="32"/>
          <w:szCs w:val="32"/>
        </w:rPr>
        <w:t>DESAFIO 1. Diagnóstico e Priorização de Desembolsos</w:t>
      </w:r>
    </w:p>
    <w:p w14:paraId="5BE38752" w14:textId="77777777" w:rsidR="005B2EAC" w:rsidRDefault="005B2EAC">
      <w:pPr>
        <w:pBdr>
          <w:bottom w:val="single" w:sz="6" w:space="1" w:color="AAAAAA"/>
        </w:pBdr>
        <w:spacing w:before="100" w:after="200"/>
      </w:pPr>
    </w:p>
    <w:p w14:paraId="42CB2EEE" w14:textId="77777777" w:rsidR="005B2EAC" w:rsidRDefault="00000000">
      <w:pPr>
        <w:pStyle w:val="Heading1"/>
        <w:spacing w:before="240" w:after="120" w:line="360" w:lineRule="auto"/>
        <w:jc w:val="both"/>
      </w:pPr>
      <w:r>
        <w:rPr>
          <w:b/>
          <w:bCs/>
          <w:color w:val="003366"/>
        </w:rPr>
        <w:t>Contexto</w:t>
      </w:r>
    </w:p>
    <w:p w14:paraId="07D427A6" w14:textId="77777777" w:rsidR="005B2EAC" w:rsidRDefault="00000000">
      <w:pPr>
        <w:spacing w:after="120" w:line="360" w:lineRule="auto"/>
        <w:jc w:val="both"/>
      </w:pPr>
      <w:r>
        <w:t>A Diretoria de Planejamento do BNDES solicitou à sua equipe um diagnóstico rápido, porém rigoroso, sobre o comportamento recente dos desembolsos do Banco. O pedido chegou de forma genérica: a equipe deve entender como estão os desembolsos e onde vale a pena olhar com mais atenção.</w:t>
      </w:r>
    </w:p>
    <w:p w14:paraId="7101ADD8" w14:textId="77777777" w:rsidR="005B2EAC" w:rsidRDefault="00000000">
      <w:pPr>
        <w:spacing w:after="120" w:line="360" w:lineRule="auto"/>
        <w:jc w:val="both"/>
      </w:pPr>
      <w:r>
        <w:t>Esse tipo de demanda pouco estruturada é comum no início de um projeto analítico e exige que o próprio analista transforme uma solicitação vaga em uma pergunta analítica precisa antes de tocar em qualquer dado.</w:t>
      </w:r>
    </w:p>
    <w:p w14:paraId="68772D8E" w14:textId="77777777" w:rsidR="005B2EAC" w:rsidRDefault="00000000">
      <w:pPr>
        <w:pStyle w:val="Heading1"/>
        <w:spacing w:before="240" w:after="120" w:line="360" w:lineRule="auto"/>
        <w:jc w:val="both"/>
      </w:pPr>
      <w:r>
        <w:rPr>
          <w:b/>
          <w:bCs/>
          <w:color w:val="003366"/>
        </w:rPr>
        <w:t>Cenário do desafio</w:t>
      </w:r>
    </w:p>
    <w:p w14:paraId="3F1B849E" w14:textId="77777777" w:rsidR="005B2EAC" w:rsidRDefault="00000000">
      <w:pPr>
        <w:spacing w:after="120" w:line="360" w:lineRule="auto"/>
        <w:jc w:val="both"/>
      </w:pPr>
      <w:r>
        <w:t>Você deverá cruzar dois conjuntos de dados reais do Portal de Dados Abertos do BNDES para produzir um diagnóstico inicial dos desembolsos, identificando onde a atenção da diretoria deveria se concentrar, seja por porte de cliente, setor, UF ou produto.</w:t>
      </w:r>
    </w:p>
    <w:p w14:paraId="1DBB67AF" w14:textId="77777777" w:rsidR="005B2EAC" w:rsidRDefault="00000000">
      <w:pPr>
        <w:spacing w:after="120" w:line="360" w:lineRule="auto"/>
        <w:jc w:val="both"/>
      </w:pPr>
      <w:r>
        <w:t>Diferentemente de um exercício de aula, aqui não há perguntas de negócio prontas nem instruções passo a passo. Parte do desafio é você decidir o que perguntar, como cruzar as bases e como justificar cada escolha metodológica.</w:t>
      </w:r>
    </w:p>
    <w:p w14:paraId="39856696" w14:textId="77777777" w:rsidR="005B2EAC" w:rsidRDefault="00000000">
      <w:pPr>
        <w:pStyle w:val="Heading1"/>
        <w:spacing w:before="240" w:after="120" w:line="360" w:lineRule="auto"/>
        <w:jc w:val="both"/>
      </w:pPr>
      <w:r>
        <w:rPr>
          <w:b/>
          <w:bCs/>
          <w:color w:val="003366"/>
        </w:rPr>
        <w:t>Bases de dados a utilizar</w:t>
      </w:r>
    </w:p>
    <w:p w14:paraId="4DBD634E" w14:textId="77777777" w:rsidR="005B2EAC" w:rsidRDefault="00000000">
      <w:pPr>
        <w:spacing w:after="120" w:line="360" w:lineRule="auto"/>
        <w:jc w:val="both"/>
      </w:pPr>
      <w:r>
        <w:t>Todos os conjuntos abaixo são públicos, reais e devem ser obtidos pelo próprio participante junto às fontes indicadas.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0"/>
      </w:tblGrid>
      <w:tr w:rsidR="005B2EAC" w14:paraId="02A1A1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DEBF7"/>
          </w:tcPr>
          <w:p w14:paraId="759786DE" w14:textId="77777777" w:rsidR="005B2EAC" w:rsidRDefault="00000000">
            <w:pPr>
              <w:spacing w:after="120" w:line="360" w:lineRule="auto"/>
              <w:jc w:val="both"/>
            </w:pPr>
            <w:r>
              <w:rPr>
                <w:b/>
                <w:bCs/>
              </w:rPr>
              <w:t>Conjunto de dados</w:t>
            </w:r>
          </w:p>
        </w:tc>
        <w:tc>
          <w:tcPr>
            <w:tcW w:w="6650" w:type="dxa"/>
            <w:shd w:val="clear" w:color="auto" w:fill="DDEBF7"/>
          </w:tcPr>
          <w:p w14:paraId="511DE331" w14:textId="77777777" w:rsidR="005B2EAC" w:rsidRDefault="00000000">
            <w:pPr>
              <w:spacing w:after="120" w:line="360" w:lineRule="auto"/>
              <w:jc w:val="both"/>
            </w:pPr>
            <w:r>
              <w:rPr>
                <w:b/>
                <w:bCs/>
              </w:rPr>
              <w:t>Fonte e observações</w:t>
            </w:r>
          </w:p>
        </w:tc>
      </w:tr>
      <w:tr w:rsidR="005B2EAC" w14:paraId="356D8B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DCCB8E5" w14:textId="77777777" w:rsidR="005B2EAC" w:rsidRDefault="00000000">
            <w:pPr>
              <w:spacing w:after="120" w:line="360" w:lineRule="auto"/>
              <w:jc w:val="both"/>
            </w:pPr>
            <w:r>
              <w:t>Desembolsos Mensais</w:t>
            </w:r>
          </w:p>
        </w:tc>
        <w:tc>
          <w:tcPr>
            <w:tcW w:w="6650" w:type="dxa"/>
          </w:tcPr>
          <w:p w14:paraId="01DDCF7C" w14:textId="77777777" w:rsidR="005B2EAC" w:rsidRDefault="00000000">
            <w:r>
              <w:t xml:space="preserve">Série mensal de desembolsos por porte, setor CNAE, UF, município e produto, desde 1995. </w:t>
            </w:r>
            <w:hyperlink r:id="rId5" w:history="1">
              <w:r>
                <w:rPr>
                  <w:rStyle w:val="Hyperlink"/>
                </w:rPr>
                <w:t>dadosabertos.bndes.gov.br/dataset/desembolsos-mensais</w:t>
              </w:r>
            </w:hyperlink>
          </w:p>
        </w:tc>
      </w:tr>
      <w:tr w:rsidR="005B2EAC" w14:paraId="4680D8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468FB9AE" w14:textId="77777777" w:rsidR="005B2EAC" w:rsidRDefault="00000000">
            <w:pPr>
              <w:spacing w:after="120" w:line="360" w:lineRule="auto"/>
              <w:jc w:val="both"/>
            </w:pPr>
            <w:r>
              <w:t>Operações de Financiamento</w:t>
            </w:r>
          </w:p>
        </w:tc>
        <w:tc>
          <w:tcPr>
            <w:tcW w:w="6650" w:type="dxa"/>
          </w:tcPr>
          <w:p w14:paraId="12D312B1" w14:textId="77777777" w:rsidR="005B2EAC" w:rsidRDefault="00000000">
            <w:r>
              <w:t xml:space="preserve">Condições de contratação das operações (produto, porte, praça, valores), desde 2002. </w:t>
            </w:r>
            <w:hyperlink r:id="rId6" w:history="1">
              <w:r>
                <w:rPr>
                  <w:rStyle w:val="Hyperlink"/>
                </w:rPr>
                <w:t>dadosabertos.bndes.gov.br/dataset/operacoes-financiamento</w:t>
              </w:r>
            </w:hyperlink>
          </w:p>
        </w:tc>
      </w:tr>
    </w:tbl>
    <w:p w14:paraId="580E167E" w14:textId="77777777" w:rsidR="005B2EAC" w:rsidRDefault="005B2EAC">
      <w:pPr>
        <w:spacing w:after="160"/>
      </w:pPr>
    </w:p>
    <w:p w14:paraId="2F81D44A" w14:textId="77777777" w:rsidR="005B2EAC" w:rsidRDefault="00000000">
      <w:pPr>
        <w:pStyle w:val="Heading1"/>
        <w:spacing w:before="240" w:after="120" w:line="360" w:lineRule="auto"/>
        <w:jc w:val="both"/>
      </w:pPr>
      <w:r>
        <w:rPr>
          <w:b/>
          <w:bCs/>
          <w:color w:val="003366"/>
        </w:rPr>
        <w:t>Enunciado: o que deve ser entregue</w:t>
      </w:r>
    </w:p>
    <w:p w14:paraId="22B9DFAB" w14:textId="77777777" w:rsidR="005B2EAC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Reformule o pedido da diretoria como uma pergunta analítica específica e mensurável. Justifique, à luz do CRISP-DM, por que cada decisão de escopo tomada nesta etapa (Entendimento do Negócio) condiciona as fases seguintes.</w:t>
      </w:r>
    </w:p>
    <w:p w14:paraId="4FC67338" w14:textId="77777777" w:rsidR="005B2EAC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lastRenderedPageBreak/>
        <w:t>Escreva a consulta SQL que realiza o JOIN entre Desembolsos Mensais e Operações de Financiamento. As duas bases não compartilham a mesma granularidade nem, possivelmente, a mesma chave. Explicite qual granularidade comum você adotou e o que foi perdido ou agregado no processo.</w:t>
      </w:r>
    </w:p>
    <w:p w14:paraId="0B3F0BDB" w14:textId="77777777" w:rsidR="005B2EAC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Levante e documente os riscos de governança e LGPD específicos do cruzamento entre as duas bases, considerando o efeito da combinação e não apenas de cada base isoladamente. Mesmo sendo dados públicos e agregados, existe risco de reidentificação ou de uso indevido ao combiná-los? Justifique.</w:t>
      </w:r>
    </w:p>
    <w:p w14:paraId="0CB6823D" w14:textId="77777777" w:rsidR="005B2EAC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Realize uma Análise Exploratória de Dados completa: descreva o comportamento de ao menos uma variável categórica, uma numérica e uma relação entre duas variáveis. Aponte dois problemas reais de qualidade encontrados nos dados baixados.</w:t>
      </w:r>
    </w:p>
    <w:p w14:paraId="50AF220B" w14:textId="77777777" w:rsidR="005B2EAC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Identifique, com apoio estatístico e não apenas visual, qual variável mais se associa à variação do valor desembolsado. Explique por que a evidência estatística escolhida sustenta essa conclusão.</w:t>
      </w:r>
    </w:p>
    <w:p w14:paraId="69B9EF90" w14:textId="77777777" w:rsidR="005B2EAC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Redija a narrativa final para a diretoria, com no máximo 15 linhas, antecipando e respondendo a uma objeção plausível que um diretor cético faria sobre a qualidade ou a interpretação dos dados.</w:t>
      </w:r>
    </w:p>
    <w:p w14:paraId="1D2852E9" w14:textId="77777777" w:rsidR="005B2EAC" w:rsidRDefault="00000000">
      <w:pPr>
        <w:pStyle w:val="Heading1"/>
        <w:spacing w:before="240" w:after="120" w:line="360" w:lineRule="auto"/>
        <w:jc w:val="both"/>
      </w:pPr>
      <w:r>
        <w:rPr>
          <w:b/>
          <w:bCs/>
          <w:color w:val="003366"/>
        </w:rPr>
        <w:t>Critérios de avaliação (para autoavaliação do participante)</w:t>
      </w:r>
    </w:p>
    <w:p w14:paraId="2F018831" w14:textId="77777777" w:rsidR="005B2EAC" w:rsidRDefault="00000000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t>A pergunta de negócio reformulada é específica, mensurável e diretamente decorrente do pedido original, em vez de uma pergunta genérica reaproveitada.</w:t>
      </w:r>
    </w:p>
    <w:p w14:paraId="68D28794" w14:textId="77777777" w:rsidR="005B2EAC" w:rsidRDefault="00000000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t>A escolha de granularidade do JOIN é explicitada e tecnicamente defensável.</w:t>
      </w:r>
    </w:p>
    <w:p w14:paraId="6FA8396A" w14:textId="77777777" w:rsidR="005B2EAC" w:rsidRDefault="00000000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t>Os riscos de LGPD e governança tratam do efeito do cruzamento, para além de cada base isolada.</w:t>
      </w:r>
    </w:p>
    <w:p w14:paraId="23AF92FE" w14:textId="77777777" w:rsidR="005B2EAC" w:rsidRDefault="00000000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t>A conclusão sobre a variável mais associada ao desembolso é sustentada por evidência estatística, para além da inspeção visual do gráfico.</w:t>
      </w:r>
    </w:p>
    <w:p w14:paraId="21A6DAF0" w14:textId="77777777" w:rsidR="005B2EAC" w:rsidRDefault="00000000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t>A narrativa final é objetiva, dirigida à diretoria e responde à objeção proposta.</w:t>
      </w:r>
    </w:p>
    <w:sectPr w:rsidR="005B2EA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C3758D"/>
    <w:multiLevelType w:val="hybridMultilevel"/>
    <w:tmpl w:val="E3FA7102"/>
    <w:lvl w:ilvl="0" w:tplc="E214B83C">
      <w:start w:val="1"/>
      <w:numFmt w:val="bullet"/>
      <w:lvlText w:val="●"/>
      <w:lvlJc w:val="left"/>
      <w:pPr>
        <w:ind w:left="720" w:hanging="360"/>
      </w:pPr>
    </w:lvl>
    <w:lvl w:ilvl="1" w:tplc="7D0E10F6">
      <w:start w:val="1"/>
      <w:numFmt w:val="bullet"/>
      <w:lvlText w:val="○"/>
      <w:lvlJc w:val="left"/>
      <w:pPr>
        <w:ind w:left="1440" w:hanging="360"/>
      </w:pPr>
    </w:lvl>
    <w:lvl w:ilvl="2" w:tplc="0DA486DA">
      <w:start w:val="1"/>
      <w:numFmt w:val="bullet"/>
      <w:lvlText w:val="■"/>
      <w:lvlJc w:val="left"/>
      <w:pPr>
        <w:ind w:left="2160" w:hanging="360"/>
      </w:pPr>
    </w:lvl>
    <w:lvl w:ilvl="3" w:tplc="BD088730">
      <w:start w:val="1"/>
      <w:numFmt w:val="bullet"/>
      <w:lvlText w:val="●"/>
      <w:lvlJc w:val="left"/>
      <w:pPr>
        <w:ind w:left="2880" w:hanging="360"/>
      </w:pPr>
    </w:lvl>
    <w:lvl w:ilvl="4" w:tplc="AC16705C">
      <w:start w:val="1"/>
      <w:numFmt w:val="bullet"/>
      <w:lvlText w:val="○"/>
      <w:lvlJc w:val="left"/>
      <w:pPr>
        <w:ind w:left="3600" w:hanging="360"/>
      </w:pPr>
    </w:lvl>
    <w:lvl w:ilvl="5" w:tplc="F18E9836">
      <w:start w:val="1"/>
      <w:numFmt w:val="bullet"/>
      <w:lvlText w:val="■"/>
      <w:lvlJc w:val="left"/>
      <w:pPr>
        <w:ind w:left="4320" w:hanging="360"/>
      </w:pPr>
    </w:lvl>
    <w:lvl w:ilvl="6" w:tplc="FDE84D2C">
      <w:start w:val="1"/>
      <w:numFmt w:val="bullet"/>
      <w:lvlText w:val="●"/>
      <w:lvlJc w:val="left"/>
      <w:pPr>
        <w:ind w:left="5040" w:hanging="360"/>
      </w:pPr>
    </w:lvl>
    <w:lvl w:ilvl="7" w:tplc="EF0E9FB2">
      <w:start w:val="1"/>
      <w:numFmt w:val="bullet"/>
      <w:lvlText w:val="●"/>
      <w:lvlJc w:val="left"/>
      <w:pPr>
        <w:ind w:left="5760" w:hanging="360"/>
      </w:pPr>
    </w:lvl>
    <w:lvl w:ilvl="8" w:tplc="0D2231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66FB9"/>
    <w:multiLevelType w:val="hybridMultilevel"/>
    <w:tmpl w:val="AAD6473E"/>
    <w:lvl w:ilvl="0" w:tplc="904E6DB8">
      <w:start w:val="1"/>
      <w:numFmt w:val="decimal"/>
      <w:lvlText w:val="%1."/>
      <w:lvlJc w:val="left"/>
      <w:pPr>
        <w:ind w:left="504" w:hanging="360"/>
      </w:pPr>
    </w:lvl>
    <w:lvl w:ilvl="1" w:tplc="B0260E6E">
      <w:numFmt w:val="decimal"/>
      <w:lvlText w:val=""/>
      <w:lvlJc w:val="left"/>
    </w:lvl>
    <w:lvl w:ilvl="2" w:tplc="054C7EF6">
      <w:numFmt w:val="decimal"/>
      <w:lvlText w:val=""/>
      <w:lvlJc w:val="left"/>
    </w:lvl>
    <w:lvl w:ilvl="3" w:tplc="3412E342">
      <w:numFmt w:val="decimal"/>
      <w:lvlText w:val=""/>
      <w:lvlJc w:val="left"/>
    </w:lvl>
    <w:lvl w:ilvl="4" w:tplc="DA0C8812">
      <w:numFmt w:val="decimal"/>
      <w:lvlText w:val=""/>
      <w:lvlJc w:val="left"/>
    </w:lvl>
    <w:lvl w:ilvl="5" w:tplc="9872C83E">
      <w:numFmt w:val="decimal"/>
      <w:lvlText w:val=""/>
      <w:lvlJc w:val="left"/>
    </w:lvl>
    <w:lvl w:ilvl="6" w:tplc="97621A1C">
      <w:numFmt w:val="decimal"/>
      <w:lvlText w:val=""/>
      <w:lvlJc w:val="left"/>
    </w:lvl>
    <w:lvl w:ilvl="7" w:tplc="208AD9E6">
      <w:numFmt w:val="decimal"/>
      <w:lvlText w:val=""/>
      <w:lvlJc w:val="left"/>
    </w:lvl>
    <w:lvl w:ilvl="8" w:tplc="FC283118">
      <w:numFmt w:val="decimal"/>
      <w:lvlText w:val=""/>
      <w:lvlJc w:val="left"/>
    </w:lvl>
  </w:abstractNum>
  <w:num w:numId="1" w16cid:durableId="1142842145">
    <w:abstractNumId w:val="0"/>
    <w:lvlOverride w:ilvl="0">
      <w:startOverride w:val="1"/>
    </w:lvlOverride>
  </w:num>
  <w:num w:numId="2" w16cid:durableId="1314722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AC"/>
    <w:rsid w:val="005B2EAC"/>
    <w:rsid w:val="00B041B0"/>
    <w:rsid w:val="00C7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DE9964"/>
  <w15:docId w15:val="{53ED9C85-075F-5E4A-BA8A-DBD53E7E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dosabertos.bndes.gov.br/dataset/operacoes-financiamento" TargetMode="External"/><Relationship Id="rId5" Type="http://schemas.openxmlformats.org/officeDocument/2006/relationships/hyperlink" Target="https://dadosabertos.bndes.gov.br/dataset/desembolsos-mensa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619</Words>
  <Characters>3220</Characters>
  <Application>Microsoft Office Word</Application>
  <DocSecurity>0</DocSecurity>
  <Lines>44</Lines>
  <Paragraphs>12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Benilton Carvalho</cp:lastModifiedBy>
  <cp:revision>2</cp:revision>
  <dcterms:created xsi:type="dcterms:W3CDTF">2026-08-11T17:34:00Z</dcterms:created>
  <dcterms:modified xsi:type="dcterms:W3CDTF">2026-08-11T17:39:00Z</dcterms:modified>
</cp:coreProperties>
</file>