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Stravon Management Platform</w:t>
      </w:r>
    </w:p>
    <w:p>
      <w:pPr>
        <w:spacing w:after="400"/>
      </w:pPr>
      <w:r>
        <w:rPr>
          <w:color w:val="555555"/>
          <w:sz w:val="28"/>
          <w:szCs w:val="28"/>
        </w:rPr>
        <w:t xml:space="preserve">Phase Plan</w:t>
      </w:r>
    </w:p>
    <w:p>
      <w:pPr>
        <w:pStyle w:val="Heading1"/>
        <w:spacing w:after="150" w:before="300"/>
      </w:pPr>
      <w:r>
        <w:t xml:space="preserve">1. Purpose of This Document</w:t>
      </w:r>
    </w:p>
    <w:p>
      <w:pPr>
        <w:spacing w:after="120"/>
      </w:pPr>
      <w:r>
        <w:t xml:space="preserve">This is the build sequence for the platform, confirming what gets built now, what is intentionally deferred, and what triggers each deferred item. This document precedes the coding-agent instruction files (PROJECT_INSTRUCTIONS.md / PROJECT_CONTEXT_AND_EXECUTION_RULES.md) — everything below should be locked before those are written.</w:t>
      </w:r>
    </w:p>
    <w:p>
      <w:pPr>
        <w:pStyle w:val="Heading1"/>
        <w:spacing w:after="150" w:before="300"/>
      </w:pPr>
      <w:r>
        <w:t xml:space="preserve">2. Confirmed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160"/>
      </w:tblGrid>
      <w:tr>
        <w:tc>
          <w:tcPr>
            <w:tcW w:type="pct" w:w="24%"/>
            <w:shd w:fill="2F2F2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52%"/>
            <w:shd w:fill="2F2F2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pct" w:w="24%"/>
            <w:shd w:fill="2F2F2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pct" w:w="5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database</w:t>
            </w:r>
          </w:p>
        </w:tc>
        <w:tc>
          <w:tcPr>
            <w:tcW w:type="pct" w:w="5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(Postgres)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— separate project from any client app's own database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pct" w:w="5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R2, single bucket, project_id prefix isolation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5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Clerk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— first migrated app moving off Supabase Auth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 (backend)</w:t>
            </w:r>
          </w:p>
        </w:tc>
        <w:tc>
          <w:tcPr>
            <w:tcW w:type="pct" w:w="5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Render, Free tier now → Starter ($7/mo) at upgrade trigger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frontend hosting</w:t>
            </w:r>
          </w:p>
        </w:tc>
        <w:tc>
          <w:tcPr>
            <w:tcW w:type="pct" w:w="5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 (separate deployment per client app)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pct" w:w="5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In-process memory cache (permissions lookup only)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for now</w:t>
            </w:r>
          </w:p>
        </w:tc>
      </w:tr>
      <w:tr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/ DataModule</w:t>
            </w:r>
          </w:p>
        </w:tc>
        <w:tc>
          <w:tcPr>
            <w:tcW w:type="pct" w:w="5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Railway, deferred</w:t>
            </w:r>
          </w:p>
        </w:tc>
        <w:tc>
          <w:tcPr>
            <w:tcW w:type="pct" w:w="24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1"/>
        <w:spacing w:after="150" w:before="300"/>
      </w:pPr>
      <w:r>
        <w:t xml:space="preserve">3. Hosting Decision — Render Free Tier</w:t>
      </w:r>
    </w:p>
    <w:p>
      <w:pPr>
        <w:spacing w:after="120"/>
      </w:pPr>
      <w:r>
        <w:t xml:space="preserve">Building and soft-launching on Render's free tier. No credit card, no billing risk while pre-revenue.</w:t>
      </w:r>
    </w:p>
    <w:p>
      <w:pPr>
        <w:spacing w:after="100"/>
      </w:pPr>
      <w:r>
        <w:rPr>
          <w:b/>
          <w:bCs/>
        </w:rPr>
        <w:t xml:space="preserve">Known limits: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750 free instance-hours per workspace per month. A single service running continuously for a full month consumes nearly all of this on its own, leaving little room for a second service (e.g. staging) without exceeding the cap.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100GB outbound bandwidth per month, shared across the workspace.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Exceeding either limit suspends free services until the next calendar month — no charge occurs unless a payment method has been added and bandwidth is exceeded.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web services spin down after 15 minutes of inactivity; next request pays a 30-60 second cold start.</w:t>
      </w:r>
    </w:p>
    <w:p>
      <w:pPr>
        <w:spacing w:after="100"/>
      </w:pPr>
      <w:r>
        <w:rPr>
          <w:b/>
          <w:bCs/>
        </w:rPr>
        <w:t xml:space="preserve">Upgrade trigger:</w:t>
      </w:r>
    </w:p>
    <w:p>
      <w:pPr>
        <w:spacing w:after="120"/>
      </w:pPr>
      <w:r>
        <w:t xml:space="preserve">Move to Render Starter ($7/mo, always-on, no cold starts, no hour cap) the moment the platform is serving real user traffic through the migrated client app — not tied to revenue. A cold start or mid-month suspension in front of a live user is a worse outcome than the $7 cost of avoiding it.</w:t>
      </w:r>
    </w:p>
    <w:p>
      <w:pPr>
        <w:pStyle w:val="Heading1"/>
        <w:spacing w:after="150" w:before="300"/>
      </w:pPr>
      <w:r>
        <w:t xml:space="preserve">4. Caching Decision</w:t>
      </w:r>
    </w:p>
    <w:p>
      <w:pPr>
        <w:spacing w:after="120"/>
      </w:pPr>
      <w:r>
        <w:t xml:space="preserve">No dedicated cache service for now. Two reasons: Supabase has no Redis equivalent — a cache table inside the same Postgres instance saves nothing, since it's still a Postgres round-trip. And at one client app, there is no measured read-volume bottleneck to solve.</w:t>
      </w:r>
    </w:p>
    <w:p>
      <w:pPr>
        <w:spacing w:after="120"/>
      </w:pPr>
      <w:r>
        <w:t xml:space="preserve">What is being built instead: an in-process memory cache inside the NestJS backend, holding each project's permission set (read on every request) with a short TTL. Zero cost, zero new infrastructure, genuinely faster since it never leaves the process. Resets on redeploy and doesn't share state across multiple instances — both irrelevant at current scale.</w:t>
      </w:r>
    </w:p>
    <w:p>
      <w:pPr>
        <w:spacing w:after="120"/>
      </w:pPr>
      <w:r>
        <w:t xml:space="preserve">Trigger for real Redis: call_logs shows repeated identical reads at a volume where Postgres latency is measurably hurting response times, or the backend scales to multiple instances needing shared cache state. At that point, Redis via Railway (~$5/mo Hobby) is the correct move — this is Phase 6 below, not before.</w:t>
      </w:r>
    </w:p>
    <w:p>
      <w:pPr>
        <w:pStyle w:val="Heading1"/>
        <w:spacing w:after="150" w:before="300"/>
      </w:pPr>
      <w:r>
        <w:t xml:space="preserve">5. Build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20"/>
        <w:gridCol w:w="1980"/>
      </w:tblGrid>
      <w:tr>
        <w:tc>
          <w:tcPr>
            <w:tcW w:type="pct" w:w="10%"/>
            <w:shd w:fill="2F2F2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68%"/>
            <w:shd w:fill="2F2F2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22%"/>
            <w:shd w:fill="2F2F2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pct" w:w="1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pct" w:w="6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finalized, Supabase platform project created, R2 bucket + scoped token created, secrets set in Render env, Render free-tier service created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6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AuthModule: guard (API key → project_id → permission check), Clerk adapter, /v1/auth/*, call logging via interceptor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pct" w:w="1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6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StorageModule: R2 adapter, prefix isolation enforcement, /v1/storage/*, byte + direction logging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0, reuses Phase 1's guard/interceptor</w:t>
            </w:r>
          </w:p>
        </w:tc>
      </w:tr>
      <w:tr>
        <w:tc>
          <w:tcPr>
            <w:tcW w:type="pct" w:w="1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6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Metering: sum call_logs.bytes per project against Entry/Starter/Growth/Scale tiers, 80/90/100% threshold notifications, overage calculation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pct" w:w="1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6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limiting: per-project token bucket in the guard, scaled by tier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1-2</w:t>
            </w:r>
          </w:p>
        </w:tc>
      </w:tr>
      <w:tr>
        <w:tc>
          <w:tcPr>
            <w:tcW w:type="pct" w:w="1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6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In-process permission cache added to the guard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pct" w:w="1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6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 the first client app off Cloudinary and Supabase Auth onto the platform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Phases 1-5 complete and tested</w:t>
            </w:r>
          </w:p>
        </w:tc>
      </w:tr>
      <w:tr>
        <w:tc>
          <w:tcPr>
            <w:tcW w:type="pct" w:w="1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6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Upgrade Render to Starter tier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Triggered by real user traffic on the migrated app, independent of phase completion</w:t>
            </w:r>
          </w:p>
        </w:tc>
      </w:tr>
      <w:tr>
        <w:tc>
          <w:tcPr>
            <w:tcW w:type="pct" w:w="1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(deferred)</w:t>
            </w:r>
          </w:p>
        </w:tc>
        <w:tc>
          <w:tcPr>
            <w:tcW w:type="pct" w:w="6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DataModule — Railway Postgres/Redis for client-managed databases and real caching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 until a project needs it or call_logs shows a measured caching need</w:t>
            </w:r>
          </w:p>
        </w:tc>
      </w:tr>
      <w:tr>
        <w:tc>
          <w:tcPr>
            <w:tcW w:type="pct" w:w="1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(deferred)</w:t>
            </w:r>
          </w:p>
        </w:tc>
        <w:tc>
          <w:tcPr>
            <w:tcW w:type="pct" w:w="68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Row-level permission granularity (authenticated vs. non-authenticated user scoping)</w:t>
            </w:r>
          </w:p>
        </w:tc>
        <w:tc>
          <w:tcPr>
            <w:tcW w:type="pct" w:w="22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when a second project's requirements demand it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Phases 1 and 2 build in parallel once Phase 0 is locked, sharing the guard and interceptor but touching different adapters. Phase 6 does not start before 1-5 are solid — the platform's only production client depends on metering and rate limiting already working correctly before its traffic hits the platform.</w:t>
      </w:r>
    </w:p>
    <w:p>
      <w:pPr>
        <w:pStyle w:val="Heading1"/>
        <w:spacing w:after="150" w:before="300"/>
      </w:pPr>
      <w:r>
        <w:t xml:space="preserve">6. What Comes Next</w:t>
      </w:r>
    </w:p>
    <w:p>
      <w:pPr>
        <w:spacing w:after="120"/>
      </w:pPr>
      <w:r>
        <w:t xml:space="preserve">With this phase plan confirmed, the next step is writing PROJECT_INSTRUCTIONS.md and PROJECT_CONTEXT_AND_EXECUTION_RULES.md for the coding agent, scoped to Phase 0 and Phase 1 first.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2026-07-11T20:11:39.863Z</dcterms:created>
  <dcterms:modified xsi:type="dcterms:W3CDTF">2026-07-11T20:11:39.875Z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