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70BA" w14:textId="77777777" w:rsidR="008F116C" w:rsidRDefault="00000000">
      <w:pPr>
        <w:spacing w:after="100"/>
      </w:pPr>
      <w:r>
        <w:rPr>
          <w:b/>
          <w:bCs/>
          <w:sz w:val="44"/>
          <w:szCs w:val="44"/>
        </w:rPr>
        <w:t>Stravon Management Platform</w:t>
      </w:r>
    </w:p>
    <w:p w14:paraId="254E8E80" w14:textId="77777777" w:rsidR="008F116C" w:rsidRDefault="00000000">
      <w:pPr>
        <w:spacing w:after="400"/>
      </w:pPr>
      <w:r>
        <w:rPr>
          <w:color w:val="555555"/>
          <w:sz w:val="28"/>
          <w:szCs w:val="28"/>
        </w:rPr>
        <w:t>Project Structure &amp; Build Plan</w:t>
      </w:r>
    </w:p>
    <w:p w14:paraId="51BD92F3" w14:textId="77777777" w:rsidR="008F116C" w:rsidRDefault="00000000">
      <w:pPr>
        <w:pStyle w:val="Heading1"/>
        <w:spacing w:before="300" w:after="150"/>
      </w:pPr>
      <w:r>
        <w:t>1. What This Platform Is</w:t>
      </w:r>
    </w:p>
    <w:p w14:paraId="70BB54EF" w14:textId="77777777" w:rsidR="008F116C" w:rsidRDefault="00000000">
      <w:pPr>
        <w:spacing w:after="120"/>
      </w:pPr>
      <w:r>
        <w:t>A shared infrastructure-authority backend for Stravon Tech Labs. Client apps no longer call Cloudflare R2 or Clerk directly — they call this platform, and the platform calls those services on their behalf. This gives Stravon one place to control access, log every call, meter usage against pricing tiers, and add or remove services without touching client apps.</w:t>
      </w:r>
    </w:p>
    <w:p w14:paraId="5DB63ACD" w14:textId="77777777" w:rsidR="008F116C" w:rsidRDefault="00000000">
      <w:pPr>
        <w:spacing w:after="120"/>
      </w:pPr>
      <w:r>
        <w:t>First consumer: the client app currently on Cloudinary and Supabase Auth, migrating to R2 and Clerk through this platform.</w:t>
      </w:r>
    </w:p>
    <w:p w14:paraId="32FAAC8E" w14:textId="77777777" w:rsidR="008F116C" w:rsidRDefault="00000000">
      <w:pPr>
        <w:pStyle w:val="Heading1"/>
        <w:spacing w:before="300" w:after="150"/>
      </w:pPr>
      <w:r>
        <w:t>2. Architecture</w:t>
      </w:r>
    </w:p>
    <w:p w14:paraId="55BA9482" w14:textId="77777777" w:rsidR="008F116C" w:rsidRDefault="00000000">
      <w:pPr>
        <w:spacing w:after="100"/>
      </w:pPr>
      <w:r>
        <w:rPr>
          <w:b/>
          <w:bCs/>
        </w:rPr>
        <w:t>Framework: NestJS</w:t>
      </w:r>
    </w:p>
    <w:p w14:paraId="71E01FA8" w14:textId="77777777" w:rsidR="008F116C" w:rsidRDefault="00000000">
      <w:pPr>
        <w:spacing w:after="120"/>
      </w:pPr>
      <w:r>
        <w:t>Chosen over Next.js because this is a backend service broker, not a rendering frontend. NestJS's module system maps directly to the platform's service boundaries and gives built-in request guards and interceptors.</w:t>
      </w:r>
    </w:p>
    <w:p w14:paraId="3E2B6778" w14:textId="77777777" w:rsidR="008F116C" w:rsidRDefault="00000000">
      <w:pPr>
        <w:spacing w:after="100"/>
      </w:pPr>
      <w:r>
        <w:rPr>
          <w:b/>
          <w:bCs/>
        </w:rPr>
        <w:t>Core building blocks:</w:t>
      </w:r>
    </w:p>
    <w:p w14:paraId="222D2EC0" w14:textId="77777777" w:rsidR="008F116C" w:rsidRDefault="00000000">
      <w:pPr>
        <w:pStyle w:val="ListParagraph"/>
        <w:numPr>
          <w:ilvl w:val="0"/>
          <w:numId w:val="1"/>
        </w:numPr>
        <w:spacing w:after="60"/>
      </w:pPr>
      <w:r>
        <w:t>Modules — one per external service (AuthModule, StorageModule, later DataModule). Add, remove, or swap a service without touching the others.</w:t>
      </w:r>
    </w:p>
    <w:p w14:paraId="3A675285" w14:textId="77777777" w:rsidR="008F116C" w:rsidRDefault="00000000">
      <w:pPr>
        <w:pStyle w:val="ListParagraph"/>
        <w:numPr>
          <w:ilvl w:val="0"/>
          <w:numId w:val="1"/>
        </w:numPr>
        <w:spacing w:after="60"/>
      </w:pPr>
      <w:r>
        <w:t>Guard — validates each incoming request's API key, resolves it to a project_id, and checks that project's permissions before any handler runs.</w:t>
      </w:r>
    </w:p>
    <w:p w14:paraId="28D578D5" w14:textId="77777777" w:rsidR="008F116C" w:rsidRDefault="00000000">
      <w:pPr>
        <w:pStyle w:val="ListParagraph"/>
        <w:numPr>
          <w:ilvl w:val="0"/>
          <w:numId w:val="1"/>
        </w:numPr>
        <w:spacing w:after="60"/>
      </w:pPr>
      <w:r>
        <w:t>Interceptor — logs every request (project, service, action, status, latency, bytes) after the guard passes, regardless of which module handled it.</w:t>
      </w:r>
    </w:p>
    <w:p w14:paraId="208945EB" w14:textId="77777777" w:rsidR="008F116C" w:rsidRDefault="00000000">
      <w:pPr>
        <w:pStyle w:val="ListParagraph"/>
        <w:numPr>
          <w:ilvl w:val="0"/>
          <w:numId w:val="1"/>
        </w:numPr>
        <w:spacing w:after="60"/>
      </w:pPr>
      <w:r>
        <w:t>Adapters — one per external provider (Clerk adapter, R2 adapter). Client apps never see these directly.</w:t>
      </w:r>
    </w:p>
    <w:p w14:paraId="4D4C073C" w14:textId="77777777" w:rsidR="008F116C" w:rsidRDefault="00000000">
      <w:pPr>
        <w:pStyle w:val="Heading1"/>
        <w:spacing w:before="300" w:after="150"/>
      </w:pPr>
      <w:r>
        <w:t>3. Data Storage</w:t>
      </w:r>
    </w:p>
    <w:p w14:paraId="78BE71D8" w14:textId="77777777" w:rsidR="008F116C" w:rsidRDefault="00000000">
      <w:pPr>
        <w:spacing w:after="100"/>
      </w:pPr>
      <w:r>
        <w:rPr>
          <w:b/>
          <w:bCs/>
        </w:rPr>
        <w:t>Platform database: Supabase (Postgres)</w:t>
      </w:r>
    </w:p>
    <w:p w14:paraId="3D225EA2" w14:textId="77777777" w:rsidR="008F116C" w:rsidRDefault="00000000">
      <w:pPr>
        <w:spacing w:after="120"/>
      </w:pPr>
      <w:r>
        <w:t>Separate Supabase project from any client product's database — this platform's tables (API keys, permissions, call logs) never share a schema with a client app's own data.</w:t>
      </w:r>
    </w:p>
    <w:p w14:paraId="6A954DBB" w14:textId="77777777" w:rsidR="008F116C" w:rsidRDefault="00000000">
      <w:pPr>
        <w:spacing w:after="100"/>
      </w:pPr>
      <w:r>
        <w:rPr>
          <w:b/>
          <w:bCs/>
        </w:rPr>
        <w:t>projects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1"/>
        <w:gridCol w:w="2672"/>
        <w:gridCol w:w="3117"/>
      </w:tblGrid>
      <w:tr w:rsidR="008F116C" w14:paraId="695630D5" w14:textId="77777777">
        <w:tblPrEx>
          <w:tblCellMar>
            <w:top w:w="0" w:type="dxa"/>
            <w:bottom w:w="0" w:type="dxa"/>
          </w:tblCellMar>
        </w:tblPrEx>
        <w:tc>
          <w:tcPr>
            <w:tcW w:w="800" w:type="pct"/>
            <w:shd w:val="clear" w:color="auto" w:fill="2F2F2F"/>
          </w:tcPr>
          <w:p w14:paraId="7CD3F9D0" w14:textId="77777777" w:rsidR="008F116C" w:rsidRDefault="00000000">
            <w:r>
              <w:rPr>
                <w:b/>
                <w:bCs/>
                <w:color w:val="FFFFFF"/>
              </w:rPr>
              <w:t>Column</w:t>
            </w:r>
          </w:p>
        </w:tc>
        <w:tc>
          <w:tcPr>
            <w:tcW w:w="600" w:type="pct"/>
            <w:shd w:val="clear" w:color="auto" w:fill="2F2F2F"/>
          </w:tcPr>
          <w:p w14:paraId="6B239C91" w14:textId="77777777" w:rsidR="008F116C" w:rsidRDefault="00000000">
            <w:r>
              <w:rPr>
                <w:b/>
                <w:bCs/>
                <w:color w:val="FFFFFF"/>
              </w:rPr>
              <w:t>Type</w:t>
            </w:r>
          </w:p>
        </w:tc>
        <w:tc>
          <w:tcPr>
            <w:tcW w:w="700" w:type="pct"/>
            <w:shd w:val="clear" w:color="auto" w:fill="2F2F2F"/>
          </w:tcPr>
          <w:p w14:paraId="503A5831" w14:textId="77777777" w:rsidR="008F116C" w:rsidRDefault="00000000">
            <w:r>
              <w:rPr>
                <w:b/>
                <w:bCs/>
                <w:color w:val="FFFFFF"/>
              </w:rPr>
              <w:t>Notes</w:t>
            </w:r>
          </w:p>
        </w:tc>
      </w:tr>
      <w:tr w:rsidR="008F116C" w14:paraId="2D3E0D03" w14:textId="77777777">
        <w:tblPrEx>
          <w:tblCellMar>
            <w:top w:w="0" w:type="dxa"/>
            <w:bottom w:w="0" w:type="dxa"/>
          </w:tblCellMar>
        </w:tblPrEx>
        <w:tc>
          <w:tcPr>
            <w:tcW w:w="800" w:type="pct"/>
          </w:tcPr>
          <w:p w14:paraId="2A9C3DD6" w14:textId="77777777" w:rsidR="008F116C" w:rsidRDefault="00000000">
            <w:r>
              <w:t>project_id</w:t>
            </w:r>
          </w:p>
        </w:tc>
        <w:tc>
          <w:tcPr>
            <w:tcW w:w="600" w:type="pct"/>
          </w:tcPr>
          <w:p w14:paraId="46FD0825" w14:textId="77777777" w:rsidR="008F116C" w:rsidRDefault="00000000">
            <w:r>
              <w:t>uuid</w:t>
            </w:r>
          </w:p>
        </w:tc>
        <w:tc>
          <w:tcPr>
            <w:tcW w:w="700" w:type="pct"/>
          </w:tcPr>
          <w:p w14:paraId="742E3F44" w14:textId="77777777" w:rsidR="008F116C" w:rsidRDefault="00000000">
            <w:r>
              <w:t>Primary key</w:t>
            </w:r>
          </w:p>
        </w:tc>
      </w:tr>
      <w:tr w:rsidR="008F116C" w14:paraId="5C83D16F" w14:textId="77777777">
        <w:tblPrEx>
          <w:tblCellMar>
            <w:top w:w="0" w:type="dxa"/>
            <w:bottom w:w="0" w:type="dxa"/>
          </w:tblCellMar>
        </w:tblPrEx>
        <w:tc>
          <w:tcPr>
            <w:tcW w:w="800" w:type="pct"/>
          </w:tcPr>
          <w:p w14:paraId="408608ED" w14:textId="77777777" w:rsidR="008F116C" w:rsidRDefault="00000000">
            <w:r>
              <w:t>name</w:t>
            </w:r>
          </w:p>
        </w:tc>
        <w:tc>
          <w:tcPr>
            <w:tcW w:w="600" w:type="pct"/>
          </w:tcPr>
          <w:p w14:paraId="711147F5" w14:textId="77777777" w:rsidR="008F116C" w:rsidRDefault="00000000">
            <w:r>
              <w:t>text</w:t>
            </w:r>
          </w:p>
        </w:tc>
        <w:tc>
          <w:tcPr>
            <w:tcW w:w="700" w:type="pct"/>
          </w:tcPr>
          <w:p w14:paraId="3F02765E" w14:textId="77777777" w:rsidR="008F116C" w:rsidRDefault="008F116C"/>
        </w:tc>
      </w:tr>
      <w:tr w:rsidR="008F116C" w14:paraId="56D6F839" w14:textId="77777777">
        <w:tblPrEx>
          <w:tblCellMar>
            <w:top w:w="0" w:type="dxa"/>
            <w:bottom w:w="0" w:type="dxa"/>
          </w:tblCellMar>
        </w:tblPrEx>
        <w:tc>
          <w:tcPr>
            <w:tcW w:w="800" w:type="pct"/>
          </w:tcPr>
          <w:p w14:paraId="48066EA2" w14:textId="77777777" w:rsidR="008F116C" w:rsidRDefault="00000000">
            <w:r>
              <w:t>owner</w:t>
            </w:r>
          </w:p>
        </w:tc>
        <w:tc>
          <w:tcPr>
            <w:tcW w:w="600" w:type="pct"/>
          </w:tcPr>
          <w:p w14:paraId="39CF187D" w14:textId="77777777" w:rsidR="008F116C" w:rsidRDefault="00000000">
            <w:r>
              <w:t>text</w:t>
            </w:r>
          </w:p>
        </w:tc>
        <w:tc>
          <w:tcPr>
            <w:tcW w:w="700" w:type="pct"/>
          </w:tcPr>
          <w:p w14:paraId="58EB52DE" w14:textId="77777777" w:rsidR="008F116C" w:rsidRDefault="008F116C"/>
        </w:tc>
      </w:tr>
      <w:tr w:rsidR="008F116C" w14:paraId="7363133C" w14:textId="77777777">
        <w:tblPrEx>
          <w:tblCellMar>
            <w:top w:w="0" w:type="dxa"/>
            <w:bottom w:w="0" w:type="dxa"/>
          </w:tblCellMar>
        </w:tblPrEx>
        <w:tc>
          <w:tcPr>
            <w:tcW w:w="800" w:type="pct"/>
          </w:tcPr>
          <w:p w14:paraId="0FFD79ED" w14:textId="77777777" w:rsidR="008F116C" w:rsidRDefault="00000000">
            <w:r>
              <w:t>category</w:t>
            </w:r>
          </w:p>
        </w:tc>
        <w:tc>
          <w:tcPr>
            <w:tcW w:w="600" w:type="pct"/>
          </w:tcPr>
          <w:p w14:paraId="0A3B3D10" w14:textId="77777777" w:rsidR="008F116C" w:rsidRDefault="00000000">
            <w:r>
              <w:t>text</w:t>
            </w:r>
          </w:p>
        </w:tc>
        <w:tc>
          <w:tcPr>
            <w:tcW w:w="700" w:type="pct"/>
          </w:tcPr>
          <w:p w14:paraId="1DA238A0" w14:textId="77777777" w:rsidR="008F116C" w:rsidRDefault="00000000">
            <w:r>
              <w:t>'single_client' or 'saas_tenant'</w:t>
            </w:r>
          </w:p>
        </w:tc>
      </w:tr>
      <w:tr w:rsidR="008F116C" w14:paraId="5205F495" w14:textId="77777777">
        <w:tblPrEx>
          <w:tblCellMar>
            <w:top w:w="0" w:type="dxa"/>
            <w:bottom w:w="0" w:type="dxa"/>
          </w:tblCellMar>
        </w:tblPrEx>
        <w:tc>
          <w:tcPr>
            <w:tcW w:w="800" w:type="pct"/>
          </w:tcPr>
          <w:p w14:paraId="3AE5DF15" w14:textId="77777777" w:rsidR="008F116C" w:rsidRDefault="00000000">
            <w:r>
              <w:t>tier</w:t>
            </w:r>
          </w:p>
        </w:tc>
        <w:tc>
          <w:tcPr>
            <w:tcW w:w="600" w:type="pct"/>
          </w:tcPr>
          <w:p w14:paraId="1FABECE4" w14:textId="77777777" w:rsidR="008F116C" w:rsidRDefault="00000000">
            <w:r>
              <w:t>text</w:t>
            </w:r>
          </w:p>
        </w:tc>
        <w:tc>
          <w:tcPr>
            <w:tcW w:w="700" w:type="pct"/>
          </w:tcPr>
          <w:p w14:paraId="21ABAC83" w14:textId="77777777" w:rsidR="008F116C" w:rsidRDefault="00000000">
            <w:r>
              <w:t>Entry / Starter / Growth / Scale</w:t>
            </w:r>
          </w:p>
        </w:tc>
      </w:tr>
      <w:tr w:rsidR="008F116C" w14:paraId="76A0997A" w14:textId="77777777">
        <w:tblPrEx>
          <w:tblCellMar>
            <w:top w:w="0" w:type="dxa"/>
            <w:bottom w:w="0" w:type="dxa"/>
          </w:tblCellMar>
        </w:tblPrEx>
        <w:tc>
          <w:tcPr>
            <w:tcW w:w="800" w:type="pct"/>
          </w:tcPr>
          <w:p w14:paraId="4984CD8C" w14:textId="77777777" w:rsidR="008F116C" w:rsidRDefault="00000000">
            <w:r>
              <w:t>permissions</w:t>
            </w:r>
          </w:p>
        </w:tc>
        <w:tc>
          <w:tcPr>
            <w:tcW w:w="600" w:type="pct"/>
          </w:tcPr>
          <w:p w14:paraId="06CE5066" w14:textId="77777777" w:rsidR="008F116C" w:rsidRDefault="00000000">
            <w:r>
              <w:t>jsonb</w:t>
            </w:r>
          </w:p>
        </w:tc>
        <w:tc>
          <w:tcPr>
            <w:tcW w:w="700" w:type="pct"/>
          </w:tcPr>
          <w:p w14:paraId="33EF190B" w14:textId="77777777" w:rsidR="008F116C" w:rsidRDefault="00000000">
            <w:r>
              <w:t>Per-service action grants, see Section 5</w:t>
            </w:r>
          </w:p>
        </w:tc>
      </w:tr>
      <w:tr w:rsidR="008F116C" w14:paraId="46041470" w14:textId="77777777">
        <w:tblPrEx>
          <w:tblCellMar>
            <w:top w:w="0" w:type="dxa"/>
            <w:bottom w:w="0" w:type="dxa"/>
          </w:tblCellMar>
        </w:tblPrEx>
        <w:tc>
          <w:tcPr>
            <w:tcW w:w="800" w:type="pct"/>
          </w:tcPr>
          <w:p w14:paraId="0A2CDF66" w14:textId="77777777" w:rsidR="008F116C" w:rsidRDefault="00000000">
            <w:r>
              <w:t>api_key_hash</w:t>
            </w:r>
          </w:p>
        </w:tc>
        <w:tc>
          <w:tcPr>
            <w:tcW w:w="600" w:type="pct"/>
          </w:tcPr>
          <w:p w14:paraId="76830C1E" w14:textId="77777777" w:rsidR="008F116C" w:rsidRDefault="00000000">
            <w:r>
              <w:t>text</w:t>
            </w:r>
          </w:p>
        </w:tc>
        <w:tc>
          <w:tcPr>
            <w:tcW w:w="700" w:type="pct"/>
          </w:tcPr>
          <w:p w14:paraId="1C74C05B" w14:textId="77777777" w:rsidR="008F116C" w:rsidRDefault="00000000">
            <w:r>
              <w:t>Never store the raw key</w:t>
            </w:r>
          </w:p>
        </w:tc>
      </w:tr>
      <w:tr w:rsidR="008F116C" w14:paraId="22C44537" w14:textId="77777777">
        <w:tblPrEx>
          <w:tblCellMar>
            <w:top w:w="0" w:type="dxa"/>
            <w:bottom w:w="0" w:type="dxa"/>
          </w:tblCellMar>
        </w:tblPrEx>
        <w:tc>
          <w:tcPr>
            <w:tcW w:w="800" w:type="pct"/>
          </w:tcPr>
          <w:p w14:paraId="2590DB10" w14:textId="77777777" w:rsidR="008F116C" w:rsidRDefault="00000000">
            <w:r>
              <w:t>created_at</w:t>
            </w:r>
          </w:p>
        </w:tc>
        <w:tc>
          <w:tcPr>
            <w:tcW w:w="600" w:type="pct"/>
          </w:tcPr>
          <w:p w14:paraId="4130CE80" w14:textId="77777777" w:rsidR="008F116C" w:rsidRDefault="00000000">
            <w:r>
              <w:t>timestamp</w:t>
            </w:r>
          </w:p>
        </w:tc>
        <w:tc>
          <w:tcPr>
            <w:tcW w:w="700" w:type="pct"/>
          </w:tcPr>
          <w:p w14:paraId="086EEE9A" w14:textId="77777777" w:rsidR="008F116C" w:rsidRDefault="008F116C"/>
        </w:tc>
      </w:tr>
    </w:tbl>
    <w:p w14:paraId="5EA01C74" w14:textId="77777777" w:rsidR="008F116C" w:rsidRDefault="008F116C">
      <w:pPr>
        <w:spacing w:after="150"/>
      </w:pPr>
    </w:p>
    <w:p w14:paraId="73D8E495" w14:textId="77777777" w:rsidR="0052104A" w:rsidRDefault="0052104A">
      <w:pPr>
        <w:rPr>
          <w:b/>
          <w:bCs/>
        </w:rPr>
      </w:pPr>
      <w:r>
        <w:rPr>
          <w:b/>
          <w:bCs/>
        </w:rPr>
        <w:br w:type="page"/>
      </w:r>
    </w:p>
    <w:p w14:paraId="3F70874D" w14:textId="3FF6A306" w:rsidR="008F116C" w:rsidRDefault="00000000">
      <w:pPr>
        <w:spacing w:after="100"/>
      </w:pPr>
      <w:r>
        <w:rPr>
          <w:b/>
          <w:bCs/>
        </w:rPr>
        <w:lastRenderedPageBreak/>
        <w:t>call_logs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2"/>
        <w:gridCol w:w="2846"/>
        <w:gridCol w:w="3252"/>
      </w:tblGrid>
      <w:tr w:rsidR="008F116C" w14:paraId="7C6ED7DA" w14:textId="77777777">
        <w:tblPrEx>
          <w:tblCellMar>
            <w:top w:w="0" w:type="dxa"/>
            <w:bottom w:w="0" w:type="dxa"/>
          </w:tblCellMar>
        </w:tblPrEx>
        <w:tc>
          <w:tcPr>
            <w:tcW w:w="800" w:type="pct"/>
            <w:shd w:val="clear" w:color="auto" w:fill="2F2F2F"/>
          </w:tcPr>
          <w:p w14:paraId="5B0363CC" w14:textId="77777777" w:rsidR="008F116C" w:rsidRDefault="00000000">
            <w:r>
              <w:rPr>
                <w:b/>
                <w:bCs/>
                <w:color w:val="FFFFFF"/>
              </w:rPr>
              <w:t>Column</w:t>
            </w:r>
          </w:p>
        </w:tc>
        <w:tc>
          <w:tcPr>
            <w:tcW w:w="700" w:type="pct"/>
            <w:shd w:val="clear" w:color="auto" w:fill="2F2F2F"/>
          </w:tcPr>
          <w:p w14:paraId="2C18663F" w14:textId="77777777" w:rsidR="008F116C" w:rsidRDefault="00000000">
            <w:r>
              <w:rPr>
                <w:b/>
                <w:bCs/>
                <w:color w:val="FFFFFF"/>
              </w:rPr>
              <w:t>Type</w:t>
            </w:r>
          </w:p>
        </w:tc>
        <w:tc>
          <w:tcPr>
            <w:tcW w:w="800" w:type="pct"/>
            <w:shd w:val="clear" w:color="auto" w:fill="2F2F2F"/>
          </w:tcPr>
          <w:p w14:paraId="3F175042" w14:textId="77777777" w:rsidR="008F116C" w:rsidRDefault="00000000">
            <w:r>
              <w:rPr>
                <w:b/>
                <w:bCs/>
                <w:color w:val="FFFFFF"/>
              </w:rPr>
              <w:t>Notes</w:t>
            </w:r>
          </w:p>
        </w:tc>
      </w:tr>
      <w:tr w:rsidR="008F116C" w14:paraId="7E6A28C5" w14:textId="77777777">
        <w:tblPrEx>
          <w:tblCellMar>
            <w:top w:w="0" w:type="dxa"/>
            <w:bottom w:w="0" w:type="dxa"/>
          </w:tblCellMar>
        </w:tblPrEx>
        <w:tc>
          <w:tcPr>
            <w:tcW w:w="800" w:type="pct"/>
          </w:tcPr>
          <w:p w14:paraId="435BCB45" w14:textId="77777777" w:rsidR="008F116C" w:rsidRDefault="00000000">
            <w:r>
              <w:t>project_id</w:t>
            </w:r>
          </w:p>
        </w:tc>
        <w:tc>
          <w:tcPr>
            <w:tcW w:w="700" w:type="pct"/>
          </w:tcPr>
          <w:p w14:paraId="3391E052" w14:textId="77777777" w:rsidR="008F116C" w:rsidRDefault="00000000">
            <w:r>
              <w:t>uuid</w:t>
            </w:r>
          </w:p>
        </w:tc>
        <w:tc>
          <w:tcPr>
            <w:tcW w:w="800" w:type="pct"/>
          </w:tcPr>
          <w:p w14:paraId="7E5783D9" w14:textId="77777777" w:rsidR="008F116C" w:rsidRDefault="00000000">
            <w:r>
              <w:t>Foreign key to projects</w:t>
            </w:r>
          </w:p>
        </w:tc>
      </w:tr>
      <w:tr w:rsidR="008F116C" w14:paraId="3C3E8FDE" w14:textId="77777777">
        <w:tblPrEx>
          <w:tblCellMar>
            <w:top w:w="0" w:type="dxa"/>
            <w:bottom w:w="0" w:type="dxa"/>
          </w:tblCellMar>
        </w:tblPrEx>
        <w:tc>
          <w:tcPr>
            <w:tcW w:w="800" w:type="pct"/>
          </w:tcPr>
          <w:p w14:paraId="49AB0108" w14:textId="77777777" w:rsidR="008F116C" w:rsidRDefault="00000000">
            <w:r>
              <w:t>service</w:t>
            </w:r>
          </w:p>
        </w:tc>
        <w:tc>
          <w:tcPr>
            <w:tcW w:w="700" w:type="pct"/>
          </w:tcPr>
          <w:p w14:paraId="4053664D" w14:textId="77777777" w:rsidR="008F116C" w:rsidRDefault="00000000">
            <w:r>
              <w:t>text</w:t>
            </w:r>
          </w:p>
        </w:tc>
        <w:tc>
          <w:tcPr>
            <w:tcW w:w="800" w:type="pct"/>
          </w:tcPr>
          <w:p w14:paraId="5A885C02" w14:textId="77777777" w:rsidR="008F116C" w:rsidRDefault="00000000">
            <w:r>
              <w:t>'storage' / 'auth' / 'db'</w:t>
            </w:r>
          </w:p>
        </w:tc>
      </w:tr>
      <w:tr w:rsidR="008F116C" w14:paraId="406404CC" w14:textId="77777777">
        <w:tblPrEx>
          <w:tblCellMar>
            <w:top w:w="0" w:type="dxa"/>
            <w:bottom w:w="0" w:type="dxa"/>
          </w:tblCellMar>
        </w:tblPrEx>
        <w:tc>
          <w:tcPr>
            <w:tcW w:w="800" w:type="pct"/>
          </w:tcPr>
          <w:p w14:paraId="47221B01" w14:textId="77777777" w:rsidR="008F116C" w:rsidRDefault="00000000">
            <w:r>
              <w:t>action</w:t>
            </w:r>
          </w:p>
        </w:tc>
        <w:tc>
          <w:tcPr>
            <w:tcW w:w="700" w:type="pct"/>
          </w:tcPr>
          <w:p w14:paraId="0272C9A9" w14:textId="77777777" w:rsidR="008F116C" w:rsidRDefault="00000000">
            <w:r>
              <w:t>text</w:t>
            </w:r>
          </w:p>
        </w:tc>
        <w:tc>
          <w:tcPr>
            <w:tcW w:w="800" w:type="pct"/>
          </w:tcPr>
          <w:p w14:paraId="08AF1923" w14:textId="77777777" w:rsidR="008F116C" w:rsidRDefault="00000000">
            <w:r>
              <w:t>'read' / 'create' / 'modify' / 'delete'</w:t>
            </w:r>
          </w:p>
        </w:tc>
      </w:tr>
      <w:tr w:rsidR="008F116C" w14:paraId="2E283569" w14:textId="77777777">
        <w:tblPrEx>
          <w:tblCellMar>
            <w:top w:w="0" w:type="dxa"/>
            <w:bottom w:w="0" w:type="dxa"/>
          </w:tblCellMar>
        </w:tblPrEx>
        <w:tc>
          <w:tcPr>
            <w:tcW w:w="800" w:type="pct"/>
          </w:tcPr>
          <w:p w14:paraId="5818CF9B" w14:textId="77777777" w:rsidR="008F116C" w:rsidRDefault="00000000">
            <w:r>
              <w:t>status</w:t>
            </w:r>
          </w:p>
        </w:tc>
        <w:tc>
          <w:tcPr>
            <w:tcW w:w="700" w:type="pct"/>
          </w:tcPr>
          <w:p w14:paraId="4AE13F21" w14:textId="77777777" w:rsidR="008F116C" w:rsidRDefault="00000000">
            <w:r>
              <w:t>text</w:t>
            </w:r>
          </w:p>
        </w:tc>
        <w:tc>
          <w:tcPr>
            <w:tcW w:w="800" w:type="pct"/>
          </w:tcPr>
          <w:p w14:paraId="3E3FBC51" w14:textId="77777777" w:rsidR="008F116C" w:rsidRDefault="00000000">
            <w:r>
              <w:t>success / error</w:t>
            </w:r>
          </w:p>
        </w:tc>
      </w:tr>
      <w:tr w:rsidR="008F116C" w14:paraId="52B38A6E" w14:textId="77777777">
        <w:tblPrEx>
          <w:tblCellMar>
            <w:top w:w="0" w:type="dxa"/>
            <w:bottom w:w="0" w:type="dxa"/>
          </w:tblCellMar>
        </w:tblPrEx>
        <w:tc>
          <w:tcPr>
            <w:tcW w:w="800" w:type="pct"/>
          </w:tcPr>
          <w:p w14:paraId="5795C9A5" w14:textId="77777777" w:rsidR="008F116C" w:rsidRDefault="00000000">
            <w:r>
              <w:t>latency_ms</w:t>
            </w:r>
          </w:p>
        </w:tc>
        <w:tc>
          <w:tcPr>
            <w:tcW w:w="700" w:type="pct"/>
          </w:tcPr>
          <w:p w14:paraId="2865AA3E" w14:textId="77777777" w:rsidR="008F116C" w:rsidRDefault="00000000">
            <w:r>
              <w:t>integer</w:t>
            </w:r>
          </w:p>
        </w:tc>
        <w:tc>
          <w:tcPr>
            <w:tcW w:w="800" w:type="pct"/>
          </w:tcPr>
          <w:p w14:paraId="5F40C432" w14:textId="77777777" w:rsidR="008F116C" w:rsidRDefault="008F116C"/>
        </w:tc>
      </w:tr>
      <w:tr w:rsidR="008F116C" w14:paraId="6FAC57C3" w14:textId="77777777">
        <w:tblPrEx>
          <w:tblCellMar>
            <w:top w:w="0" w:type="dxa"/>
            <w:bottom w:w="0" w:type="dxa"/>
          </w:tblCellMar>
        </w:tblPrEx>
        <w:tc>
          <w:tcPr>
            <w:tcW w:w="800" w:type="pct"/>
          </w:tcPr>
          <w:p w14:paraId="4CD276C0" w14:textId="77777777" w:rsidR="008F116C" w:rsidRDefault="00000000">
            <w:r>
              <w:t>bytes</w:t>
            </w:r>
          </w:p>
        </w:tc>
        <w:tc>
          <w:tcPr>
            <w:tcW w:w="700" w:type="pct"/>
          </w:tcPr>
          <w:p w14:paraId="412286F5" w14:textId="77777777" w:rsidR="008F116C" w:rsidRDefault="00000000">
            <w:r>
              <w:t>integer</w:t>
            </w:r>
          </w:p>
        </w:tc>
        <w:tc>
          <w:tcPr>
            <w:tcW w:w="800" w:type="pct"/>
          </w:tcPr>
          <w:p w14:paraId="64A02B5C" w14:textId="77777777" w:rsidR="008F116C" w:rsidRDefault="00000000">
            <w:r>
              <w:t>For storage metering</w:t>
            </w:r>
          </w:p>
        </w:tc>
      </w:tr>
      <w:tr w:rsidR="008F116C" w14:paraId="29173931" w14:textId="77777777">
        <w:tblPrEx>
          <w:tblCellMar>
            <w:top w:w="0" w:type="dxa"/>
            <w:bottom w:w="0" w:type="dxa"/>
          </w:tblCellMar>
        </w:tblPrEx>
        <w:tc>
          <w:tcPr>
            <w:tcW w:w="800" w:type="pct"/>
          </w:tcPr>
          <w:p w14:paraId="41AFD0E5" w14:textId="77777777" w:rsidR="008F116C" w:rsidRDefault="00000000">
            <w:r>
              <w:t>bytes_direction</w:t>
            </w:r>
          </w:p>
        </w:tc>
        <w:tc>
          <w:tcPr>
            <w:tcW w:w="700" w:type="pct"/>
          </w:tcPr>
          <w:p w14:paraId="10EDC12E" w14:textId="77777777" w:rsidR="008F116C" w:rsidRDefault="00000000">
            <w:r>
              <w:t>text</w:t>
            </w:r>
          </w:p>
        </w:tc>
        <w:tc>
          <w:tcPr>
            <w:tcW w:w="800" w:type="pct"/>
          </w:tcPr>
          <w:p w14:paraId="0C18A8FA" w14:textId="77777777" w:rsidR="008F116C" w:rsidRDefault="00000000">
            <w:r>
              <w:t>'upload' or 'download'</w:t>
            </w:r>
          </w:p>
        </w:tc>
      </w:tr>
      <w:tr w:rsidR="008F116C" w14:paraId="72D1388F" w14:textId="77777777">
        <w:tblPrEx>
          <w:tblCellMar>
            <w:top w:w="0" w:type="dxa"/>
            <w:bottom w:w="0" w:type="dxa"/>
          </w:tblCellMar>
        </w:tblPrEx>
        <w:tc>
          <w:tcPr>
            <w:tcW w:w="800" w:type="pct"/>
          </w:tcPr>
          <w:p w14:paraId="7AF9D361" w14:textId="77777777" w:rsidR="008F116C" w:rsidRDefault="00000000">
            <w:r>
              <w:t>created_at</w:t>
            </w:r>
          </w:p>
        </w:tc>
        <w:tc>
          <w:tcPr>
            <w:tcW w:w="700" w:type="pct"/>
          </w:tcPr>
          <w:p w14:paraId="5D2F347C" w14:textId="77777777" w:rsidR="008F116C" w:rsidRDefault="00000000">
            <w:r>
              <w:t>timestamp</w:t>
            </w:r>
          </w:p>
        </w:tc>
        <w:tc>
          <w:tcPr>
            <w:tcW w:w="800" w:type="pct"/>
          </w:tcPr>
          <w:p w14:paraId="76FD69D0" w14:textId="77777777" w:rsidR="008F116C" w:rsidRDefault="008F116C"/>
        </w:tc>
      </w:tr>
    </w:tbl>
    <w:p w14:paraId="5F73CAA5" w14:textId="77777777" w:rsidR="008F116C" w:rsidRDefault="008F116C">
      <w:pPr>
        <w:spacing w:after="150"/>
      </w:pPr>
    </w:p>
    <w:p w14:paraId="78321027" w14:textId="77777777" w:rsidR="008F116C" w:rsidRDefault="00000000">
      <w:pPr>
        <w:spacing w:after="120"/>
      </w:pPr>
      <w:r>
        <w:t>call_logs is not just an audit trail — it is the source data for per-project storage metering against the published pricing tiers (Entry/Starter/Growth/Scale) and for the usage numbers shown on a client app's own admin dashboard.</w:t>
      </w:r>
    </w:p>
    <w:p w14:paraId="33A29DCE" w14:textId="77777777" w:rsidR="008F116C" w:rsidRDefault="00000000">
      <w:pPr>
        <w:pStyle w:val="Heading1"/>
        <w:spacing w:before="300" w:after="150"/>
      </w:pPr>
      <w:r>
        <w:t>4. Permissions Model</w:t>
      </w:r>
    </w:p>
    <w:p w14:paraId="008CC893" w14:textId="77777777" w:rsidR="008F116C" w:rsidRDefault="00000000">
      <w:pPr>
        <w:spacing w:after="120"/>
      </w:pPr>
      <w:r>
        <w:t>Stored as JSONB on the projects table. Not a separate relational table — unnecessary overhead at current scale, and still queryable when needed.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1964"/>
        <w:gridCol w:w="1964"/>
        <w:gridCol w:w="2057"/>
        <w:gridCol w:w="2057"/>
      </w:tblGrid>
      <w:tr w:rsidR="008F116C" w14:paraId="0788176A" w14:textId="77777777">
        <w:tblPrEx>
          <w:tblCellMar>
            <w:top w:w="0" w:type="dxa"/>
            <w:bottom w:w="0" w:type="dxa"/>
          </w:tblCellMar>
        </w:tblPrEx>
        <w:tc>
          <w:tcPr>
            <w:tcW w:w="700" w:type="pct"/>
            <w:shd w:val="clear" w:color="auto" w:fill="2F2F2F"/>
          </w:tcPr>
          <w:p w14:paraId="33F74F9F" w14:textId="77777777" w:rsidR="008F116C" w:rsidRDefault="00000000">
            <w:r>
              <w:rPr>
                <w:b/>
                <w:bCs/>
                <w:color w:val="FFFFFF"/>
              </w:rPr>
              <w:t>Service</w:t>
            </w:r>
          </w:p>
        </w:tc>
        <w:tc>
          <w:tcPr>
            <w:tcW w:w="1050" w:type="pct"/>
            <w:shd w:val="clear" w:color="auto" w:fill="2F2F2F"/>
          </w:tcPr>
          <w:p w14:paraId="31B664A6" w14:textId="77777777" w:rsidR="008F116C" w:rsidRDefault="00000000">
            <w:r>
              <w:rPr>
                <w:b/>
                <w:bCs/>
                <w:color w:val="FFFFFF"/>
              </w:rPr>
              <w:t>Read</w:t>
            </w:r>
          </w:p>
        </w:tc>
        <w:tc>
          <w:tcPr>
            <w:tcW w:w="1050" w:type="pct"/>
            <w:shd w:val="clear" w:color="auto" w:fill="2F2F2F"/>
          </w:tcPr>
          <w:p w14:paraId="3D400A23" w14:textId="77777777" w:rsidR="008F116C" w:rsidRDefault="00000000">
            <w:r>
              <w:rPr>
                <w:b/>
                <w:bCs/>
                <w:color w:val="FFFFFF"/>
              </w:rPr>
              <w:t>Create</w:t>
            </w:r>
          </w:p>
        </w:tc>
        <w:tc>
          <w:tcPr>
            <w:tcW w:w="1100" w:type="pct"/>
            <w:shd w:val="clear" w:color="auto" w:fill="2F2F2F"/>
          </w:tcPr>
          <w:p w14:paraId="5CD1AA08" w14:textId="77777777" w:rsidR="008F116C" w:rsidRDefault="00000000">
            <w:r>
              <w:rPr>
                <w:b/>
                <w:bCs/>
                <w:color w:val="FFFFFF"/>
              </w:rPr>
              <w:t>Modify</w:t>
            </w:r>
          </w:p>
        </w:tc>
        <w:tc>
          <w:tcPr>
            <w:tcW w:w="1100" w:type="pct"/>
            <w:shd w:val="clear" w:color="auto" w:fill="2F2F2F"/>
          </w:tcPr>
          <w:p w14:paraId="7274D7CF" w14:textId="77777777" w:rsidR="008F116C" w:rsidRDefault="00000000">
            <w:r>
              <w:rPr>
                <w:b/>
                <w:bCs/>
                <w:color w:val="FFFFFF"/>
              </w:rPr>
              <w:t>Delete</w:t>
            </w:r>
          </w:p>
        </w:tc>
      </w:tr>
      <w:tr w:rsidR="008F116C" w14:paraId="02A112AE" w14:textId="77777777">
        <w:tblPrEx>
          <w:tblCellMar>
            <w:top w:w="0" w:type="dxa"/>
            <w:bottom w:w="0" w:type="dxa"/>
          </w:tblCellMar>
        </w:tblPrEx>
        <w:tc>
          <w:tcPr>
            <w:tcW w:w="700" w:type="pct"/>
          </w:tcPr>
          <w:p w14:paraId="0AF6F0B0" w14:textId="77777777" w:rsidR="008F116C" w:rsidRDefault="00000000">
            <w:r>
              <w:t>Storage</w:t>
            </w:r>
          </w:p>
        </w:tc>
        <w:tc>
          <w:tcPr>
            <w:tcW w:w="1050" w:type="pct"/>
          </w:tcPr>
          <w:p w14:paraId="3E7C45BD" w14:textId="77777777" w:rsidR="008F116C" w:rsidRDefault="00000000">
            <w:r>
              <w:t>Download/view file</w:t>
            </w:r>
          </w:p>
        </w:tc>
        <w:tc>
          <w:tcPr>
            <w:tcW w:w="1050" w:type="pct"/>
          </w:tcPr>
          <w:p w14:paraId="408C272C" w14:textId="77777777" w:rsidR="008F116C" w:rsidRDefault="00000000">
            <w:r>
              <w:t>Upload file</w:t>
            </w:r>
          </w:p>
        </w:tc>
        <w:tc>
          <w:tcPr>
            <w:tcW w:w="1100" w:type="pct"/>
          </w:tcPr>
          <w:p w14:paraId="5BC78FB6" w14:textId="77777777" w:rsidR="008F116C" w:rsidRDefault="00000000">
            <w:r>
              <w:t>Replace/rename file</w:t>
            </w:r>
          </w:p>
        </w:tc>
        <w:tc>
          <w:tcPr>
            <w:tcW w:w="1100" w:type="pct"/>
          </w:tcPr>
          <w:p w14:paraId="11E112F6" w14:textId="77777777" w:rsidR="008F116C" w:rsidRDefault="00000000">
            <w:r>
              <w:t>Delete file</w:t>
            </w:r>
          </w:p>
        </w:tc>
      </w:tr>
      <w:tr w:rsidR="008F116C" w14:paraId="7590D4F4" w14:textId="77777777">
        <w:tblPrEx>
          <w:tblCellMar>
            <w:top w:w="0" w:type="dxa"/>
            <w:bottom w:w="0" w:type="dxa"/>
          </w:tblCellMar>
        </w:tblPrEx>
        <w:tc>
          <w:tcPr>
            <w:tcW w:w="700" w:type="pct"/>
          </w:tcPr>
          <w:p w14:paraId="7856503C" w14:textId="77777777" w:rsidR="008F116C" w:rsidRDefault="00000000">
            <w:r>
              <w:t>Auth</w:t>
            </w:r>
          </w:p>
        </w:tc>
        <w:tc>
          <w:tcPr>
            <w:tcW w:w="1050" w:type="pct"/>
          </w:tcPr>
          <w:p w14:paraId="22510264" w14:textId="77777777" w:rsidR="008F116C" w:rsidRDefault="00000000">
            <w:r>
              <w:t>Read user data</w:t>
            </w:r>
          </w:p>
        </w:tc>
        <w:tc>
          <w:tcPr>
            <w:tcW w:w="1050" w:type="pct"/>
          </w:tcPr>
          <w:p w14:paraId="18D572CC" w14:textId="77777777" w:rsidR="008F116C" w:rsidRDefault="00000000">
            <w:r>
              <w:t>Create user</w:t>
            </w:r>
          </w:p>
        </w:tc>
        <w:tc>
          <w:tcPr>
            <w:tcW w:w="1100" w:type="pct"/>
          </w:tcPr>
          <w:p w14:paraId="4FA1C5FD" w14:textId="77777777" w:rsidR="008F116C" w:rsidRDefault="00000000">
            <w:r>
              <w:t>Update user profile</w:t>
            </w:r>
          </w:p>
        </w:tc>
        <w:tc>
          <w:tcPr>
            <w:tcW w:w="1100" w:type="pct"/>
          </w:tcPr>
          <w:p w14:paraId="0C355880" w14:textId="77777777" w:rsidR="008F116C" w:rsidRDefault="00000000">
            <w:r>
              <w:t>Delete user</w:t>
            </w:r>
          </w:p>
        </w:tc>
      </w:tr>
      <w:tr w:rsidR="008F116C" w14:paraId="1F27FEAF" w14:textId="77777777">
        <w:tblPrEx>
          <w:tblCellMar>
            <w:top w:w="0" w:type="dxa"/>
            <w:bottom w:w="0" w:type="dxa"/>
          </w:tblCellMar>
        </w:tblPrEx>
        <w:tc>
          <w:tcPr>
            <w:tcW w:w="700" w:type="pct"/>
          </w:tcPr>
          <w:p w14:paraId="50468628" w14:textId="77777777" w:rsidR="008F116C" w:rsidRDefault="00000000">
            <w:r>
              <w:t>DB (later)</w:t>
            </w:r>
          </w:p>
        </w:tc>
        <w:tc>
          <w:tcPr>
            <w:tcW w:w="1050" w:type="pct"/>
          </w:tcPr>
          <w:p w14:paraId="3C958D90" w14:textId="77777777" w:rsidR="008F116C" w:rsidRDefault="00000000">
            <w:r>
              <w:t>Query record</w:t>
            </w:r>
          </w:p>
        </w:tc>
        <w:tc>
          <w:tcPr>
            <w:tcW w:w="1050" w:type="pct"/>
          </w:tcPr>
          <w:p w14:paraId="5064AFC5" w14:textId="77777777" w:rsidR="008F116C" w:rsidRDefault="00000000">
            <w:r>
              <w:t>Insert record</w:t>
            </w:r>
          </w:p>
        </w:tc>
        <w:tc>
          <w:tcPr>
            <w:tcW w:w="1100" w:type="pct"/>
          </w:tcPr>
          <w:p w14:paraId="41B7E5F8" w14:textId="77777777" w:rsidR="008F116C" w:rsidRDefault="00000000">
            <w:r>
              <w:t>Update record</w:t>
            </w:r>
          </w:p>
        </w:tc>
        <w:tc>
          <w:tcPr>
            <w:tcW w:w="1100" w:type="pct"/>
          </w:tcPr>
          <w:p w14:paraId="46FE26EC" w14:textId="77777777" w:rsidR="008F116C" w:rsidRDefault="00000000">
            <w:r>
              <w:t>Delete record</w:t>
            </w:r>
          </w:p>
        </w:tc>
      </w:tr>
    </w:tbl>
    <w:p w14:paraId="5C6235F9" w14:textId="77777777" w:rsidR="008F116C" w:rsidRDefault="008F116C">
      <w:pPr>
        <w:spacing w:after="150"/>
      </w:pPr>
    </w:p>
    <w:p w14:paraId="3EBD665A" w14:textId="77777777" w:rsidR="008F116C" w:rsidRDefault="00000000">
      <w:pPr>
        <w:spacing w:after="120"/>
      </w:pPr>
      <w:r>
        <w:t>Example value: {"storage": ["read","create","modify","delete"], "auth": ["read"], "db": []}</w:t>
      </w:r>
    </w:p>
    <w:p w14:paraId="030C5CD2" w14:textId="77777777" w:rsidR="008F116C" w:rsidRDefault="00000000">
      <w:pPr>
        <w:spacing w:after="120"/>
      </w:pPr>
      <w:r>
        <w:t>Row-level granularity (authenticated vs. non-authenticated user scoping) is deferred — real complexity, not needed for one client, revisit when a second project's requirements demand it.</w:t>
      </w:r>
    </w:p>
    <w:p w14:paraId="0C519AC4" w14:textId="77777777" w:rsidR="008F116C" w:rsidRDefault="00000000">
      <w:pPr>
        <w:pStyle w:val="Heading1"/>
        <w:spacing w:before="300" w:after="150"/>
      </w:pPr>
      <w:r>
        <w:t>5. Storage Layer (Cloudflare R2)</w:t>
      </w:r>
    </w:p>
    <w:p w14:paraId="31AB06B5" w14:textId="77777777" w:rsidR="008F116C" w:rsidRDefault="00000000">
      <w:pPr>
        <w:pStyle w:val="ListParagraph"/>
        <w:numPr>
          <w:ilvl w:val="0"/>
          <w:numId w:val="1"/>
        </w:numPr>
        <w:spacing w:after="60"/>
      </w:pPr>
      <w:r>
        <w:t>One bucket for the whole platform — not one bucket per client. R2 bills per GB stored regardless of bucket count; multiple buckets only multiply CORS and lifecycle config work.</w:t>
      </w:r>
    </w:p>
    <w:p w14:paraId="092D0C63" w14:textId="77777777" w:rsidR="008F116C" w:rsidRDefault="00000000">
      <w:pPr>
        <w:pStyle w:val="ListParagraph"/>
        <w:numPr>
          <w:ilvl w:val="0"/>
          <w:numId w:val="1"/>
        </w:numPr>
        <w:spacing w:after="60"/>
      </w:pPr>
      <w:r>
        <w:t>Isolation enforced by key prefix: project_id/uploads/file.jpg. The StorageModule adapter enforces that a project's API key can only read/write its own prefix.</w:t>
      </w:r>
    </w:p>
    <w:p w14:paraId="2040F6DD" w14:textId="77777777" w:rsidR="008F116C" w:rsidRDefault="00000000">
      <w:pPr>
        <w:pStyle w:val="ListParagraph"/>
        <w:numPr>
          <w:ilvl w:val="0"/>
          <w:numId w:val="1"/>
        </w:numPr>
        <w:spacing w:after="60"/>
      </w:pPr>
      <w:r>
        <w:t>One scoped R2 API token, limited to that bucket, stored as an encrypted environment variable on the hosting platform — never in a repo.</w:t>
      </w:r>
    </w:p>
    <w:p w14:paraId="774B43A7" w14:textId="77777777" w:rsidR="008F116C" w:rsidRDefault="00000000">
      <w:pPr>
        <w:pStyle w:val="ListParagraph"/>
        <w:numPr>
          <w:ilvl w:val="0"/>
          <w:numId w:val="1"/>
        </w:numPr>
        <w:spacing w:after="60"/>
      </w:pPr>
      <w:r>
        <w:t>CORS and lifecycle rules configured once on the single bucket, covering every current and future project.</w:t>
      </w:r>
    </w:p>
    <w:p w14:paraId="1D6F4B2E" w14:textId="77777777" w:rsidR="008F116C" w:rsidRDefault="00000000">
      <w:pPr>
        <w:pStyle w:val="ListParagraph"/>
        <w:numPr>
          <w:ilvl w:val="0"/>
          <w:numId w:val="1"/>
        </w:numPr>
        <w:spacing w:after="60"/>
      </w:pPr>
      <w:r>
        <w:t>R2 billing is account-wide, not per-bucket. A second bucket for a different platform (e.g. Alphanex) shares the same invoice — Cloudflare's dashboard shows per-bucket usage for visibility only.</w:t>
      </w:r>
    </w:p>
    <w:p w14:paraId="51A3D5FD" w14:textId="77777777" w:rsidR="008F116C" w:rsidRDefault="00000000">
      <w:pPr>
        <w:pStyle w:val="Heading1"/>
        <w:spacing w:before="300" w:after="150"/>
      </w:pPr>
      <w:r>
        <w:t>6. Credential Storage</w:t>
      </w:r>
    </w:p>
    <w:p w14:paraId="1555202E" w14:textId="77777777" w:rsidR="008F116C" w:rsidRDefault="00000000">
      <w:pPr>
        <w:pStyle w:val="ListParagraph"/>
        <w:numPr>
          <w:ilvl w:val="0"/>
          <w:numId w:val="1"/>
        </w:numPr>
        <w:spacing w:after="60"/>
      </w:pPr>
      <w:r>
        <w:t>Cloudflare R2: bucket-scoped API token only, never the global account key.</w:t>
      </w:r>
    </w:p>
    <w:p w14:paraId="7DC0534F" w14:textId="77777777" w:rsidR="008F116C" w:rsidRDefault="00000000">
      <w:pPr>
        <w:pStyle w:val="ListParagraph"/>
        <w:numPr>
          <w:ilvl w:val="0"/>
          <w:numId w:val="1"/>
        </w:numPr>
        <w:spacing w:after="60"/>
      </w:pPr>
      <w:r>
        <w:t>Clerk: secret key stays server-side only; the publishable key is the sole Clerk credential any client-facing code ever sees.</w:t>
      </w:r>
    </w:p>
    <w:p w14:paraId="5648EC4B" w14:textId="77777777" w:rsidR="008F116C" w:rsidRDefault="00000000">
      <w:pPr>
        <w:pStyle w:val="ListParagraph"/>
        <w:numPr>
          <w:ilvl w:val="0"/>
          <w:numId w:val="1"/>
        </w:numPr>
        <w:spacing w:after="60"/>
      </w:pPr>
      <w:r>
        <w:t>Both stored as encrypted environment variables on the hosting platform (Render/Fly) — never committed to a repo, never stored in Supabase.</w:t>
      </w:r>
    </w:p>
    <w:p w14:paraId="469DD6FB" w14:textId="77777777" w:rsidR="008F116C" w:rsidRDefault="00000000">
      <w:pPr>
        <w:pStyle w:val="ListParagraph"/>
        <w:numPr>
          <w:ilvl w:val="0"/>
          <w:numId w:val="1"/>
        </w:numPr>
        <w:spacing w:after="60"/>
      </w:pPr>
      <w:r>
        <w:t>.gitignore must exclude .env* in every repo touching this platform.</w:t>
      </w:r>
    </w:p>
    <w:p w14:paraId="304D3DF1" w14:textId="77777777" w:rsidR="008F116C" w:rsidRDefault="00000000">
      <w:pPr>
        <w:pStyle w:val="ListParagraph"/>
        <w:numPr>
          <w:ilvl w:val="0"/>
          <w:numId w:val="1"/>
        </w:numPr>
        <w:spacing w:after="60"/>
      </w:pPr>
      <w:r>
        <w:t>Rotate both keys once live, since any key present during early testing should be treated as potentially exposed.</w:t>
      </w:r>
    </w:p>
    <w:p w14:paraId="1E4E0977" w14:textId="77777777" w:rsidR="008F116C" w:rsidRDefault="00000000">
      <w:pPr>
        <w:pStyle w:val="Heading1"/>
        <w:spacing w:before="300" w:after="150"/>
      </w:pPr>
      <w:r>
        <w:lastRenderedPageBreak/>
        <w:t>7. API Versioning</w:t>
      </w:r>
    </w:p>
    <w:p w14:paraId="32CDD593" w14:textId="77777777" w:rsidR="008F116C" w:rsidRDefault="00000000">
      <w:pPr>
        <w:spacing w:after="120"/>
      </w:pPr>
      <w:r>
        <w:t>Every endpoint is prefixed with a version: /v1/storage/upload, /v1/auth/verify. This lets a future breaking change ship as /v2/... while existing client apps keep calling /v1/... unchanged, until retired on Stravon's own schedule.</w:t>
      </w:r>
    </w:p>
    <w:p w14:paraId="1D873CD9" w14:textId="77777777" w:rsidR="008F116C" w:rsidRDefault="00000000">
      <w:pPr>
        <w:pStyle w:val="Heading1"/>
        <w:spacing w:before="300" w:after="150"/>
      </w:pPr>
      <w:r>
        <w:t>8. Failure Isolation &amp; Rate Limiting</w:t>
      </w:r>
    </w:p>
    <w:p w14:paraId="68361F81" w14:textId="77777777" w:rsidR="008F116C" w:rsidRDefault="00000000">
      <w:pPr>
        <w:pStyle w:val="ListParagraph"/>
        <w:numPr>
          <w:ilvl w:val="0"/>
          <w:numId w:val="1"/>
        </w:numPr>
        <w:spacing w:after="60"/>
      </w:pPr>
      <w:r>
        <w:t>Hard timeout on every outbound call to R2 or Clerk (e.g. 5 seconds) — a slow provider cannot hang the platform's request queue.</w:t>
      </w:r>
    </w:p>
    <w:p w14:paraId="7F638D6C" w14:textId="77777777" w:rsidR="008F116C" w:rsidRDefault="00000000">
      <w:pPr>
        <w:pStyle w:val="ListParagraph"/>
        <w:numPr>
          <w:ilvl w:val="0"/>
          <w:numId w:val="1"/>
        </w:numPr>
        <w:spacing w:after="60"/>
      </w:pPr>
      <w:r>
        <w:t>No silent retries — failures return a clear error to the calling app immediately.</w:t>
      </w:r>
    </w:p>
    <w:p w14:paraId="29356837" w14:textId="77777777" w:rsidR="008F116C" w:rsidRDefault="00000000">
      <w:pPr>
        <w:pStyle w:val="ListParagraph"/>
        <w:numPr>
          <w:ilvl w:val="0"/>
          <w:numId w:val="1"/>
        </w:numPr>
        <w:spacing w:after="60"/>
      </w:pPr>
      <w:r>
        <w:t>Per-project rate limiting (token bucket) enforced in the guard, scaled to the project's pricing tier — this is also what actually prevents one project from starving another's access to shared upstream quota.</w:t>
      </w:r>
    </w:p>
    <w:p w14:paraId="00EBC2C0" w14:textId="77777777" w:rsidR="008F116C" w:rsidRDefault="00000000">
      <w:pPr>
        <w:pStyle w:val="Heading1"/>
        <w:spacing w:before="300" w:after="150"/>
      </w:pPr>
      <w:r>
        <w:t>9. Hosting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2805"/>
        <w:gridCol w:w="4488"/>
      </w:tblGrid>
      <w:tr w:rsidR="008F116C" w14:paraId="512AA7ED" w14:textId="77777777">
        <w:tblPrEx>
          <w:tblCellMar>
            <w:top w:w="0" w:type="dxa"/>
            <w:bottom w:w="0" w:type="dxa"/>
          </w:tblCellMar>
        </w:tblPrEx>
        <w:tc>
          <w:tcPr>
            <w:tcW w:w="1100" w:type="pct"/>
            <w:shd w:val="clear" w:color="auto" w:fill="2F2F2F"/>
          </w:tcPr>
          <w:p w14:paraId="6F9AFF23" w14:textId="77777777" w:rsidR="008F116C" w:rsidRDefault="00000000">
            <w:r>
              <w:rPr>
                <w:b/>
                <w:bCs/>
                <w:color w:val="FFFFFF"/>
              </w:rPr>
              <w:t>Component</w:t>
            </w:r>
          </w:p>
        </w:tc>
        <w:tc>
          <w:tcPr>
            <w:tcW w:w="1500" w:type="pct"/>
            <w:shd w:val="clear" w:color="auto" w:fill="2F2F2F"/>
          </w:tcPr>
          <w:p w14:paraId="283AD52F" w14:textId="77777777" w:rsidR="008F116C" w:rsidRDefault="00000000">
            <w:r>
              <w:rPr>
                <w:b/>
                <w:bCs/>
                <w:color w:val="FFFFFF"/>
              </w:rPr>
              <w:t>Where</w:t>
            </w:r>
          </w:p>
        </w:tc>
        <w:tc>
          <w:tcPr>
            <w:tcW w:w="2400" w:type="pct"/>
            <w:shd w:val="clear" w:color="auto" w:fill="2F2F2F"/>
          </w:tcPr>
          <w:p w14:paraId="741127A4" w14:textId="77777777" w:rsidR="008F116C" w:rsidRDefault="00000000">
            <w:r>
              <w:rPr>
                <w:b/>
                <w:bCs/>
                <w:color w:val="FFFFFF"/>
              </w:rPr>
              <w:t>Notes</w:t>
            </w:r>
          </w:p>
        </w:tc>
      </w:tr>
      <w:tr w:rsidR="008F116C" w14:paraId="34FA50A8" w14:textId="77777777">
        <w:tblPrEx>
          <w:tblCellMar>
            <w:top w:w="0" w:type="dxa"/>
            <w:bottom w:w="0" w:type="dxa"/>
          </w:tblCellMar>
        </w:tblPrEx>
        <w:tc>
          <w:tcPr>
            <w:tcW w:w="1100" w:type="pct"/>
          </w:tcPr>
          <w:p w14:paraId="6C7917EC" w14:textId="77777777" w:rsidR="008F116C" w:rsidRDefault="00000000">
            <w:r>
              <w:t>NestJS backend</w:t>
            </w:r>
          </w:p>
        </w:tc>
        <w:tc>
          <w:tcPr>
            <w:tcW w:w="1500" w:type="pct"/>
          </w:tcPr>
          <w:p w14:paraId="7C9796FE" w14:textId="77777777" w:rsidR="008F116C" w:rsidRDefault="00000000">
            <w:r>
              <w:t>Render (Starter, $7/mo) or Fly.io</w:t>
            </w:r>
          </w:p>
        </w:tc>
        <w:tc>
          <w:tcPr>
            <w:tcW w:w="2400" w:type="pct"/>
          </w:tcPr>
          <w:p w14:paraId="5E887B98" w14:textId="77777777" w:rsidR="008F116C" w:rsidRDefault="00000000">
            <w:r>
              <w:t>Always-on, no cold starts — client apps depend on this synchronously</w:t>
            </w:r>
          </w:p>
        </w:tc>
      </w:tr>
      <w:tr w:rsidR="008F116C" w14:paraId="3D4C85E6" w14:textId="77777777">
        <w:tblPrEx>
          <w:tblCellMar>
            <w:top w:w="0" w:type="dxa"/>
            <w:bottom w:w="0" w:type="dxa"/>
          </w:tblCellMar>
        </w:tblPrEx>
        <w:tc>
          <w:tcPr>
            <w:tcW w:w="1100" w:type="pct"/>
          </w:tcPr>
          <w:p w14:paraId="01F52017" w14:textId="77777777" w:rsidR="008F116C" w:rsidRDefault="00000000">
            <w:r>
              <w:t>Platform database</w:t>
            </w:r>
          </w:p>
        </w:tc>
        <w:tc>
          <w:tcPr>
            <w:tcW w:w="1500" w:type="pct"/>
          </w:tcPr>
          <w:p w14:paraId="33DCCAC7" w14:textId="77777777" w:rsidR="008F116C" w:rsidRDefault="00000000">
            <w:r>
              <w:t>Supabase (free tier)</w:t>
            </w:r>
          </w:p>
        </w:tc>
        <w:tc>
          <w:tcPr>
            <w:tcW w:w="2400" w:type="pct"/>
          </w:tcPr>
          <w:p w14:paraId="385C0585" w14:textId="77777777" w:rsidR="008F116C" w:rsidRDefault="00000000">
            <w:r>
              <w:t>Separate project from any client app's own Supabase instance</w:t>
            </w:r>
          </w:p>
        </w:tc>
      </w:tr>
      <w:tr w:rsidR="008F116C" w14:paraId="4F043A86" w14:textId="77777777">
        <w:tblPrEx>
          <w:tblCellMar>
            <w:top w:w="0" w:type="dxa"/>
            <w:bottom w:w="0" w:type="dxa"/>
          </w:tblCellMar>
        </w:tblPrEx>
        <w:tc>
          <w:tcPr>
            <w:tcW w:w="1100" w:type="pct"/>
          </w:tcPr>
          <w:p w14:paraId="3BB9A671" w14:textId="77777777" w:rsidR="008F116C" w:rsidRDefault="00000000">
            <w:r>
              <w:t>File storage</w:t>
            </w:r>
          </w:p>
        </w:tc>
        <w:tc>
          <w:tcPr>
            <w:tcW w:w="1500" w:type="pct"/>
          </w:tcPr>
          <w:p w14:paraId="5C330761" w14:textId="77777777" w:rsidR="008F116C" w:rsidRDefault="00000000">
            <w:r>
              <w:t>Cloudflare R2</w:t>
            </w:r>
          </w:p>
        </w:tc>
        <w:tc>
          <w:tcPr>
            <w:tcW w:w="2400" w:type="pct"/>
          </w:tcPr>
          <w:p w14:paraId="2CAEF546" w14:textId="77777777" w:rsidR="008F116C" w:rsidRDefault="00000000">
            <w:r>
              <w:t>Single bucket, prefix-isolated per project</w:t>
            </w:r>
          </w:p>
        </w:tc>
      </w:tr>
      <w:tr w:rsidR="008F116C" w14:paraId="3E16248A" w14:textId="77777777">
        <w:tblPrEx>
          <w:tblCellMar>
            <w:top w:w="0" w:type="dxa"/>
            <w:bottom w:w="0" w:type="dxa"/>
          </w:tblCellMar>
        </w:tblPrEx>
        <w:tc>
          <w:tcPr>
            <w:tcW w:w="1100" w:type="pct"/>
          </w:tcPr>
          <w:p w14:paraId="7045F414" w14:textId="77777777" w:rsidR="008F116C" w:rsidRDefault="00000000">
            <w:r>
              <w:t>Client app frontend</w:t>
            </w:r>
          </w:p>
        </w:tc>
        <w:tc>
          <w:tcPr>
            <w:tcW w:w="1500" w:type="pct"/>
          </w:tcPr>
          <w:p w14:paraId="46B19575" w14:textId="77777777" w:rsidR="008F116C" w:rsidRDefault="00000000">
            <w:r>
              <w:t>Vercel (separate deployment)</w:t>
            </w:r>
          </w:p>
        </w:tc>
        <w:tc>
          <w:tcPr>
            <w:tcW w:w="2400" w:type="pct"/>
          </w:tcPr>
          <w:p w14:paraId="25BF7C74" w14:textId="77777777" w:rsidR="008F116C" w:rsidRDefault="00000000">
            <w:r>
              <w:t>Calls the platform backend via API key — never calls R2/Clerk directly</w:t>
            </w:r>
          </w:p>
        </w:tc>
      </w:tr>
    </w:tbl>
    <w:p w14:paraId="72849706" w14:textId="77777777" w:rsidR="008F116C" w:rsidRDefault="00000000">
      <w:pPr>
        <w:pStyle w:val="Heading1"/>
        <w:spacing w:before="300" w:after="150"/>
      </w:pPr>
      <w:r>
        <w:t>10. Build Phases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6358"/>
        <w:gridCol w:w="1870"/>
      </w:tblGrid>
      <w:tr w:rsidR="008F116C" w14:paraId="17814DC8" w14:textId="77777777">
        <w:tblPrEx>
          <w:tblCellMar>
            <w:top w:w="0" w:type="dxa"/>
            <w:bottom w:w="0" w:type="dxa"/>
          </w:tblCellMar>
        </w:tblPrEx>
        <w:tc>
          <w:tcPr>
            <w:tcW w:w="600" w:type="pct"/>
            <w:shd w:val="clear" w:color="auto" w:fill="2F2F2F"/>
          </w:tcPr>
          <w:p w14:paraId="63A2B9AA" w14:textId="77777777" w:rsidR="008F116C" w:rsidRDefault="00000000">
            <w:r>
              <w:rPr>
                <w:b/>
                <w:bCs/>
                <w:color w:val="FFFFFF"/>
              </w:rPr>
              <w:t>Phase</w:t>
            </w:r>
          </w:p>
        </w:tc>
        <w:tc>
          <w:tcPr>
            <w:tcW w:w="3400" w:type="pct"/>
            <w:shd w:val="clear" w:color="auto" w:fill="2F2F2F"/>
          </w:tcPr>
          <w:p w14:paraId="74B98B97" w14:textId="77777777" w:rsidR="008F116C" w:rsidRDefault="00000000">
            <w:r>
              <w:rPr>
                <w:b/>
                <w:bCs/>
                <w:color w:val="FFFFFF"/>
              </w:rPr>
              <w:t>Scope</w:t>
            </w:r>
          </w:p>
        </w:tc>
        <w:tc>
          <w:tcPr>
            <w:tcW w:w="1000" w:type="pct"/>
            <w:shd w:val="clear" w:color="auto" w:fill="2F2F2F"/>
          </w:tcPr>
          <w:p w14:paraId="0D2D2216" w14:textId="77777777" w:rsidR="008F116C" w:rsidRDefault="00000000">
            <w:r>
              <w:rPr>
                <w:b/>
                <w:bCs/>
                <w:color w:val="FFFFFF"/>
              </w:rPr>
              <w:t>Depends On</w:t>
            </w:r>
          </w:p>
        </w:tc>
      </w:tr>
      <w:tr w:rsidR="008F116C" w14:paraId="7CEA641A" w14:textId="77777777">
        <w:tblPrEx>
          <w:tblCellMar>
            <w:top w:w="0" w:type="dxa"/>
            <w:bottom w:w="0" w:type="dxa"/>
          </w:tblCellMar>
        </w:tblPrEx>
        <w:tc>
          <w:tcPr>
            <w:tcW w:w="600" w:type="pct"/>
          </w:tcPr>
          <w:p w14:paraId="5691B670" w14:textId="77777777" w:rsidR="008F116C" w:rsidRDefault="00000000">
            <w:r>
              <w:t>0</w:t>
            </w:r>
          </w:p>
        </w:tc>
        <w:tc>
          <w:tcPr>
            <w:tcW w:w="3400" w:type="pct"/>
          </w:tcPr>
          <w:p w14:paraId="2F10DD27" w14:textId="77777777" w:rsidR="008F116C" w:rsidRDefault="00000000">
            <w:r>
              <w:t>Schema finalized, Supabase project created, R2 bucket + scoped token created, secrets set</w:t>
            </w:r>
          </w:p>
        </w:tc>
        <w:tc>
          <w:tcPr>
            <w:tcW w:w="1000" w:type="pct"/>
          </w:tcPr>
          <w:p w14:paraId="3500DB50" w14:textId="77777777" w:rsidR="008F116C" w:rsidRDefault="00000000">
            <w:r>
              <w:t>—</w:t>
            </w:r>
          </w:p>
        </w:tc>
      </w:tr>
      <w:tr w:rsidR="008F116C" w14:paraId="008A1438" w14:textId="77777777">
        <w:tblPrEx>
          <w:tblCellMar>
            <w:top w:w="0" w:type="dxa"/>
            <w:bottom w:w="0" w:type="dxa"/>
          </w:tblCellMar>
        </w:tblPrEx>
        <w:tc>
          <w:tcPr>
            <w:tcW w:w="600" w:type="pct"/>
          </w:tcPr>
          <w:p w14:paraId="470F23B2" w14:textId="77777777" w:rsidR="008F116C" w:rsidRDefault="00000000">
            <w:r>
              <w:t>1</w:t>
            </w:r>
          </w:p>
        </w:tc>
        <w:tc>
          <w:tcPr>
            <w:tcW w:w="3400" w:type="pct"/>
          </w:tcPr>
          <w:p w14:paraId="2AD92D05" w14:textId="77777777" w:rsidR="008F116C" w:rsidRDefault="00000000">
            <w:r>
              <w:t>AuthModule: guard, Clerk adapter, /v1/auth/*, call logging</w:t>
            </w:r>
          </w:p>
        </w:tc>
        <w:tc>
          <w:tcPr>
            <w:tcW w:w="1000" w:type="pct"/>
          </w:tcPr>
          <w:p w14:paraId="68A0EBFC" w14:textId="77777777" w:rsidR="008F116C" w:rsidRDefault="00000000">
            <w:r>
              <w:t>Phase 0</w:t>
            </w:r>
          </w:p>
        </w:tc>
      </w:tr>
      <w:tr w:rsidR="008F116C" w14:paraId="58EA8413" w14:textId="77777777">
        <w:tblPrEx>
          <w:tblCellMar>
            <w:top w:w="0" w:type="dxa"/>
            <w:bottom w:w="0" w:type="dxa"/>
          </w:tblCellMar>
        </w:tblPrEx>
        <w:tc>
          <w:tcPr>
            <w:tcW w:w="600" w:type="pct"/>
          </w:tcPr>
          <w:p w14:paraId="4C364A83" w14:textId="77777777" w:rsidR="008F116C" w:rsidRDefault="00000000">
            <w:r>
              <w:t>2</w:t>
            </w:r>
          </w:p>
        </w:tc>
        <w:tc>
          <w:tcPr>
            <w:tcW w:w="3400" w:type="pct"/>
          </w:tcPr>
          <w:p w14:paraId="59D556D6" w14:textId="77777777" w:rsidR="008F116C" w:rsidRDefault="00000000">
            <w:r>
              <w:t>StorageModule: R2 adapter, prefix isolation, /v1/storage/*, byte + direction logging</w:t>
            </w:r>
          </w:p>
        </w:tc>
        <w:tc>
          <w:tcPr>
            <w:tcW w:w="1000" w:type="pct"/>
          </w:tcPr>
          <w:p w14:paraId="68712D7A" w14:textId="77777777" w:rsidR="008F116C" w:rsidRDefault="00000000">
            <w:r>
              <w:t>Phase 0, reuses Phase 1's guard/interceptor</w:t>
            </w:r>
          </w:p>
        </w:tc>
      </w:tr>
      <w:tr w:rsidR="008F116C" w14:paraId="75B47714" w14:textId="77777777">
        <w:tblPrEx>
          <w:tblCellMar>
            <w:top w:w="0" w:type="dxa"/>
            <w:bottom w:w="0" w:type="dxa"/>
          </w:tblCellMar>
        </w:tblPrEx>
        <w:tc>
          <w:tcPr>
            <w:tcW w:w="600" w:type="pct"/>
          </w:tcPr>
          <w:p w14:paraId="37D9B62D" w14:textId="77777777" w:rsidR="008F116C" w:rsidRDefault="00000000">
            <w:r>
              <w:t>3</w:t>
            </w:r>
          </w:p>
        </w:tc>
        <w:tc>
          <w:tcPr>
            <w:tcW w:w="3400" w:type="pct"/>
          </w:tcPr>
          <w:p w14:paraId="362EBE0E" w14:textId="77777777" w:rsidR="008F116C" w:rsidRDefault="00000000">
            <w:r>
              <w:t>Metering: sum call_logs.bytes per project against pricing tiers, 80/90/100% thresholds, overage calc</w:t>
            </w:r>
          </w:p>
        </w:tc>
        <w:tc>
          <w:tcPr>
            <w:tcW w:w="1000" w:type="pct"/>
          </w:tcPr>
          <w:p w14:paraId="3A3DF388" w14:textId="77777777" w:rsidR="008F116C" w:rsidRDefault="00000000">
            <w:r>
              <w:t>Phase 2</w:t>
            </w:r>
          </w:p>
        </w:tc>
      </w:tr>
      <w:tr w:rsidR="008F116C" w14:paraId="3B230D0B" w14:textId="77777777">
        <w:tblPrEx>
          <w:tblCellMar>
            <w:top w:w="0" w:type="dxa"/>
            <w:bottom w:w="0" w:type="dxa"/>
          </w:tblCellMar>
        </w:tblPrEx>
        <w:tc>
          <w:tcPr>
            <w:tcW w:w="600" w:type="pct"/>
          </w:tcPr>
          <w:p w14:paraId="27492FD4" w14:textId="77777777" w:rsidR="008F116C" w:rsidRDefault="00000000">
            <w:r>
              <w:t>4</w:t>
            </w:r>
          </w:p>
        </w:tc>
        <w:tc>
          <w:tcPr>
            <w:tcW w:w="3400" w:type="pct"/>
          </w:tcPr>
          <w:p w14:paraId="3DBCB1B5" w14:textId="77777777" w:rsidR="008F116C" w:rsidRDefault="00000000">
            <w:r>
              <w:t>Rate limiting: per-project token bucket scaled by tier</w:t>
            </w:r>
          </w:p>
        </w:tc>
        <w:tc>
          <w:tcPr>
            <w:tcW w:w="1000" w:type="pct"/>
          </w:tcPr>
          <w:p w14:paraId="0AFA307E" w14:textId="77777777" w:rsidR="008F116C" w:rsidRDefault="00000000">
            <w:r>
              <w:t>Phase 1–2</w:t>
            </w:r>
          </w:p>
        </w:tc>
      </w:tr>
      <w:tr w:rsidR="008F116C" w14:paraId="785FD652" w14:textId="77777777">
        <w:tblPrEx>
          <w:tblCellMar>
            <w:top w:w="0" w:type="dxa"/>
            <w:bottom w:w="0" w:type="dxa"/>
          </w:tblCellMar>
        </w:tblPrEx>
        <w:tc>
          <w:tcPr>
            <w:tcW w:w="600" w:type="pct"/>
          </w:tcPr>
          <w:p w14:paraId="4AB82C79" w14:textId="77777777" w:rsidR="008F116C" w:rsidRDefault="00000000">
            <w:r>
              <w:t>5</w:t>
            </w:r>
          </w:p>
        </w:tc>
        <w:tc>
          <w:tcPr>
            <w:tcW w:w="3400" w:type="pct"/>
          </w:tcPr>
          <w:p w14:paraId="168EF0C1" w14:textId="77777777" w:rsidR="008F116C" w:rsidRDefault="00000000">
            <w:r>
              <w:t>Migrate the first client app off Cloudinary and Supabase Auth</w:t>
            </w:r>
          </w:p>
        </w:tc>
        <w:tc>
          <w:tcPr>
            <w:tcW w:w="1000" w:type="pct"/>
          </w:tcPr>
          <w:p w14:paraId="04B6EAF1" w14:textId="77777777" w:rsidR="008F116C" w:rsidRDefault="00000000">
            <w:r>
              <w:t>Phases 1–4 complete and tested</w:t>
            </w:r>
          </w:p>
        </w:tc>
      </w:tr>
      <w:tr w:rsidR="008F116C" w14:paraId="0109406F" w14:textId="77777777">
        <w:tblPrEx>
          <w:tblCellMar>
            <w:top w:w="0" w:type="dxa"/>
            <w:bottom w:w="0" w:type="dxa"/>
          </w:tblCellMar>
        </w:tblPrEx>
        <w:tc>
          <w:tcPr>
            <w:tcW w:w="600" w:type="pct"/>
          </w:tcPr>
          <w:p w14:paraId="0FADFF87" w14:textId="77777777" w:rsidR="008F116C" w:rsidRDefault="00000000">
            <w:r>
              <w:t>6 (deferred)</w:t>
            </w:r>
          </w:p>
        </w:tc>
        <w:tc>
          <w:tcPr>
            <w:tcW w:w="3400" w:type="pct"/>
          </w:tcPr>
          <w:p w14:paraId="21309BB6" w14:textId="77777777" w:rsidR="008F116C" w:rsidRDefault="00000000">
            <w:r>
              <w:t>DataModule — platform-managed client databases/Redis</w:t>
            </w:r>
          </w:p>
        </w:tc>
        <w:tc>
          <w:tcPr>
            <w:tcW w:w="1000" w:type="pct"/>
          </w:tcPr>
          <w:p w14:paraId="60D25B66" w14:textId="77777777" w:rsidR="008F116C" w:rsidRDefault="00000000">
            <w:r>
              <w:t>Not started until a project needs it</w:t>
            </w:r>
          </w:p>
        </w:tc>
      </w:tr>
      <w:tr w:rsidR="008F116C" w14:paraId="5AA42F74" w14:textId="77777777">
        <w:tblPrEx>
          <w:tblCellMar>
            <w:top w:w="0" w:type="dxa"/>
            <w:bottom w:w="0" w:type="dxa"/>
          </w:tblCellMar>
        </w:tblPrEx>
        <w:tc>
          <w:tcPr>
            <w:tcW w:w="600" w:type="pct"/>
          </w:tcPr>
          <w:p w14:paraId="5AF996C6" w14:textId="77777777" w:rsidR="008F116C" w:rsidRDefault="00000000">
            <w:r>
              <w:t>7 (deferred)</w:t>
            </w:r>
          </w:p>
        </w:tc>
        <w:tc>
          <w:tcPr>
            <w:tcW w:w="3400" w:type="pct"/>
          </w:tcPr>
          <w:p w14:paraId="341A0977" w14:textId="77777777" w:rsidR="008F116C" w:rsidRDefault="00000000">
            <w:r>
              <w:t>Row-level permission granularity</w:t>
            </w:r>
          </w:p>
        </w:tc>
        <w:tc>
          <w:tcPr>
            <w:tcW w:w="1000" w:type="pct"/>
          </w:tcPr>
          <w:p w14:paraId="65E9EFDF" w14:textId="77777777" w:rsidR="008F116C" w:rsidRDefault="00000000">
            <w:r>
              <w:t>Only when a second project requires it</w:t>
            </w:r>
          </w:p>
        </w:tc>
      </w:tr>
    </w:tbl>
    <w:p w14:paraId="67BD4F21" w14:textId="77777777" w:rsidR="008F116C" w:rsidRDefault="008F116C">
      <w:pPr>
        <w:spacing w:after="150"/>
      </w:pPr>
    </w:p>
    <w:p w14:paraId="64918498" w14:textId="77777777" w:rsidR="008F116C" w:rsidRDefault="00000000">
      <w:pPr>
        <w:spacing w:after="120"/>
      </w:pPr>
      <w:r>
        <w:t>Phases 1 and 2 can build in parallel once Phase 0 is locked — they share the guard and interceptor but touch different adapters. Phase 5 should not start before 1–4 are solid, since the platform's only production client depends on metering and rate limiting already working correctly.</w:t>
      </w:r>
    </w:p>
    <w:p w14:paraId="3D98B2BB" w14:textId="77777777" w:rsidR="008F116C" w:rsidRDefault="00000000">
      <w:pPr>
        <w:pStyle w:val="Heading1"/>
        <w:spacing w:before="300" w:after="150"/>
      </w:pPr>
      <w:r>
        <w:t>11. Tenant Model</w:t>
      </w:r>
    </w:p>
    <w:p w14:paraId="260D7EE9" w14:textId="77777777" w:rsidR="008F116C" w:rsidRDefault="00000000">
      <w:pPr>
        <w:spacing w:after="120"/>
      </w:pPr>
      <w:r>
        <w:t>Single active project today (category: single_client), but the schema and permissions model are multi-tenant from day one. The pricing structure (Entry/Starter/Growth/Scale packages) is already built around per-client billing, so the platform is built to serve additional projects — including SaaS-style multi-tenant products like OWL NEST (category: saas_tenant) — without a schema rewrite when the next client is onboarded.</w:t>
      </w:r>
    </w:p>
    <w:sectPr w:rsidR="008F11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D5F7E"/>
    <w:multiLevelType w:val="hybridMultilevel"/>
    <w:tmpl w:val="4614D550"/>
    <w:lvl w:ilvl="0" w:tplc="16DA066A">
      <w:start w:val="1"/>
      <w:numFmt w:val="bullet"/>
      <w:lvlText w:val="●"/>
      <w:lvlJc w:val="left"/>
      <w:pPr>
        <w:ind w:left="720" w:hanging="360"/>
      </w:pPr>
    </w:lvl>
    <w:lvl w:ilvl="1" w:tplc="6F84781A">
      <w:start w:val="1"/>
      <w:numFmt w:val="bullet"/>
      <w:lvlText w:val="○"/>
      <w:lvlJc w:val="left"/>
      <w:pPr>
        <w:ind w:left="1440" w:hanging="360"/>
      </w:pPr>
    </w:lvl>
    <w:lvl w:ilvl="2" w:tplc="20B636DE">
      <w:start w:val="1"/>
      <w:numFmt w:val="bullet"/>
      <w:lvlText w:val="■"/>
      <w:lvlJc w:val="left"/>
      <w:pPr>
        <w:ind w:left="2160" w:hanging="360"/>
      </w:pPr>
    </w:lvl>
    <w:lvl w:ilvl="3" w:tplc="69BE1AC4">
      <w:start w:val="1"/>
      <w:numFmt w:val="bullet"/>
      <w:lvlText w:val="●"/>
      <w:lvlJc w:val="left"/>
      <w:pPr>
        <w:ind w:left="2880" w:hanging="360"/>
      </w:pPr>
    </w:lvl>
    <w:lvl w:ilvl="4" w:tplc="413E72C4">
      <w:start w:val="1"/>
      <w:numFmt w:val="bullet"/>
      <w:lvlText w:val="○"/>
      <w:lvlJc w:val="left"/>
      <w:pPr>
        <w:ind w:left="3600" w:hanging="360"/>
      </w:pPr>
    </w:lvl>
    <w:lvl w:ilvl="5" w:tplc="2CAAE136">
      <w:start w:val="1"/>
      <w:numFmt w:val="bullet"/>
      <w:lvlText w:val="■"/>
      <w:lvlJc w:val="left"/>
      <w:pPr>
        <w:ind w:left="4320" w:hanging="360"/>
      </w:pPr>
    </w:lvl>
    <w:lvl w:ilvl="6" w:tplc="50705964">
      <w:start w:val="1"/>
      <w:numFmt w:val="bullet"/>
      <w:lvlText w:val="●"/>
      <w:lvlJc w:val="left"/>
      <w:pPr>
        <w:ind w:left="5040" w:hanging="360"/>
      </w:pPr>
    </w:lvl>
    <w:lvl w:ilvl="7" w:tplc="AFE22796">
      <w:start w:val="1"/>
      <w:numFmt w:val="bullet"/>
      <w:lvlText w:val="●"/>
      <w:lvlJc w:val="left"/>
      <w:pPr>
        <w:ind w:left="5760" w:hanging="360"/>
      </w:pPr>
    </w:lvl>
    <w:lvl w:ilvl="8" w:tplc="0D281172">
      <w:start w:val="1"/>
      <w:numFmt w:val="bullet"/>
      <w:lvlText w:val="●"/>
      <w:lvlJc w:val="left"/>
      <w:pPr>
        <w:ind w:left="6480" w:hanging="360"/>
      </w:pPr>
    </w:lvl>
  </w:abstractNum>
  <w:num w:numId="1" w16cid:durableId="1492017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16C"/>
    <w:rsid w:val="003A75F7"/>
    <w:rsid w:val="0052104A"/>
    <w:rsid w:val="008F116C"/>
    <w:rsid w:val="00B61C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676D8"/>
  <w15:docId w15:val="{8ECA39FC-C5A3-4189-9339-C276CAD0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1071</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midnight2 alpha</cp:lastModifiedBy>
  <cp:revision>1</cp:revision>
  <dcterms:created xsi:type="dcterms:W3CDTF">2026-07-11T19:51:00Z</dcterms:created>
  <dcterms:modified xsi:type="dcterms:W3CDTF">2026-07-14T19:49:00Z</dcterms:modified>
</cp:coreProperties>
</file>