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4444B" w14:textId="77777777" w:rsidR="00C90B93" w:rsidRDefault="00000000">
      <w:pPr>
        <w:jc w:val="center"/>
      </w:pPr>
      <w:bookmarkStart w:id="0" w:name="_heading=h.dvkohcll1ic3" w:colFirst="0" w:colLast="0"/>
      <w:bookmarkEnd w:id="0"/>
      <w:r>
        <w:t>Faculdade Senac Curitiba Portão</w:t>
      </w:r>
    </w:p>
    <w:p w14:paraId="043CA7A6" w14:textId="77777777" w:rsidR="00C90B93" w:rsidRDefault="00000000">
      <w:pPr>
        <w:jc w:val="center"/>
      </w:pPr>
      <w:r>
        <w:t>Tecnologia em Análise e Desenvolvimento de Sistemas</w:t>
      </w:r>
    </w:p>
    <w:p w14:paraId="25F839D6" w14:textId="77777777" w:rsidR="00C90B93" w:rsidRDefault="00C90B93">
      <w:pPr>
        <w:jc w:val="center"/>
      </w:pPr>
    </w:p>
    <w:p w14:paraId="4A3E0820" w14:textId="77777777" w:rsidR="00C90B93" w:rsidRDefault="00000000">
      <w:pPr>
        <w:jc w:val="center"/>
      </w:pPr>
      <w:r>
        <w:t>Lucas da Silva Borges</w:t>
      </w:r>
    </w:p>
    <w:p w14:paraId="1BDBB457" w14:textId="77777777" w:rsidR="00C90B93" w:rsidRDefault="00000000">
      <w:pPr>
        <w:jc w:val="center"/>
        <w:rPr>
          <w:lang w:val="en-US"/>
        </w:rPr>
      </w:pPr>
      <w:r w:rsidRPr="00A65A1A">
        <w:rPr>
          <w:lang w:val="en-US"/>
        </w:rPr>
        <w:t>Vinícius Oliveira Borges</w:t>
      </w:r>
    </w:p>
    <w:p w14:paraId="160495DC" w14:textId="114583F3" w:rsidR="00A65A1A" w:rsidRDefault="00A65A1A">
      <w:pPr>
        <w:jc w:val="center"/>
        <w:rPr>
          <w:lang w:val="en-US"/>
        </w:rPr>
      </w:pPr>
      <w:r>
        <w:rPr>
          <w:lang w:val="en-US"/>
        </w:rPr>
        <w:t>Gabriel Dias Martins</w:t>
      </w:r>
    </w:p>
    <w:p w14:paraId="684EB71B" w14:textId="32E28C26" w:rsidR="00A65A1A" w:rsidRDefault="00A65A1A">
      <w:pPr>
        <w:jc w:val="center"/>
        <w:rPr>
          <w:lang w:val="en-US"/>
        </w:rPr>
      </w:pPr>
      <w:r>
        <w:rPr>
          <w:lang w:val="en-US"/>
        </w:rPr>
        <w:t>Pedro Henrique</w:t>
      </w:r>
    </w:p>
    <w:p w14:paraId="5B0D931F" w14:textId="139FDAA6" w:rsidR="00A65A1A" w:rsidRPr="00A65A1A" w:rsidRDefault="00A65A1A">
      <w:pPr>
        <w:jc w:val="center"/>
      </w:pPr>
      <w:r w:rsidRPr="00A65A1A">
        <w:t xml:space="preserve">Lucas </w:t>
      </w:r>
      <w:proofErr w:type="spellStart"/>
      <w:r w:rsidRPr="00A65A1A">
        <w:t>Mynsse</w:t>
      </w:r>
      <w:bookmarkStart w:id="1" w:name="_heading=h.2qzy8ojas1k2" w:colFirst="0" w:colLast="0"/>
      <w:bookmarkEnd w:id="1"/>
      <w:r w:rsidRPr="00A65A1A">
        <w:t>m</w:t>
      </w:r>
      <w:proofErr w:type="spellEnd"/>
    </w:p>
    <w:p w14:paraId="56A21F95" w14:textId="77777777" w:rsidR="00C90B93" w:rsidRPr="00A65A1A" w:rsidRDefault="00C90B9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rFonts w:ascii="Calibri" w:eastAsia="Calibri" w:hAnsi="Calibri" w:cs="Calibri"/>
          <w:color w:val="2F5496"/>
          <w:sz w:val="32"/>
          <w:szCs w:val="32"/>
        </w:rPr>
      </w:pPr>
    </w:p>
    <w:p w14:paraId="24A276E4" w14:textId="77777777" w:rsidR="00C90B93" w:rsidRPr="00A65A1A" w:rsidRDefault="00C90B93">
      <w:pPr>
        <w:rPr>
          <w:b/>
          <w:smallCaps/>
          <w:color w:val="000000"/>
        </w:rPr>
      </w:pPr>
    </w:p>
    <w:p w14:paraId="50BBA012" w14:textId="46FAD4AB" w:rsidR="00C90B93" w:rsidRPr="00A65A1A" w:rsidRDefault="00A65A1A" w:rsidP="00A65A1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6A1A797E" wp14:editId="26D99733">
                <wp:simplePos x="0" y="0"/>
                <wp:positionH relativeFrom="column">
                  <wp:posOffset>992505</wp:posOffset>
                </wp:positionH>
                <wp:positionV relativeFrom="paragraph">
                  <wp:posOffset>1223645</wp:posOffset>
                </wp:positionV>
                <wp:extent cx="3299460" cy="563880"/>
                <wp:effectExtent l="0" t="0" r="0" b="7620"/>
                <wp:wrapSquare wrapText="bothSides" distT="45720" distB="45720" distL="114300" distR="114300"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9460" cy="56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00926F" w14:textId="0A6A62E8" w:rsidR="00C90B93" w:rsidRDefault="00A65A1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Ética e Sustentabilidade</w:t>
                            </w:r>
                          </w:p>
                          <w:p w14:paraId="44FE7BE6" w14:textId="231C2BAC" w:rsidR="00C90B93" w:rsidRDefault="00A65A1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Sustentabilidade Digital: Software para o bem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1A797E" id="Rectangle 218" o:spid="_x0000_s1026" style="position:absolute;left:0;text-align:left;margin-left:78.15pt;margin-top:96.35pt;width:259.8pt;height:44.4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" filled="f" stroked="f">
                <v:textbox inset="2.53958mm,1.2694mm,2.53958mm,1.2694mm">
                  <w:txbxContent>
                    <w:p w14:paraId="2400926F" w14:textId="0A6A62E8" w:rsidR="00C90B93" w:rsidRDefault="00A65A1A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Ética e Sustentabilidade</w:t>
                      </w:r>
                    </w:p>
                    <w:p w14:paraId="44FE7BE6" w14:textId="231C2BAC" w:rsidR="00C90B93" w:rsidRDefault="00A65A1A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Sustentabilidade Digital: Software para o bem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000000" w:rsidRPr="00A65A1A">
        <w:br w:type="page"/>
      </w:r>
      <w:r w:rsidR="00000000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4F3D29AB" wp14:editId="787466E6">
                <wp:simplePos x="0" y="0"/>
                <wp:positionH relativeFrom="column">
                  <wp:posOffset>2260600</wp:posOffset>
                </wp:positionH>
                <wp:positionV relativeFrom="paragraph">
                  <wp:posOffset>5354320</wp:posOffset>
                </wp:positionV>
                <wp:extent cx="876300" cy="1414145"/>
                <wp:effectExtent l="0" t="0" r="0" b="0"/>
                <wp:wrapSquare wrapText="bothSides" distT="45720" distB="45720" distL="114300" distR="114300"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12613" y="3077690"/>
                          <a:ext cx="86677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03AD4" w14:textId="77777777" w:rsidR="00C90B93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Curitiba </w:t>
                            </w:r>
                          </w:p>
                          <w:p w14:paraId="50BDBEA4" w14:textId="77777777" w:rsidR="00C90B93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3D29AB" id="Rectangle 219" o:spid="_x0000_s1027" style="position:absolute;left:0;text-align:left;margin-left:178pt;margin-top:421.6pt;width:69pt;height:111.3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" filled="f" stroked="f">
                <v:textbox inset="2.53958mm,1.2694mm,2.53958mm,1.2694mm">
                  <w:txbxContent>
                    <w:p w14:paraId="52603AD4" w14:textId="77777777" w:rsidR="00C90B93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Curitiba </w:t>
                      </w:r>
                    </w:p>
                    <w:p w14:paraId="50BDBEA4" w14:textId="77777777" w:rsidR="00C90B93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2025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E31EDAF" w14:textId="77777777" w:rsidR="00A65A1A" w:rsidRDefault="00A65A1A" w:rsidP="00A65A1A">
      <w:pPr>
        <w:pStyle w:val="TituloABNT"/>
      </w:pPr>
      <w:r>
        <w:lastRenderedPageBreak/>
        <w:t>DESENVOLVIMENTO</w:t>
      </w:r>
    </w:p>
    <w:p w14:paraId="288C0E35" w14:textId="77777777" w:rsidR="00A65A1A" w:rsidRDefault="00A65A1A" w:rsidP="00A65A1A"/>
    <w:p w14:paraId="46421A29" w14:textId="37E10799" w:rsidR="00A65A1A" w:rsidRDefault="00A65A1A" w:rsidP="00A65A1A">
      <w:pPr>
        <w:pStyle w:val="SubTituloABNT"/>
      </w:pPr>
      <w:r w:rsidRPr="00D26F3C">
        <w:t xml:space="preserve">INTRODUÇÃO </w:t>
      </w:r>
    </w:p>
    <w:p w14:paraId="70F25E73" w14:textId="77777777" w:rsidR="00A65A1A" w:rsidRDefault="00A65A1A" w:rsidP="00A65A1A"/>
    <w:p w14:paraId="1D1E4D87" w14:textId="77777777" w:rsidR="00A65A1A" w:rsidRDefault="00A65A1A" w:rsidP="00A65A1A">
      <w:r w:rsidRPr="00D26F3C">
        <w:t>A crescente digitalização de serviços e iniciativas de impacto socioambiental no Brasil levanta questões cruciais no campo da ética digital. Este relatório consolida e analisa um conjunto de seis documentos que descrevem diferentes aplicações tecnológicas, com o objetivo de examinar suas implicações éticas. As iniciativas abrangem desde plataformas de monitoramento ambiental e mobilidade compartilhada até sistemas de gestão de saúde e combate ao desperdício de alimentos. A análise se aprofunda em temas como a privacidade e a proteção de dados sensíveis, a inclusão digital, o empoderamento do cidadão, a transparência de algoritmos e a equidade no acesso a recursos. Ao investigar as tensões entre inovação tecnológica e responsabilidade social, este trabalho busca oferecer um panorama crítico sobre como a tecnologia está moldando a interação entre cidadãos, governo e meio ambiente</w:t>
      </w:r>
      <w:r>
        <w:t>.</w:t>
      </w:r>
    </w:p>
    <w:p w14:paraId="7CB48240" w14:textId="77777777" w:rsidR="00A65A1A" w:rsidRDefault="00A65A1A" w:rsidP="00A65A1A">
      <w:pPr>
        <w:pStyle w:val="SubTituloABNT"/>
      </w:pPr>
    </w:p>
    <w:p w14:paraId="09399D8B" w14:textId="6940F99A" w:rsidR="00A65A1A" w:rsidRDefault="00A65A1A" w:rsidP="00A65A1A">
      <w:pPr>
        <w:pStyle w:val="SubTituloABNT"/>
      </w:pPr>
      <w:r w:rsidRPr="00D26F3C">
        <w:t xml:space="preserve">DIMENSÕES ÉTICAS NA SUSTENTABILIDADE AMBIENTAL </w:t>
      </w:r>
    </w:p>
    <w:p w14:paraId="025D89EF" w14:textId="77777777" w:rsidR="00A65A1A" w:rsidRDefault="00A65A1A" w:rsidP="00A65A1A"/>
    <w:p w14:paraId="59813E49" w14:textId="2A29BDAB" w:rsidR="00A65A1A" w:rsidRPr="00A65A1A" w:rsidRDefault="00A65A1A" w:rsidP="00A65A1A">
      <w:pPr>
        <w:rPr>
          <w:rStyle w:val="TpicoABNTChar"/>
        </w:rPr>
      </w:pPr>
      <w:r w:rsidRPr="00A65A1A">
        <w:rPr>
          <w:rStyle w:val="TpicoABNTChar"/>
        </w:rPr>
        <w:t xml:space="preserve">Transparência E Participação Cidadã No Monitoramento Ambiental </w:t>
      </w:r>
    </w:p>
    <w:p w14:paraId="4E3F53A8" w14:textId="77777777" w:rsidR="00A65A1A" w:rsidRDefault="00A65A1A" w:rsidP="00A65A1A"/>
    <w:p w14:paraId="6E793C67" w14:textId="77777777" w:rsidR="00A65A1A" w:rsidRDefault="00A65A1A" w:rsidP="00A65A1A">
      <w:r w:rsidRPr="00D26F3C">
        <w:t xml:space="preserve">A utilização de dados abertos e plataformas digitais para o monitoramento ambiental no Brasil representa um avanço significativo na promoção da transparência e da participação cidadã, pilares de uma governança ambiental ética. Iniciativas como o </w:t>
      </w:r>
      <w:proofErr w:type="spellStart"/>
      <w:r w:rsidRPr="00D26F3C">
        <w:t>MapBiomas</w:t>
      </w:r>
      <w:proofErr w:type="spellEnd"/>
      <w:r w:rsidRPr="00D26F3C">
        <w:t xml:space="preserve"> demonstram o potencial ético do uso de dados públicos, como imagens de satélite, para criar séries históricas sobre o uso e a cobertura da terra. Ao disponibilizar essas informações de forma gratuita e acessível, o projeto empodera a sociedade civil, pesquisadores e órgãos de fiscalização, permitindo um controle social mais efetivo sobre o desmatamento e outras mudanças no uso do solo [5]. A ética por trás do </w:t>
      </w:r>
      <w:proofErr w:type="spellStart"/>
      <w:r w:rsidRPr="00D26F3C">
        <w:t>MapBiomas</w:t>
      </w:r>
      <w:proofErr w:type="spellEnd"/>
      <w:r w:rsidRPr="00D26F3C">
        <w:t xml:space="preserve"> reside na democratização do acesso à informação, transformando dados brutos em conhecimento acionável que pode subsidiar políticas públicas e responsabilizar agentes por danos ambientais [5] [7]. Paralelamente, aplicativos de denúncia como o “Guardiões da Amazônia” e o “Radar Ambiental” materializam o princípio da participação cidadã na fiscalização. Essas ferramentas permitem que qualquer indivíduo, de forma anônima ou identificada, reporte crimes ambientais com dados georreferenciados, fotos e vídeos [3]. A dimensão ética central desses aplicativos é a criação de um canal direto e seguro para o exercício da cidadania ativa. O “Radar Ambiental”, coordenado pelo Conselho Nacional do Ministério Público (CNMP), vai além ao oferecer ao usuário a possibilidade de acompanhar o andamento da denúncia, promovendo a transparência e a confiança no sistema [3]. Contudo, a eficácia dessas ferramentas levanta um questionamento ético sobre a responsabilidade do Estado: não basta oferecer o canal, é preciso garantir que as denúncias sejam investigadas e que resultem em ações concretas, sob o risco de gerar frustração e desconfiança. </w:t>
      </w:r>
    </w:p>
    <w:p w14:paraId="3C0F3C98" w14:textId="77777777" w:rsidR="00A65A1A" w:rsidRDefault="00A65A1A" w:rsidP="00A65A1A"/>
    <w:p w14:paraId="2F9472C1" w14:textId="25F80033" w:rsidR="00A65A1A" w:rsidRDefault="00A65A1A" w:rsidP="00A65A1A">
      <w:pPr>
        <w:pStyle w:val="TpicoABNT"/>
      </w:pPr>
      <w:r w:rsidRPr="00D26F3C">
        <w:t xml:space="preserve">Equidade E Responsabilidade Na Mobilidade Compartilhada </w:t>
      </w:r>
    </w:p>
    <w:p w14:paraId="6D03204A" w14:textId="77777777" w:rsidR="00A65A1A" w:rsidRDefault="00A65A1A" w:rsidP="00A65A1A"/>
    <w:p w14:paraId="2BFAB058" w14:textId="77777777" w:rsidR="00A65A1A" w:rsidRDefault="00A65A1A" w:rsidP="00A65A1A">
      <w:r w:rsidRPr="00D26F3C">
        <w:t xml:space="preserve">A promoção da mobilidade urbana sustentável por meio de aplicativos de </w:t>
      </w:r>
      <w:proofErr w:type="gramStart"/>
      <w:r w:rsidRPr="00D26F3C">
        <w:t>bike</w:t>
      </w:r>
      <w:proofErr w:type="gramEnd"/>
      <w:r w:rsidRPr="00D26F3C">
        <w:t xml:space="preserve"> </w:t>
      </w:r>
      <w:proofErr w:type="spellStart"/>
      <w:r w:rsidRPr="00D26F3C">
        <w:t>sharing</w:t>
      </w:r>
      <w:proofErr w:type="spellEnd"/>
      <w:r w:rsidRPr="00D26F3C">
        <w:t xml:space="preserve"> e </w:t>
      </w:r>
      <w:proofErr w:type="spellStart"/>
      <w:r w:rsidRPr="00D26F3C">
        <w:t>carpooling</w:t>
      </w:r>
      <w:proofErr w:type="spellEnd"/>
      <w:r w:rsidRPr="00D26F3C">
        <w:t xml:space="preserve"> transcende a mera redução de emissões de CO</w:t>
      </w:r>
      <w:r w:rsidRPr="00D26F3C">
        <w:rPr>
          <w:rFonts w:ascii="Cambria Math" w:hAnsi="Cambria Math" w:cs="Cambria Math"/>
        </w:rPr>
        <w:t>₂</w:t>
      </w:r>
      <w:r w:rsidRPr="00D26F3C">
        <w:t xml:space="preserve">, levantando importantes questões éticas sobre equidade, responsabilidade e o impacto social dessas tecnologias. Do ponto de vista ético, a economia compartilhada no transporte promove um uso mais justo e eficiente dos recursos urbanos. Ao otimizar a ocupação de veículos e reduzir o número de carros ociosos, esses sistemas contribuem para a diminuição de externalidades negativas que afetam desproporcionalmente populações vulneráveis, como a poluição do ar e sonora [1]. No entanto, a implementação dessas tecnologias não é isenta de dilemas éticos. A questão da equidade no acesso é central. A disponibilidade de estações de bicicletas compartilhadas e a área de cobertura de serviços de carona são, muitas vezes, concentradas em áreas centrais e de maior poder aquisitivo, </w:t>
      </w:r>
      <w:proofErr w:type="gramStart"/>
      <w:r w:rsidRPr="00D26F3C">
        <w:t>criando uma nova</w:t>
      </w:r>
      <w:proofErr w:type="gramEnd"/>
      <w:r w:rsidRPr="00D26F3C">
        <w:t xml:space="preserve"> forma de exclusão digital e de mobilidade para residentes de periferias. A dependência de smartphones e cartões de crédito para o uso desses serviços também pode representar uma barreira para populações de baixa renda ou com menor literacia digital [1]. Outra dimensão ética relevante é a responsabilidade. No </w:t>
      </w:r>
      <w:proofErr w:type="spellStart"/>
      <w:r w:rsidRPr="00D26F3C">
        <w:t>carpooling</w:t>
      </w:r>
      <w:proofErr w:type="spellEnd"/>
      <w:r w:rsidRPr="00D26F3C">
        <w:t xml:space="preserve">, a confiança entre os usuários é fundamental, e as plataformas digitais assumem a responsabilidade de mediar essa interação de forma segura. Isso inclui a verificação de motoristas, a transparência nas avaliações e a existência de mecanismos para lidar com incidentes. </w:t>
      </w:r>
      <w:proofErr w:type="gramStart"/>
      <w:r w:rsidRPr="00D26F3C">
        <w:t>No bike</w:t>
      </w:r>
      <w:proofErr w:type="gramEnd"/>
      <w:r w:rsidRPr="00D26F3C">
        <w:t xml:space="preserve"> </w:t>
      </w:r>
      <w:proofErr w:type="spellStart"/>
      <w:r w:rsidRPr="00D26F3C">
        <w:t>sharing</w:t>
      </w:r>
      <w:proofErr w:type="spellEnd"/>
      <w:r w:rsidRPr="00D26F3C">
        <w:t xml:space="preserve">, a responsabilidade se manifesta na manutenção adequada das bicicletas e na garantia de que a infraestrutura necessária, como ciclovias, esteja disponível para garantir a segurança dos ciclistas [1]. A falha em qualquer um desses pontos pode transferir o risco para o usuário, configurando uma falha ética por parte do provedor do serviço. </w:t>
      </w:r>
    </w:p>
    <w:p w14:paraId="4B4BE461" w14:textId="77777777" w:rsidR="00A65A1A" w:rsidRDefault="00A65A1A" w:rsidP="00A65A1A"/>
    <w:p w14:paraId="398530DC" w14:textId="31969325" w:rsidR="00A65A1A" w:rsidRPr="00A65A1A" w:rsidRDefault="00A65A1A" w:rsidP="00A65A1A">
      <w:pPr>
        <w:pStyle w:val="TpicoABNT"/>
      </w:pPr>
      <w:r w:rsidRPr="00A65A1A">
        <w:t xml:space="preserve">Privacidade E Justiça Na Gestão De Recursos Hídricos </w:t>
      </w:r>
    </w:p>
    <w:p w14:paraId="45B036AC" w14:textId="77777777" w:rsidR="00A65A1A" w:rsidRDefault="00A65A1A" w:rsidP="00A65A1A"/>
    <w:p w14:paraId="142E3AA8" w14:textId="77777777" w:rsidR="00A65A1A" w:rsidRDefault="00A65A1A" w:rsidP="00A65A1A">
      <w:r w:rsidRPr="00D26F3C">
        <w:t>A implementação de tecnologias de Internet das Coisas (IoT) para o monitoramento do consumo de água, tanto na agricultura quanto em residências, introduz considerações éticas sobre privacidade, justiça e a responsabilidade no uso de dados. Sistemas de medidores inteligentes (</w:t>
      </w:r>
      <w:proofErr w:type="spellStart"/>
      <w:r w:rsidRPr="00D26F3C">
        <w:t>smart</w:t>
      </w:r>
      <w:proofErr w:type="spellEnd"/>
      <w:r w:rsidRPr="00D26F3C">
        <w:t xml:space="preserve"> </w:t>
      </w:r>
      <w:proofErr w:type="spellStart"/>
      <w:r w:rsidRPr="00D26F3C">
        <w:t>water</w:t>
      </w:r>
      <w:proofErr w:type="spellEnd"/>
      <w:r w:rsidRPr="00D26F3C">
        <w:t xml:space="preserve"> </w:t>
      </w:r>
      <w:proofErr w:type="spellStart"/>
      <w:r w:rsidRPr="00D26F3C">
        <w:t>meters</w:t>
      </w:r>
      <w:proofErr w:type="spellEnd"/>
      <w:r w:rsidRPr="00D26F3C">
        <w:t xml:space="preserve">) coletam dados detalhados sobre o consumo de água em tempo real, permitindo a detecção de vazamentos e a conscientização do usuário sobre seus gastos [4]. O principal dilema ético reside na privacidade dos dados. Os padrões de consumo de água podem revelar informações sensíveis sobre os hábitos de uma família, como horários em que a casa está vazia ou o número de moradores. A coleta e o armazenamento desses dados exigem um compromisso ético rigoroso com a segurança e a anonimização, em conformidade com a Lei Geral de Proteção de Dados (LGPD) [9]. A transparência sobre quais dados são coletados e para qual finalidade é fundamental para construir a confiança do usuário. O uso desses dados para fins de vigilância ou marketing sem o consentimento explícito do consumidor seria uma violação ética grave. No contexto agrícola, o uso de sensores de umidade do solo para otimizar a irrigação levanta questões de justiça e equidade. Embora a tecnologia possa levar a uma economia significativa de água e ao aumento da produtividade, seu custo de implementação pode ser proibitivo para pequenos agricultores [4]. Isso pode acentuar a desigualdade no campo, beneficiando grandes produtores que têm capital para investir em tecnologia de precisão, enquanto os pequenos agricultores continuam a depender de métodos menos eficientes. A ética digital, nesse contexto, exige a busca por soluções acessíveis e a criação de políticas públicas que incentivem a adoção dessas tecnologias por todos os estratos de produtores, garantindo que os benefícios da agricultura inteligente sejam distribuídos de forma mais justa. </w:t>
      </w:r>
    </w:p>
    <w:p w14:paraId="55997E66" w14:textId="7DD3BCFF" w:rsidR="00A65A1A" w:rsidRDefault="00A65A1A" w:rsidP="00A65A1A">
      <w:pPr>
        <w:spacing w:after="160" w:line="278" w:lineRule="auto"/>
        <w:jc w:val="left"/>
      </w:pPr>
    </w:p>
    <w:p w14:paraId="7C92F148" w14:textId="7897C72F" w:rsidR="00A65A1A" w:rsidRDefault="00A65A1A" w:rsidP="00A65A1A">
      <w:pPr>
        <w:pStyle w:val="SubTituloABNT"/>
      </w:pPr>
      <w:r w:rsidRPr="00D26F3C">
        <w:t xml:space="preserve">DILEMAS ÉTICOS EM APLICAÇÕES DE IMPACTO SOCIAL 3.1 JUSTIÇA SOCIAL E DIGNIDADE NO COMBATE AO DESPERDÍCIO ALIMENTAR </w:t>
      </w:r>
    </w:p>
    <w:p w14:paraId="2C3F5C61" w14:textId="77777777" w:rsidR="00A65A1A" w:rsidRDefault="00A65A1A" w:rsidP="00A65A1A"/>
    <w:p w14:paraId="15C7CD95" w14:textId="77777777" w:rsidR="00A65A1A" w:rsidRDefault="00A65A1A" w:rsidP="00A65A1A">
      <w:r w:rsidRPr="00D26F3C">
        <w:t xml:space="preserve">A tecnologia tem sido uma aliada fundamental no combate ao desperdício de alimentos, mas as diferentes abordagens de aplicativos como Comida Invisível, Food </w:t>
      </w:r>
      <w:proofErr w:type="spellStart"/>
      <w:r w:rsidRPr="00D26F3C">
        <w:t>To</w:t>
      </w:r>
      <w:proofErr w:type="spellEnd"/>
      <w:r w:rsidRPr="00D26F3C">
        <w:t xml:space="preserve"> </w:t>
      </w:r>
      <w:proofErr w:type="spellStart"/>
      <w:r w:rsidRPr="00D26F3C">
        <w:t>Save</w:t>
      </w:r>
      <w:proofErr w:type="spellEnd"/>
      <w:r w:rsidRPr="00D26F3C">
        <w:t xml:space="preserve"> e Too </w:t>
      </w:r>
      <w:proofErr w:type="spellStart"/>
      <w:r w:rsidRPr="00D26F3C">
        <w:t>Good</w:t>
      </w:r>
      <w:proofErr w:type="spellEnd"/>
      <w:r w:rsidRPr="00D26F3C">
        <w:t xml:space="preserve"> </w:t>
      </w:r>
      <w:proofErr w:type="spellStart"/>
      <w:r w:rsidRPr="00D26F3C">
        <w:t>To</w:t>
      </w:r>
      <w:proofErr w:type="spellEnd"/>
      <w:r w:rsidRPr="00D26F3C">
        <w:t xml:space="preserve"> Go revelam tensões éticas entre a caridade, o lucro e a justiça social. A iniciativa brasileira Comida Invisível opera em um modelo de doação direta, conectando estabelecimentos com excedentes de alimentos a organizações sociais que atendem populações vulneráveis. A ética dessa abordagem está centrada na justiça alimentar e na dignidade, tratando o alimento como um direito e não como uma mercadoria a ser descartada ou vendida a baixo custo [2]. Em contrapartida, modelos comerciais como o da Food </w:t>
      </w:r>
      <w:proofErr w:type="spellStart"/>
      <w:r w:rsidRPr="00D26F3C">
        <w:t>To</w:t>
      </w:r>
      <w:proofErr w:type="spellEnd"/>
      <w:r w:rsidRPr="00D26F3C">
        <w:t xml:space="preserve"> </w:t>
      </w:r>
      <w:proofErr w:type="spellStart"/>
      <w:r w:rsidRPr="00D26F3C">
        <w:t>Save</w:t>
      </w:r>
      <w:proofErr w:type="spellEnd"/>
      <w:r w:rsidRPr="00D26F3C">
        <w:t xml:space="preserve"> e Too </w:t>
      </w:r>
      <w:proofErr w:type="spellStart"/>
      <w:r w:rsidRPr="00D26F3C">
        <w:t>Good</w:t>
      </w:r>
      <w:proofErr w:type="spellEnd"/>
      <w:r w:rsidRPr="00D26F3C">
        <w:t xml:space="preserve"> </w:t>
      </w:r>
      <w:proofErr w:type="spellStart"/>
      <w:r w:rsidRPr="00D26F3C">
        <w:t>To</w:t>
      </w:r>
      <w:proofErr w:type="spellEnd"/>
      <w:r w:rsidRPr="00D26F3C">
        <w:t xml:space="preserve"> Go, que vendem “sacolas surpresa” com produtos próximos ao vencimento a preços reduzidos, operam sob uma lógica de mercado. Embora eficazes na redução do desperdício e na geração de receita para os estabelecimentos, esses aplicativos levantam questionamentos éticos. A principal crítica é que eles podem desviar o foco de soluções estruturais para a insegurança alimentar, transformando um problema social em uma oportunidade de negócio. A questão ética central é: a quem essa solução realmente serve? Enquanto o modelo de doação direta prioriza a necessidade, o modelo de venda prioriza a oportunidade econômica, o que pode não beneficiar diretamente aqueles que mais precisam [2]. Além disso, a falta de transparência nas métricas de impacto é um desafio ético para ambos os modelos. Muitas plataformas divulgam o número de “refeições salvas” ou “toneladas salvas”, mas a metodologia por trás desses números nem sempre é clara. Para uma avaliação ética completa, é necessário que haja maior padronização e transparência na divulgação de dados, permitindo uma análise mais precisa do real impacto social e ambiental dessas iniciativas [2]. </w:t>
      </w:r>
    </w:p>
    <w:p w14:paraId="2D268687" w14:textId="77777777" w:rsidR="00A65A1A" w:rsidRDefault="00A65A1A" w:rsidP="00A65A1A"/>
    <w:p w14:paraId="3A03A1C4" w14:textId="440D83C2" w:rsidR="00A65A1A" w:rsidRDefault="00A65A1A" w:rsidP="00A65A1A">
      <w:pPr>
        <w:pStyle w:val="TpicoABNT"/>
      </w:pPr>
      <w:r w:rsidRPr="00D26F3C">
        <w:t xml:space="preserve">Privacidade, Inclusão E Empoderamento Na Saúde Digital </w:t>
      </w:r>
    </w:p>
    <w:p w14:paraId="3861A2F0" w14:textId="77777777" w:rsidR="00A65A1A" w:rsidRDefault="00A65A1A" w:rsidP="00A65A1A"/>
    <w:p w14:paraId="14B496A6" w14:textId="77777777" w:rsidR="00A65A1A" w:rsidRDefault="00A65A1A" w:rsidP="00A65A1A">
      <w:r w:rsidRPr="00D26F3C">
        <w:t xml:space="preserve">A digitalização dos serviços de saúde no Brasil, exemplificada por aplicativos como o ConecteSUS e o Hemovida, concentra alguns dos mais complexos dilemas da ética digital: a tensão entre a conveniência e a privacidade, a eficiência e a inclusão, e o empoderamento do cidadão e a segurança de dados. O ConecteSUS, ao centralizar o histórico de saúde do cidadão em um prontuário digital, representa um avanço no empoderamento do paciente. Eticamente, o aplicativo devolve ao indivíduo a posse de seus dados, que antes ficavam restritos aos estabelecimentos de saúde. Isso promove a transparência e a autonomia do paciente [6]. No entanto, essa centralização cria um enorme risco de privacidade. Os dados de saúde são considerados sensíveis pela LGPD, e um vazamento poderia expor condições médicas, gerando discriminação e estigma [9]. A segurança desses dados não é apenas uma questão técnica, mas uma obrigação ética fundamental do Estado. A dependência do login único Gov.br, embora aumente a segurança, cria uma barreira de acesso para idosos e pessoas com baixa literacia digital, levantando um sério problema de inclusão digital [6] [8]. O aplicativo Hemovida, por sua vez, utiliza a tecnologia para facilitar a doação de sangue, um ato de altruísmo. A análise de UX revela o uso de “design emocional” e gamificação para incentivar a doação, como a carteirinha de doador digital, o que é eticamente positivo ao reforçar o senso de comunidade e pertencimento [6]. A funcionalidade de agendamento e a transparência sobre os estoques de sangue demonstram respeito pelo tempo do doador e utilizam o gatilho da urgência de forma ética para mobilizar a sociedade. A triagem básica realizada no próprio aplicativo também é um exemplo de design ético, pois evita deslocamentos desnecessários e otimiza os recursos públicos e o tempo do cidadão [6]. A tabela a seguir resume os principais dilemas éticos nos aplicativos de saúde analisados: Aplicativo Benefício Ético Principal Dilema Ético Central ConecteSUS Empoderamento do cidadão e posse dos dados de saúde. Risco à privacidade de dados sensíveis e exclusão digital. Hemovida Facilitação do altruísmo e respeito ao tempo do doador. Uso de gatilhos emocionais e transparência dos dados de estoque. </w:t>
      </w:r>
    </w:p>
    <w:p w14:paraId="6F042064" w14:textId="77777777" w:rsidR="00A65A1A" w:rsidRDefault="00A65A1A" w:rsidP="00A65A1A">
      <w:pPr>
        <w:spacing w:after="160" w:line="278" w:lineRule="auto"/>
        <w:jc w:val="left"/>
      </w:pPr>
      <w:r>
        <w:br w:type="page"/>
      </w:r>
    </w:p>
    <w:p w14:paraId="0C5B7E1D" w14:textId="497AAF38" w:rsidR="00A65A1A" w:rsidRDefault="00A65A1A" w:rsidP="00A65A1A">
      <w:pPr>
        <w:pStyle w:val="TituloABNT"/>
      </w:pPr>
      <w:r w:rsidRPr="00D26F3C">
        <w:t xml:space="preserve">CONCLUSÃO </w:t>
      </w:r>
    </w:p>
    <w:p w14:paraId="2D01D3A9" w14:textId="77777777" w:rsidR="00A65A1A" w:rsidRDefault="00A65A1A" w:rsidP="00A65A1A"/>
    <w:p w14:paraId="3A21CBEB" w14:textId="77777777" w:rsidR="00A65A1A" w:rsidRDefault="00A65A1A" w:rsidP="00A65A1A">
      <w:r w:rsidRPr="00D26F3C">
        <w:t xml:space="preserve">A análise das diversas aplicações tecnológicas de impacto socioambiental no Brasil revela um cenário complexo, onde os benefícios da inovação coexistem com profundos dilemas éticos. A ética digital, nesse contexto, não se limita à proteção de dados, mas abrange questões de justiça, equidade, inclusão, transparência e responsabilidade. As iniciativas de monitoramento ambiental, como o </w:t>
      </w:r>
      <w:proofErr w:type="spellStart"/>
      <w:r w:rsidRPr="00D26F3C">
        <w:t>MapBiomas</w:t>
      </w:r>
      <w:proofErr w:type="spellEnd"/>
      <w:r w:rsidRPr="00D26F3C">
        <w:t xml:space="preserve">, e os aplicativos de denúncia demonstram como a tecnologia pode fortalecer a cidadania e a governança, mas também expõem a responsabilidade do Estado em agir sobre as informações geradas. Na mobilidade urbana e na gestão de recursos, a tecnologia oferece eficiência, mas levanta barreiras de acesso que podem aprofundar desigualdades. No combate ao desperdício de alimentos, a tensão entre lucro e justiça social se torna evidente. Por fim, na saúde digital, o empoderamento do cidadão é contrabalançado por severos riscos à privacidade e pela exclusão de populações não digitalizadas. Conclui-se que o desenvolvimento e a implementação de tecnologias de impacto socioambiental devem ser guiados por um forte compromisso ético. Isso implica em projetar sistemas que sejam não apenas eficientes, mas também inclusivos, seguros e transparentes. A participação da sociedade civil na concepção e na fiscalização dessas tecnologias, a clareza sobre o uso de dados e a priorização da dignidade e da equidade são fundamentais para garantir que a inovação tecnológica sirva, de fato, ao bem comum e contribua para a construção de uma sociedade mais justa e sustentável. </w:t>
      </w:r>
    </w:p>
    <w:p w14:paraId="088C44CF" w14:textId="390ACA6F" w:rsidR="00A65A1A" w:rsidRPr="00A65A1A" w:rsidRDefault="00A65A1A">
      <w:r w:rsidRPr="00A65A1A">
        <w:br w:type="page"/>
      </w:r>
    </w:p>
    <w:p w14:paraId="6E04D039" w14:textId="77777777" w:rsidR="00C90B93" w:rsidRPr="00A65A1A" w:rsidRDefault="00C90B93">
      <w:pPr>
        <w:spacing w:after="160" w:line="259" w:lineRule="auto"/>
        <w:jc w:val="left"/>
      </w:pPr>
    </w:p>
    <w:p w14:paraId="08386ABB" w14:textId="42773DCF" w:rsidR="00C90B93" w:rsidRPr="00A65A1A" w:rsidRDefault="00000000" w:rsidP="00A65A1A">
      <w:pPr>
        <w:pStyle w:val="TituloABNT"/>
      </w:pPr>
      <w:bookmarkStart w:id="2" w:name="_Toc201444623"/>
      <w:r w:rsidRPr="00A65A1A">
        <w:t>REFERENCIAS</w:t>
      </w:r>
      <w:bookmarkEnd w:id="2"/>
    </w:p>
    <w:p w14:paraId="77633DE1" w14:textId="77777777" w:rsidR="00C90B93" w:rsidRPr="00A65A1A" w:rsidRDefault="00C90B93"/>
    <w:p w14:paraId="1AFA9CDA" w14:textId="01EDDBA3" w:rsidR="00A65A1A" w:rsidRPr="00A65A1A" w:rsidRDefault="00A65A1A" w:rsidP="00A65A1A">
      <w:r w:rsidRPr="00A65A1A">
        <w:t xml:space="preserve">BORGES, W. </w:t>
      </w:r>
      <w:proofErr w:type="spellStart"/>
      <w:r w:rsidRPr="00A65A1A">
        <w:t>da</w:t>
      </w:r>
      <w:proofErr w:type="spellEnd"/>
      <w:r w:rsidRPr="00A65A1A">
        <w:t xml:space="preserve"> S.; OLIVEIRA, D. G. de. Inclusão digital: um desafio para a implantação do governo digital no Brasil. </w:t>
      </w:r>
      <w:r w:rsidRPr="00A65A1A">
        <w:rPr>
          <w:i/>
          <w:iCs/>
        </w:rPr>
        <w:t xml:space="preserve">Observatório de La </w:t>
      </w:r>
      <w:proofErr w:type="spellStart"/>
      <w:r w:rsidRPr="00A65A1A">
        <w:rPr>
          <w:i/>
          <w:iCs/>
        </w:rPr>
        <w:t>Economía</w:t>
      </w:r>
      <w:proofErr w:type="spellEnd"/>
      <w:r w:rsidRPr="00A65A1A">
        <w:rPr>
          <w:i/>
          <w:iCs/>
        </w:rPr>
        <w:t xml:space="preserve"> </w:t>
      </w:r>
      <w:proofErr w:type="spellStart"/>
      <w:r w:rsidRPr="00A65A1A">
        <w:rPr>
          <w:i/>
          <w:iCs/>
        </w:rPr>
        <w:t>Latinoamericana</w:t>
      </w:r>
      <w:proofErr w:type="spellEnd"/>
      <w:r w:rsidRPr="00A65A1A">
        <w:t>, v. 23, n. 4, 2025.</w:t>
      </w:r>
    </w:p>
    <w:p w14:paraId="16AF86FA" w14:textId="77777777" w:rsidR="00A65A1A" w:rsidRPr="00A65A1A" w:rsidRDefault="00A65A1A" w:rsidP="00A65A1A"/>
    <w:p w14:paraId="1B601743" w14:textId="1D0FA953" w:rsidR="00A65A1A" w:rsidRPr="00A65A1A" w:rsidRDefault="00A65A1A" w:rsidP="00A65A1A">
      <w:r w:rsidRPr="00A65A1A">
        <w:t>BRASIL. Lei nº 14.129, de 29 de março de 2021. Dispõe sobre princípios, regras e instrumentos para o Governo Digital.</w:t>
      </w:r>
    </w:p>
    <w:p w14:paraId="07D19058" w14:textId="77777777" w:rsidR="00A65A1A" w:rsidRPr="00A65A1A" w:rsidRDefault="00A65A1A" w:rsidP="00A65A1A"/>
    <w:p w14:paraId="5069246E" w14:textId="7CDF95F7" w:rsidR="00A65A1A" w:rsidRPr="00A65A1A" w:rsidRDefault="00A65A1A" w:rsidP="00A65A1A">
      <w:pPr>
        <w:rPr>
          <w:lang w:val="en-US"/>
        </w:rPr>
      </w:pPr>
      <w:r w:rsidRPr="00A65A1A">
        <w:t xml:space="preserve">BRITO, B.; BARRETO, P. A efetividade do monitoramento por satélite para combater o desmatamento. </w:t>
      </w:r>
      <w:r w:rsidRPr="00A65A1A">
        <w:rPr>
          <w:lang w:val="en-US"/>
        </w:rPr>
        <w:t xml:space="preserve">Belém: </w:t>
      </w:r>
      <w:proofErr w:type="spellStart"/>
      <w:r w:rsidRPr="00A65A1A">
        <w:rPr>
          <w:lang w:val="en-US"/>
        </w:rPr>
        <w:t>Imazon</w:t>
      </w:r>
      <w:proofErr w:type="spellEnd"/>
      <w:r w:rsidRPr="00A65A1A">
        <w:rPr>
          <w:lang w:val="en-US"/>
        </w:rPr>
        <w:t>, 2020.</w:t>
      </w:r>
    </w:p>
    <w:p w14:paraId="7634805E" w14:textId="77777777" w:rsidR="00A65A1A" w:rsidRPr="00A65A1A" w:rsidRDefault="00A65A1A" w:rsidP="00A65A1A">
      <w:pPr>
        <w:rPr>
          <w:lang w:val="en-US"/>
        </w:rPr>
      </w:pPr>
    </w:p>
    <w:p w14:paraId="6CA7678D" w14:textId="28891A25" w:rsidR="00A65A1A" w:rsidRPr="00A65A1A" w:rsidRDefault="00A65A1A" w:rsidP="00A65A1A">
      <w:r w:rsidRPr="00A65A1A">
        <w:rPr>
          <w:lang w:val="en-US"/>
        </w:rPr>
        <w:t xml:space="preserve">ECF (European Cyclists’ Federation). </w:t>
      </w:r>
      <w:r w:rsidRPr="00A65A1A">
        <w:rPr>
          <w:i/>
          <w:iCs/>
          <w:lang w:val="en-US"/>
        </w:rPr>
        <w:t>Cycling Facts and Figures: CO2 Emissions</w:t>
      </w:r>
      <w:r w:rsidRPr="00A65A1A">
        <w:rPr>
          <w:lang w:val="en-US"/>
        </w:rPr>
        <w:t xml:space="preserve">. </w:t>
      </w:r>
      <w:r w:rsidRPr="00A65A1A">
        <w:t>Bruxelas: ECF, 2024.</w:t>
      </w:r>
    </w:p>
    <w:p w14:paraId="1647C0AF" w14:textId="77777777" w:rsidR="00A65A1A" w:rsidRPr="00A65A1A" w:rsidRDefault="00A65A1A" w:rsidP="00A65A1A"/>
    <w:p w14:paraId="6D3C7306" w14:textId="2EBCC932" w:rsidR="00A65A1A" w:rsidRPr="00A65A1A" w:rsidRDefault="00A65A1A" w:rsidP="00A65A1A">
      <w:r w:rsidRPr="00A65A1A">
        <w:t xml:space="preserve">EMBRAPA. Sensor para irrigação gera economia e aumenta a produtividade da lavoura. </w:t>
      </w:r>
      <w:r w:rsidRPr="00A65A1A">
        <w:rPr>
          <w:i/>
          <w:iCs/>
        </w:rPr>
        <w:t>Comunicado Técnico</w:t>
      </w:r>
      <w:r w:rsidRPr="00A65A1A">
        <w:t>, Embrapa Instrumentação, 2024.</w:t>
      </w:r>
    </w:p>
    <w:p w14:paraId="016CBD12" w14:textId="77777777" w:rsidR="00A65A1A" w:rsidRPr="00A65A1A" w:rsidRDefault="00A65A1A" w:rsidP="00A65A1A"/>
    <w:p w14:paraId="43158F1C" w14:textId="1B7F4F25" w:rsidR="00A65A1A" w:rsidRPr="00A65A1A" w:rsidRDefault="00A65A1A" w:rsidP="00A65A1A">
      <w:r w:rsidRPr="00A65A1A">
        <w:rPr>
          <w:lang w:val="en-US"/>
        </w:rPr>
        <w:t xml:space="preserve">FAO (Food and Agriculture Organization). </w:t>
      </w:r>
      <w:r w:rsidRPr="00A65A1A">
        <w:rPr>
          <w:i/>
          <w:iCs/>
        </w:rPr>
        <w:t xml:space="preserve">Global Food </w:t>
      </w:r>
      <w:proofErr w:type="spellStart"/>
      <w:r w:rsidRPr="00A65A1A">
        <w:rPr>
          <w:i/>
          <w:iCs/>
        </w:rPr>
        <w:t>Losses</w:t>
      </w:r>
      <w:proofErr w:type="spellEnd"/>
      <w:r w:rsidRPr="00A65A1A">
        <w:rPr>
          <w:i/>
          <w:iCs/>
        </w:rPr>
        <w:t xml:space="preserve"> </w:t>
      </w:r>
      <w:proofErr w:type="spellStart"/>
      <w:r w:rsidRPr="00A65A1A">
        <w:rPr>
          <w:i/>
          <w:iCs/>
        </w:rPr>
        <w:t>and</w:t>
      </w:r>
      <w:proofErr w:type="spellEnd"/>
      <w:r w:rsidRPr="00A65A1A">
        <w:rPr>
          <w:i/>
          <w:iCs/>
        </w:rPr>
        <w:t xml:space="preserve"> Food </w:t>
      </w:r>
      <w:proofErr w:type="spellStart"/>
      <w:r w:rsidRPr="00A65A1A">
        <w:rPr>
          <w:i/>
          <w:iCs/>
        </w:rPr>
        <w:t>Waste</w:t>
      </w:r>
      <w:proofErr w:type="spellEnd"/>
      <w:r w:rsidRPr="00A65A1A">
        <w:t xml:space="preserve">. </w:t>
      </w:r>
      <w:proofErr w:type="spellStart"/>
      <w:r w:rsidRPr="00A65A1A">
        <w:t>Rome</w:t>
      </w:r>
      <w:proofErr w:type="spellEnd"/>
      <w:r w:rsidRPr="00A65A1A">
        <w:t>: UN, 2011 (atualizado 2023).</w:t>
      </w:r>
    </w:p>
    <w:p w14:paraId="220E2D28" w14:textId="77777777" w:rsidR="00A65A1A" w:rsidRPr="00A65A1A" w:rsidRDefault="00A65A1A" w:rsidP="00A65A1A"/>
    <w:p w14:paraId="2D200E99" w14:textId="3B49BE47" w:rsidR="00A65A1A" w:rsidRPr="00A65A1A" w:rsidRDefault="00A65A1A" w:rsidP="00A65A1A">
      <w:r w:rsidRPr="00A65A1A">
        <w:t xml:space="preserve">MAPBIOMAS. Projeto </w:t>
      </w:r>
      <w:proofErr w:type="spellStart"/>
      <w:r w:rsidRPr="00A65A1A">
        <w:t>MapBiomas</w:t>
      </w:r>
      <w:proofErr w:type="spellEnd"/>
      <w:r w:rsidRPr="00A65A1A">
        <w:t xml:space="preserve"> – Coleção de dados do uso e cobertura da terra no Brasil. Disponível em: </w:t>
      </w:r>
      <w:hyperlink r:id="rId7" w:history="1">
        <w:r w:rsidRPr="00A65A1A">
          <w:rPr>
            <w:rStyle w:val="Hyperlink"/>
            <w:color w:val="auto"/>
            <w:u w:val="none"/>
          </w:rPr>
          <w:t>https://mapbiomas.org</w:t>
        </w:r>
      </w:hyperlink>
      <w:r w:rsidRPr="00A65A1A">
        <w:t>.</w:t>
      </w:r>
    </w:p>
    <w:p w14:paraId="401F0040" w14:textId="77777777" w:rsidR="00A65A1A" w:rsidRPr="00A65A1A" w:rsidRDefault="00A65A1A" w:rsidP="00A65A1A"/>
    <w:p w14:paraId="41DCCCDD" w14:textId="2C5AC9E3" w:rsidR="00A65A1A" w:rsidRPr="00A65A1A" w:rsidRDefault="00A65A1A" w:rsidP="00A65A1A">
      <w:r w:rsidRPr="00A65A1A">
        <w:t>SOUZA, L. Uma análise comparativa da usabilidade e experiência dos usuários em aplicativos governamentais. Repositório UFC, 2024.</w:t>
      </w:r>
    </w:p>
    <w:p w14:paraId="51D16B9E" w14:textId="20BBBD4A" w:rsidR="00C90B93" w:rsidRDefault="00C90B93"/>
    <w:sectPr w:rsidR="00C90B93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65AAF38-FB9D-429B-9AB1-EBB6A4B5FE0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2" w:fontKey="{072E3675-5BAA-48EA-A457-4885E3C48AF4}"/>
    <w:embedItalic r:id="rId3" w:fontKey="{F03F1186-CA71-4DD7-929F-85D6905880E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82F0A44-063C-4F35-9E35-F2FE6DD91EEE}"/>
    <w:embedItalic r:id="rId5" w:fontKey="{9A98A76D-EF0E-4A1F-8FB5-830501AC3B4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273C876C-CF85-4CB2-9AC3-57A8E1F0499D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4AA0E04-C0BC-499B-83F4-D671EFE847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E5406"/>
    <w:multiLevelType w:val="multilevel"/>
    <w:tmpl w:val="408A54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18D7B4F"/>
    <w:multiLevelType w:val="multilevel"/>
    <w:tmpl w:val="ABDEEA44"/>
    <w:lvl w:ilvl="0">
      <w:start w:val="1"/>
      <w:numFmt w:val="bullet"/>
      <w:pStyle w:val="Commarcadores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14164EE6"/>
    <w:multiLevelType w:val="hybridMultilevel"/>
    <w:tmpl w:val="44CA8D9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C0461F"/>
    <w:multiLevelType w:val="multilevel"/>
    <w:tmpl w:val="BA12DE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4" w15:restartNumberingAfterBreak="0">
    <w:nsid w:val="18912AA7"/>
    <w:multiLevelType w:val="hybridMultilevel"/>
    <w:tmpl w:val="0E6CA34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BB21DE"/>
    <w:multiLevelType w:val="hybridMultilevel"/>
    <w:tmpl w:val="FCB8E07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0637534"/>
    <w:multiLevelType w:val="multilevel"/>
    <w:tmpl w:val="461C337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30A13BA4"/>
    <w:multiLevelType w:val="multilevel"/>
    <w:tmpl w:val="988476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31652B7A"/>
    <w:multiLevelType w:val="hybridMultilevel"/>
    <w:tmpl w:val="39549B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ED4845"/>
    <w:multiLevelType w:val="multilevel"/>
    <w:tmpl w:val="6A409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6D55651"/>
    <w:multiLevelType w:val="hybridMultilevel"/>
    <w:tmpl w:val="588431A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5A6B3F"/>
    <w:multiLevelType w:val="multilevel"/>
    <w:tmpl w:val="3B58EA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6847EA7"/>
    <w:multiLevelType w:val="hybridMultilevel"/>
    <w:tmpl w:val="664CE9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AF3EB8"/>
    <w:multiLevelType w:val="hybridMultilevel"/>
    <w:tmpl w:val="ABC8C51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CA8750A"/>
    <w:multiLevelType w:val="multilevel"/>
    <w:tmpl w:val="B840FC9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5CD77B9E"/>
    <w:multiLevelType w:val="multilevel"/>
    <w:tmpl w:val="6CFA27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0446CE7"/>
    <w:multiLevelType w:val="multilevel"/>
    <w:tmpl w:val="3D4023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68A1524"/>
    <w:multiLevelType w:val="multilevel"/>
    <w:tmpl w:val="52EECF1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97A388E"/>
    <w:multiLevelType w:val="hybridMultilevel"/>
    <w:tmpl w:val="52563E00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786C07"/>
    <w:multiLevelType w:val="multilevel"/>
    <w:tmpl w:val="25EA08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80D4EEE"/>
    <w:multiLevelType w:val="multilevel"/>
    <w:tmpl w:val="776E4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47015438">
    <w:abstractNumId w:val="1"/>
  </w:num>
  <w:num w:numId="2" w16cid:durableId="640572517">
    <w:abstractNumId w:val="20"/>
  </w:num>
  <w:num w:numId="3" w16cid:durableId="1612784520">
    <w:abstractNumId w:val="9"/>
  </w:num>
  <w:num w:numId="4" w16cid:durableId="1118720112">
    <w:abstractNumId w:val="11"/>
  </w:num>
  <w:num w:numId="5" w16cid:durableId="1904295751">
    <w:abstractNumId w:val="6"/>
  </w:num>
  <w:num w:numId="6" w16cid:durableId="935478190">
    <w:abstractNumId w:val="7"/>
  </w:num>
  <w:num w:numId="7" w16cid:durableId="255021455">
    <w:abstractNumId w:val="15"/>
  </w:num>
  <w:num w:numId="8" w16cid:durableId="2136410625">
    <w:abstractNumId w:val="0"/>
  </w:num>
  <w:num w:numId="9" w16cid:durableId="1530800174">
    <w:abstractNumId w:val="16"/>
  </w:num>
  <w:num w:numId="10" w16cid:durableId="1453792946">
    <w:abstractNumId w:val="19"/>
  </w:num>
  <w:num w:numId="11" w16cid:durableId="1257397097">
    <w:abstractNumId w:val="2"/>
  </w:num>
  <w:num w:numId="12" w16cid:durableId="811675581">
    <w:abstractNumId w:val="8"/>
  </w:num>
  <w:num w:numId="13" w16cid:durableId="1691909349">
    <w:abstractNumId w:val="10"/>
  </w:num>
  <w:num w:numId="14" w16cid:durableId="648022768">
    <w:abstractNumId w:val="13"/>
  </w:num>
  <w:num w:numId="15" w16cid:durableId="1543248034">
    <w:abstractNumId w:val="12"/>
  </w:num>
  <w:num w:numId="16" w16cid:durableId="128212598">
    <w:abstractNumId w:val="5"/>
  </w:num>
  <w:num w:numId="17" w16cid:durableId="2028827943">
    <w:abstractNumId w:val="4"/>
  </w:num>
  <w:num w:numId="18" w16cid:durableId="401678402">
    <w:abstractNumId w:val="18"/>
  </w:num>
  <w:num w:numId="19" w16cid:durableId="316737178">
    <w:abstractNumId w:val="3"/>
  </w:num>
  <w:num w:numId="20" w16cid:durableId="633290939">
    <w:abstractNumId w:val="14"/>
  </w:num>
  <w:num w:numId="21" w16cid:durableId="177150457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B93"/>
    <w:rsid w:val="00243786"/>
    <w:rsid w:val="003B5060"/>
    <w:rsid w:val="004208AA"/>
    <w:rsid w:val="00475929"/>
    <w:rsid w:val="00936547"/>
    <w:rsid w:val="009F3E60"/>
    <w:rsid w:val="00A306C1"/>
    <w:rsid w:val="00A65A1A"/>
    <w:rsid w:val="00B26C86"/>
    <w:rsid w:val="00C90B93"/>
    <w:rsid w:val="00D2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49A63"/>
  <w15:docId w15:val="{2FE5CBAE-50CE-450D-BFC2-13D4D8224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373"/>
  </w:style>
  <w:style w:type="paragraph" w:styleId="Ttulo1">
    <w:name w:val="heading 1"/>
    <w:basedOn w:val="Normal"/>
    <w:next w:val="Normal"/>
    <w:link w:val="Ttulo1Char"/>
    <w:uiPriority w:val="9"/>
    <w:qFormat/>
    <w:rsid w:val="00456A5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56A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6A5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6A5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TituloABNT">
    <w:name w:val="Titulo ABNT"/>
    <w:basedOn w:val="Ttulo1"/>
    <w:next w:val="Normal"/>
    <w:link w:val="TituloABNTChar"/>
    <w:qFormat/>
    <w:rsid w:val="00456A52"/>
    <w:rPr>
      <w:rFonts w:ascii="Arial" w:hAnsi="Arial" w:cs="Arial"/>
      <w:b/>
      <w:caps/>
      <w:color w:val="000000" w:themeColor="text1"/>
      <w:sz w:val="24"/>
      <w:szCs w:val="24"/>
    </w:rPr>
  </w:style>
  <w:style w:type="paragraph" w:customStyle="1" w:styleId="SubTituloABNT">
    <w:name w:val="SubTitulo ABNT"/>
    <w:basedOn w:val="Ttulo2"/>
    <w:link w:val="SubTituloABNTChar"/>
    <w:qFormat/>
    <w:rsid w:val="00456A52"/>
    <w:rPr>
      <w:rFonts w:ascii="Arial" w:hAnsi="Arial" w:cs="Arial"/>
      <w:caps/>
      <w:color w:val="000000" w:themeColor="text1"/>
      <w:sz w:val="24"/>
      <w:szCs w:val="24"/>
    </w:rPr>
  </w:style>
  <w:style w:type="character" w:customStyle="1" w:styleId="TituloABNTChar">
    <w:name w:val="Titulo ABNT Char"/>
    <w:basedOn w:val="Fontepargpadro"/>
    <w:link w:val="TituloABNT"/>
    <w:rsid w:val="00456A52"/>
    <w:rPr>
      <w:rFonts w:ascii="Arial" w:eastAsiaTheme="majorEastAsia" w:hAnsi="Arial" w:cs="Arial"/>
      <w:b/>
      <w:caps/>
      <w:color w:val="000000" w:themeColor="text1"/>
      <w:sz w:val="24"/>
      <w:szCs w:val="24"/>
    </w:rPr>
  </w:style>
  <w:style w:type="paragraph" w:customStyle="1" w:styleId="TpicoABNT">
    <w:name w:val="Tópico ABNT"/>
    <w:basedOn w:val="Ttulo3"/>
    <w:next w:val="Normal"/>
    <w:link w:val="TpicoABNTChar"/>
    <w:qFormat/>
    <w:rsid w:val="00456A52"/>
    <w:rPr>
      <w:rFonts w:ascii="Arial" w:hAnsi="Arial"/>
      <w:b/>
      <w:color w:val="000000" w:themeColor="text1"/>
    </w:rPr>
  </w:style>
  <w:style w:type="character" w:customStyle="1" w:styleId="SubTituloABNTChar">
    <w:name w:val="SubTitulo ABNT Char"/>
    <w:basedOn w:val="Fontepargpadro"/>
    <w:link w:val="SubTituloABNT"/>
    <w:rsid w:val="00456A52"/>
    <w:rPr>
      <w:rFonts w:ascii="Arial" w:eastAsiaTheme="majorEastAsia" w:hAnsi="Arial" w:cs="Arial"/>
      <w:caps/>
      <w:color w:val="000000" w:themeColor="text1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456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picoABNTChar">
    <w:name w:val="Tópico ABNT Char"/>
    <w:basedOn w:val="SubTituloABNTChar"/>
    <w:link w:val="TpicoABNT"/>
    <w:rsid w:val="00456A52"/>
    <w:rPr>
      <w:rFonts w:ascii="Arial" w:eastAsiaTheme="majorEastAsia" w:hAnsi="Arial" w:cstheme="majorBidi"/>
      <w:b/>
      <w:caps w:val="0"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456A52"/>
    <w:pPr>
      <w:outlineLvl w:val="9"/>
    </w:pPr>
  </w:style>
  <w:style w:type="paragraph" w:customStyle="1" w:styleId="SubTpicoABNT">
    <w:name w:val="SubTópico ABNT"/>
    <w:basedOn w:val="Ttulo4"/>
    <w:next w:val="Normal"/>
    <w:link w:val="SubTpicoABNTChar"/>
    <w:qFormat/>
    <w:rsid w:val="00456A52"/>
    <w:rPr>
      <w:rFonts w:ascii="Arial" w:hAnsi="Arial"/>
      <w:b/>
      <w:i w:val="0"/>
      <w:color w:val="000000" w:themeColor="text1"/>
    </w:rPr>
  </w:style>
  <w:style w:type="character" w:customStyle="1" w:styleId="Ttulo2Char">
    <w:name w:val="Título 2 Char"/>
    <w:basedOn w:val="Fontepargpadro"/>
    <w:link w:val="Ttulo2"/>
    <w:uiPriority w:val="9"/>
    <w:rsid w:val="00456A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6A5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456A52"/>
    <w:pPr>
      <w:spacing w:after="100"/>
    </w:pPr>
  </w:style>
  <w:style w:type="character" w:customStyle="1" w:styleId="Ttulo4Char">
    <w:name w:val="Título 4 Char"/>
    <w:basedOn w:val="Fontepargpadro"/>
    <w:link w:val="Ttulo4"/>
    <w:uiPriority w:val="9"/>
    <w:rsid w:val="00456A5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SubTpicoABNTChar">
    <w:name w:val="SubTópico ABNT Char"/>
    <w:basedOn w:val="Ttulo4Char"/>
    <w:link w:val="SubTpicoABNT"/>
    <w:rsid w:val="00456A52"/>
    <w:rPr>
      <w:rFonts w:ascii="Arial" w:eastAsiaTheme="majorEastAsia" w:hAnsi="Arial" w:cstheme="majorBidi"/>
      <w:b/>
      <w:i w:val="0"/>
      <w:iCs/>
      <w:color w:val="000000" w:themeColor="text1"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456A52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D22A8B"/>
    <w:pPr>
      <w:tabs>
        <w:tab w:val="right" w:leader="dot" w:pos="8494"/>
      </w:tabs>
      <w:spacing w:after="100"/>
    </w:pPr>
    <w:rPr>
      <w:b/>
      <w:bCs/>
      <w:noProof/>
    </w:rPr>
  </w:style>
  <w:style w:type="character" w:styleId="Hyperlink">
    <w:name w:val="Hyperlink"/>
    <w:basedOn w:val="Fontepargpadro"/>
    <w:uiPriority w:val="99"/>
    <w:unhideWhenUsed/>
    <w:rsid w:val="00456A52"/>
    <w:rPr>
      <w:color w:val="0563C1" w:themeColor="hyperlink"/>
      <w:u w:val="single"/>
    </w:rPr>
  </w:style>
  <w:style w:type="character" w:customStyle="1" w:styleId="normaltextrun">
    <w:name w:val="normaltextrun"/>
    <w:basedOn w:val="Fontepargpadro"/>
    <w:rsid w:val="0023626C"/>
  </w:style>
  <w:style w:type="character" w:customStyle="1" w:styleId="eop">
    <w:name w:val="eop"/>
    <w:basedOn w:val="Fontepargpadro"/>
    <w:rsid w:val="0023626C"/>
  </w:style>
  <w:style w:type="paragraph" w:styleId="NormalWeb">
    <w:name w:val="Normal (Web)"/>
    <w:basedOn w:val="Normal"/>
    <w:uiPriority w:val="99"/>
    <w:semiHidden/>
    <w:unhideWhenUsed/>
    <w:rsid w:val="007528D0"/>
    <w:rPr>
      <w:rFonts w:ascii="Times New Roman" w:hAnsi="Times New Roman" w:cs="Times New Roman"/>
    </w:rPr>
  </w:style>
  <w:style w:type="character" w:styleId="TtulodoLivro">
    <w:name w:val="Book Title"/>
    <w:basedOn w:val="Fontepargpadro"/>
    <w:uiPriority w:val="33"/>
    <w:qFormat/>
    <w:rsid w:val="008F3EBC"/>
    <w:rPr>
      <w:b/>
      <w:bCs/>
      <w:i/>
      <w:iCs/>
      <w:spacing w:val="5"/>
    </w:rPr>
  </w:style>
  <w:style w:type="paragraph" w:styleId="Commarcadores">
    <w:name w:val="List Bullet"/>
    <w:basedOn w:val="Normal"/>
    <w:uiPriority w:val="99"/>
    <w:unhideWhenUsed/>
    <w:rsid w:val="00486692"/>
    <w:pPr>
      <w:numPr>
        <w:numId w:val="1"/>
      </w:numPr>
      <w:contextualSpacing/>
    </w:pPr>
  </w:style>
  <w:style w:type="paragraph" w:styleId="PargrafodaLista">
    <w:name w:val="List Paragraph"/>
    <w:basedOn w:val="Normal"/>
    <w:uiPriority w:val="34"/>
    <w:qFormat/>
    <w:rsid w:val="00486692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B909B2"/>
    <w:rPr>
      <w:b/>
      <w:bCs/>
    </w:rPr>
  </w:style>
  <w:style w:type="paragraph" w:customStyle="1" w:styleId="has-line-data">
    <w:name w:val="has-line-data"/>
    <w:basedOn w:val="Normal"/>
    <w:rsid w:val="00E4369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character" w:styleId="nfase">
    <w:name w:val="Emphasis"/>
    <w:basedOn w:val="Fontepargpadro"/>
    <w:uiPriority w:val="20"/>
    <w:qFormat/>
    <w:rsid w:val="00E43698"/>
    <w:rPr>
      <w:i/>
      <w:iCs/>
    </w:rPr>
  </w:style>
  <w:style w:type="table" w:styleId="Tabelacomgrade">
    <w:name w:val="Table Grid"/>
    <w:basedOn w:val="Tabelanormal"/>
    <w:uiPriority w:val="39"/>
    <w:rsid w:val="0085716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egenda">
    <w:name w:val="caption"/>
    <w:basedOn w:val="Normal"/>
    <w:next w:val="Normal"/>
    <w:uiPriority w:val="35"/>
    <w:unhideWhenUsed/>
    <w:qFormat/>
    <w:rsid w:val="0047592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936547"/>
  </w:style>
  <w:style w:type="character" w:styleId="MenoPendente">
    <w:name w:val="Unresolved Mention"/>
    <w:basedOn w:val="Fontepargpadro"/>
    <w:uiPriority w:val="99"/>
    <w:semiHidden/>
    <w:unhideWhenUsed/>
    <w:rsid w:val="00A65A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https://mapbiomas.org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R9WmqTjaLsK+NjyUEW8+Pg1yPw==">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</go:docsCustomData>
</go:gDocsCustomXmlDataStorage>
</file>

<file path=customXml/itemProps1.xml><?xml version="1.0" encoding="utf-8"?>
<ds:datastoreItem xmlns:ds="http://schemas.openxmlformats.org/officeDocument/2006/customXml" ds:itemID="{98D36148-A655-4D67-B251-15367BFFEB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2165</Words>
  <Characters>11697</Characters>
  <Application>Microsoft Office Word</Application>
  <DocSecurity>0</DocSecurity>
  <Lines>97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VINICIUS OLIVEIRA BORGES</dc:creator>
  <cp:lastModifiedBy>Vinícius Borges</cp:lastModifiedBy>
  <cp:revision>2</cp:revision>
  <cp:lastPrinted>2025-06-22T03:35:00Z</cp:lastPrinted>
  <dcterms:created xsi:type="dcterms:W3CDTF">2025-11-25T20:02:00Z</dcterms:created>
  <dcterms:modified xsi:type="dcterms:W3CDTF">2025-11-25T20:02:00Z</dcterms:modified>
</cp:coreProperties>
</file>