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66C45" w14:textId="2B7C57DE" w:rsidR="000D6505" w:rsidRDefault="000D6505" w:rsidP="000D6505">
      <w:r>
        <w:t xml:space="preserve"> História, Contexto e Aplicação do ESG com Ênfase em Green IT</w:t>
      </w:r>
    </w:p>
    <w:p w14:paraId="1AE468A3" w14:textId="77777777" w:rsidR="000D6505" w:rsidRDefault="000D6505" w:rsidP="000D6505"/>
    <w:p w14:paraId="478EF953" w14:textId="35E06162" w:rsidR="000D6505" w:rsidRDefault="000D6505" w:rsidP="000D6505">
      <w:r>
        <w:t xml:space="preserve">Versão Completa, Aprofundada e Atualizada – </w:t>
      </w:r>
      <w:proofErr w:type="gramStart"/>
      <w:r>
        <w:t>Novembro</w:t>
      </w:r>
      <w:proofErr w:type="gramEnd"/>
      <w:r>
        <w:t xml:space="preserve"> de 2025</w:t>
      </w:r>
    </w:p>
    <w:p w14:paraId="52FFC343" w14:textId="77777777" w:rsidR="000D6505" w:rsidRDefault="000D6505" w:rsidP="000D6505"/>
    <w:p w14:paraId="38F2C093" w14:textId="77777777" w:rsidR="000D6505" w:rsidRDefault="000D6505" w:rsidP="000D6505">
      <w:r>
        <w:t xml:space="preserve">Este documento consolida informações sobre o ESG (Environmental, Social </w:t>
      </w:r>
      <w:proofErr w:type="spellStart"/>
      <w:r>
        <w:t>and</w:t>
      </w:r>
      <w:proofErr w:type="spellEnd"/>
      <w:r>
        <w:t xml:space="preserve"> Governance), com ênfase em sua aplicação ao Green IT. As seções a seguir apresentam uma análise estruturada, baseada em fontes confiáveis como relatórios da ONU, PRI, </w:t>
      </w:r>
      <w:proofErr w:type="spellStart"/>
      <w:r>
        <w:t>BloombergNEF</w:t>
      </w:r>
      <w:proofErr w:type="spellEnd"/>
      <w:r>
        <w:t xml:space="preserve">, IEA, Gartner, ISSB, CSRD, CVM e relatórios corporativos oficiais. Citações </w:t>
      </w:r>
      <w:proofErr w:type="spellStart"/>
      <w:r>
        <w:t>inline</w:t>
      </w:r>
      <w:proofErr w:type="spellEnd"/>
      <w:r>
        <w:t xml:space="preserve"> são utilizadas para garantir transparência e precisão. Infográficos são representados em formato textual (ASCII e tabelas) para visualização clara; em ambientes digitais, poderiam ser gerados via ferramentas como </w:t>
      </w:r>
      <w:proofErr w:type="spellStart"/>
      <w:r>
        <w:t>Matplotlib</w:t>
      </w:r>
      <w:proofErr w:type="spellEnd"/>
      <w:r>
        <w:t xml:space="preserve"> ou </w:t>
      </w:r>
      <w:proofErr w:type="spellStart"/>
      <w:r>
        <w:t>Canva</w:t>
      </w:r>
      <w:proofErr w:type="spellEnd"/>
      <w:r>
        <w:t>.</w:t>
      </w:r>
    </w:p>
    <w:p w14:paraId="53D29C12" w14:textId="77777777" w:rsidR="000D6505" w:rsidRDefault="000D6505" w:rsidP="000D6505"/>
    <w:p w14:paraId="51BA421E" w14:textId="2C07AF67" w:rsidR="000D6505" w:rsidRDefault="000D6505" w:rsidP="000D6505">
      <w:r>
        <w:t xml:space="preserve"> 1. Origem e Evolução Histórica do ESG</w:t>
      </w:r>
    </w:p>
    <w:p w14:paraId="71876218" w14:textId="77777777" w:rsidR="000D6505" w:rsidRDefault="000D6505" w:rsidP="000D6505"/>
    <w:p w14:paraId="71CB33D1" w14:textId="77777777" w:rsidR="000D6505" w:rsidRDefault="000D6505" w:rsidP="000D6505">
      <w:r>
        <w:t>O conceito de ESG evoluiu de práticas éticas isoladas para um framework global integrado, impulsionado por crises econômicas, ambientais e sociais. Suas raízes remontam ao século XVIII, quando comunidades religiosas, como os quacres nos Estados Unidos e metodistas no Reino Unido, proibiram investimentos em setores como escravidão, álcool, tabaco e armas, estabelecendo o "investimento ético". No século XX, o movimento ganhou escala com o boicote ao apartheid sul-africano (1977–1994), que mobilizou fundos de pensão e universidades a desinvestir mais de US$ 600 bilhões de empresas operando no regime segregacionista.</w:t>
      </w:r>
    </w:p>
    <w:p w14:paraId="1B8FD7EF" w14:textId="77777777" w:rsidR="000D6505" w:rsidRDefault="000D6505" w:rsidP="000D6505"/>
    <w:p w14:paraId="785B9ACD" w14:textId="77777777" w:rsidR="000D6505" w:rsidRDefault="000D6505" w:rsidP="000D6505">
      <w:r>
        <w:t xml:space="preserve">Em 1971, o Pax World Fund tornou-se o primeiro fundo mútuo público com critérios sociais e ambientais explícitos. Em 1990, o lançamento do </w:t>
      </w:r>
      <w:proofErr w:type="spellStart"/>
      <w:r>
        <w:t>Domini</w:t>
      </w:r>
      <w:proofErr w:type="spellEnd"/>
      <w:r>
        <w:t xml:space="preserve"> 400 Social Index (atual MSCI KLD 400) marcou o primeiro índice ESG formal. O ano 2000 viu a criação do Carbon </w:t>
      </w:r>
      <w:proofErr w:type="spellStart"/>
      <w:r>
        <w:t>Disclosure</w:t>
      </w:r>
      <w:proofErr w:type="spellEnd"/>
      <w:r>
        <w:t xml:space="preserve"> Project (CDP), focado em divulgações voluntárias de emissões. O termo "ESG" foi oficialmente cunhado em 2004 no relatório "Who </w:t>
      </w:r>
      <w:proofErr w:type="spellStart"/>
      <w:r>
        <w:t>Cares</w:t>
      </w:r>
      <w:proofErr w:type="spellEnd"/>
      <w:r>
        <w:t xml:space="preserve"> </w:t>
      </w:r>
      <w:proofErr w:type="spellStart"/>
      <w:r>
        <w:t>Wins</w:t>
      </w:r>
      <w:proofErr w:type="spellEnd"/>
      <w:r>
        <w:t>", elaborado pelo Pacto Global da ONU, Banco Mundial e 50 instituições financeiras, enfatizando a integração de fatores ambientais, sociais e de governança em análises de investimento.</w:t>
      </w:r>
    </w:p>
    <w:p w14:paraId="6D4EA667" w14:textId="77777777" w:rsidR="000D6505" w:rsidRDefault="000D6505" w:rsidP="000D6505"/>
    <w:p w14:paraId="7D52A80A" w14:textId="77777777" w:rsidR="000D6505" w:rsidRDefault="000D6505" w:rsidP="000D6505">
      <w:r>
        <w:t xml:space="preserve">Em 2006, os </w:t>
      </w:r>
      <w:proofErr w:type="spellStart"/>
      <w:r>
        <w:t>Principles</w:t>
      </w:r>
      <w:proofErr w:type="spellEnd"/>
      <w:r>
        <w:t xml:space="preserve"> for </w:t>
      </w:r>
      <w:proofErr w:type="spellStart"/>
      <w:r>
        <w:t>Responsible</w:t>
      </w:r>
      <w:proofErr w:type="spellEnd"/>
      <w:r>
        <w:t xml:space="preserve"> </w:t>
      </w:r>
      <w:proofErr w:type="spellStart"/>
      <w:r>
        <w:t>Investment</w:t>
      </w:r>
      <w:proofErr w:type="spellEnd"/>
      <w:r>
        <w:t xml:space="preserve"> (PRI) foram lançados na Bolsa de Nova York, com 50 signatários iniciais; hoje, contam com mais de 5.300 signatários gerenciando US$ 121 trilhões. O Acordo de Paris e os 17 Objetivos de Desenvolvimento Sustentável (ODS) da ONU, em 2015, consolidaram o pilar ambiental. De 2018 a 2021, cartas anuais de Larry Fink, CEO da </w:t>
      </w:r>
      <w:proofErr w:type="spellStart"/>
      <w:r>
        <w:t>BlackRock</w:t>
      </w:r>
      <w:proofErr w:type="spellEnd"/>
      <w:r>
        <w:t>, exigiram métricas ESG de empresas investidas, acelerando a adoção institucional. Entre 2022 e 2025, regulamentações obrigatórias explodiram, como CSRD (UE), regra da SEC (EUA) e Instrução CVM 666 (Brasil), transformando ESG em compliance global.</w:t>
      </w:r>
    </w:p>
    <w:p w14:paraId="670573C1" w14:textId="77777777" w:rsidR="000D6505" w:rsidRDefault="000D6505" w:rsidP="000D6505"/>
    <w:p w14:paraId="57369126" w14:textId="5CC23FCB" w:rsidR="000D6505" w:rsidRDefault="000D6505" w:rsidP="000D6505">
      <w:r>
        <w:t>Infográfico 1: Fluxo Global de Ativos ESG (Gráfico de Linha em ASCII)</w:t>
      </w:r>
    </w:p>
    <w:p w14:paraId="636B3712" w14:textId="77777777" w:rsidR="000D6505" w:rsidRDefault="000D6505" w:rsidP="000D6505"/>
    <w:p w14:paraId="232C8655" w14:textId="77777777" w:rsidR="000D6505" w:rsidRDefault="000D6505" w:rsidP="000D6505">
      <w:r>
        <w:t>```</w:t>
      </w:r>
    </w:p>
    <w:p w14:paraId="7E2A27B8" w14:textId="77777777" w:rsidR="000D6505" w:rsidRDefault="000D6505" w:rsidP="000D6505">
      <w:r>
        <w:t>US</w:t>
      </w:r>
      <w:proofErr w:type="gramStart"/>
      <w:r>
        <w:t>$ Trilhões</w:t>
      </w:r>
      <w:proofErr w:type="gramEnd"/>
    </w:p>
    <w:p w14:paraId="3242AA91" w14:textId="77777777" w:rsidR="000D6505" w:rsidRDefault="000D6505" w:rsidP="000D6505">
      <w:r>
        <w:t xml:space="preserve">60 </w:t>
      </w:r>
      <w:r>
        <w:rPr>
          <w:rFonts w:ascii="MS Gothic" w:eastAsia="MS Gothic" w:hAnsi="MS Gothic" w:cs="MS Gothic" w:hint="eastAsia"/>
        </w:rPr>
        <w:t>┤</w:t>
      </w:r>
    </w:p>
    <w:p w14:paraId="429645BB" w14:textId="77777777" w:rsidR="000D6505" w:rsidRDefault="000D6505" w:rsidP="000D6505">
      <w:r>
        <w:t xml:space="preserve">50 </w:t>
      </w:r>
      <w:r>
        <w:rPr>
          <w:rFonts w:ascii="MS Gothic" w:eastAsia="MS Gothic" w:hAnsi="MS Gothic" w:cs="MS Gothic" w:hint="eastAsia"/>
        </w:rPr>
        <w:t>┤</w:t>
      </w:r>
      <w:r>
        <w:t xml:space="preserve">          </w:t>
      </w:r>
      <w:r>
        <w:rPr>
          <w:rFonts w:ascii="Arial" w:hAnsi="Arial" w:cs="Arial"/>
        </w:rPr>
        <w:t>█</w:t>
      </w:r>
      <w:r>
        <w:t xml:space="preserve"> (2025: 53T)</w:t>
      </w:r>
    </w:p>
    <w:p w14:paraId="19FDF499" w14:textId="77777777" w:rsidR="000D6505" w:rsidRDefault="000D6505" w:rsidP="000D6505">
      <w:r>
        <w:t xml:space="preserve">40 </w:t>
      </w:r>
      <w:r>
        <w:rPr>
          <w:rFonts w:ascii="MS Gothic" w:eastAsia="MS Gothic" w:hAnsi="MS Gothic" w:cs="MS Gothic" w:hint="eastAsia"/>
        </w:rPr>
        <w:t>┤</w:t>
      </w:r>
      <w:r>
        <w:t xml:space="preserve">       </w:t>
      </w:r>
      <w:r>
        <w:rPr>
          <w:rFonts w:ascii="Arial" w:hAnsi="Arial" w:cs="Arial"/>
        </w:rPr>
        <w:t>█</w:t>
      </w:r>
    </w:p>
    <w:p w14:paraId="3E9D4702" w14:textId="77777777" w:rsidR="000D6505" w:rsidRDefault="000D6505" w:rsidP="000D6505">
      <w:r>
        <w:t xml:space="preserve">30 </w:t>
      </w:r>
      <w:r>
        <w:rPr>
          <w:rFonts w:ascii="MS Gothic" w:eastAsia="MS Gothic" w:hAnsi="MS Gothic" w:cs="MS Gothic" w:hint="eastAsia"/>
        </w:rPr>
        <w:t>┤</w:t>
      </w:r>
      <w:r>
        <w:t xml:space="preserve">    </w:t>
      </w:r>
      <w:r>
        <w:rPr>
          <w:rFonts w:ascii="Arial" w:hAnsi="Arial" w:cs="Arial"/>
        </w:rPr>
        <w:t>█</w:t>
      </w:r>
    </w:p>
    <w:p w14:paraId="32B9DEC2" w14:textId="77777777" w:rsidR="000D6505" w:rsidRDefault="000D6505" w:rsidP="000D6505">
      <w:r>
        <w:t xml:space="preserve">20 </w:t>
      </w:r>
      <w:r>
        <w:rPr>
          <w:rFonts w:ascii="MS Gothic" w:eastAsia="MS Gothic" w:hAnsi="MS Gothic" w:cs="MS Gothic" w:hint="eastAsia"/>
        </w:rPr>
        <w:t>┤</w:t>
      </w:r>
      <w:r>
        <w:t xml:space="preserve"> </w:t>
      </w:r>
      <w:r>
        <w:rPr>
          <w:rFonts w:ascii="Arial" w:hAnsi="Arial" w:cs="Arial"/>
        </w:rPr>
        <w:t>█</w:t>
      </w:r>
    </w:p>
    <w:p w14:paraId="1FA399D0" w14:textId="77777777" w:rsidR="000D6505" w:rsidRDefault="000D6505" w:rsidP="000D6505">
      <w:r>
        <w:t xml:space="preserve">10 </w:t>
      </w:r>
      <w:r>
        <w:rPr>
          <w:rFonts w:ascii="MS Gothic" w:eastAsia="MS Gothic" w:hAnsi="MS Gothic" w:cs="MS Gothic" w:hint="eastAsia"/>
        </w:rPr>
        <w:t>┤</w:t>
      </w:r>
    </w:p>
    <w:p w14:paraId="6250722A" w14:textId="77777777" w:rsidR="000D6505" w:rsidRDefault="000D6505" w:rsidP="000D6505">
      <w:r>
        <w:t xml:space="preserve"> 0 </w:t>
      </w:r>
      <w:r>
        <w:rPr>
          <w:rFonts w:ascii="MS Gothic" w:eastAsia="MS Gothic" w:hAnsi="MS Gothic" w:cs="MS Gothic" w:hint="eastAsia"/>
        </w:rPr>
        <w:t>┤</w:t>
      </w:r>
      <w:r>
        <w:t xml:space="preserve"> 2006 2015 2020 2025</w:t>
      </w:r>
    </w:p>
    <w:p w14:paraId="4338988A" w14:textId="77777777" w:rsidR="000D6505" w:rsidRDefault="000D6505" w:rsidP="000D6505">
      <w:r>
        <w:t xml:space="preserve">Fonte: </w:t>
      </w:r>
      <w:proofErr w:type="spellStart"/>
      <w:r>
        <w:t>BloombergNEF</w:t>
      </w:r>
      <w:proofErr w:type="spellEnd"/>
      <w:r>
        <w:t>, 2025</w:t>
      </w:r>
    </w:p>
    <w:p w14:paraId="6D40B375" w14:textId="77777777" w:rsidR="000D6505" w:rsidRDefault="000D6505" w:rsidP="000D6505">
      <w:r>
        <w:t>```</w:t>
      </w:r>
    </w:p>
    <w:p w14:paraId="66317AB9" w14:textId="77777777" w:rsidR="000D6505" w:rsidRDefault="000D6505" w:rsidP="000D6505"/>
    <w:p w14:paraId="133E08B7" w14:textId="76BC3E27" w:rsidR="000D6505" w:rsidRDefault="000D6505" w:rsidP="000D6505">
      <w:r>
        <w:t xml:space="preserve"> 2. Os Três Pilares do ESG em 2025</w:t>
      </w:r>
    </w:p>
    <w:p w14:paraId="4DE11179" w14:textId="77777777" w:rsidR="000D6505" w:rsidRDefault="000D6505" w:rsidP="000D6505"/>
    <w:p w14:paraId="4E682340" w14:textId="77777777" w:rsidR="000D6505" w:rsidRDefault="000D6505" w:rsidP="000D6505">
      <w:r>
        <w:t>ESG é um framework para avaliar o desempenho de empresas em três dimensões interconectadas: Ambiental (E), Social (S) e Governança (G). Em 2025, essas definições são padronizadas por normas como ISSB (IFRS S1 e S2) e CSRD (ESRS), com foco em materialidade dupla (impacto financeiro e societal).</w:t>
      </w:r>
    </w:p>
    <w:p w14:paraId="0C1D355B" w14:textId="77777777" w:rsidR="000D6505" w:rsidRDefault="000D6505" w:rsidP="000D6505"/>
    <w:p w14:paraId="57949523" w14:textId="251CC8C9" w:rsidR="000D6505" w:rsidRDefault="000D6505" w:rsidP="000D6505">
      <w:r>
        <w:t>Ambiental (E): Aborda impactos no planeta, incluindo emissões de GEE (</w:t>
      </w:r>
      <w:proofErr w:type="spellStart"/>
      <w:r>
        <w:t>Scope</w:t>
      </w:r>
      <w:proofErr w:type="spellEnd"/>
      <w:r>
        <w:t xml:space="preserve"> 1, 2 e 3), uso de recursos hídricos e energéticos, biodiversidade, gestão de resíduos e economia circular. Em 2025, requer planos de transição climática alinhados ao limite de 1,5°C do Acordo de Paris, com métricas como toneladas de CO₂ equivalente (</w:t>
      </w:r>
      <w:proofErr w:type="spellStart"/>
      <w:r>
        <w:t>tCO₂e</w:t>
      </w:r>
      <w:proofErr w:type="spellEnd"/>
      <w:r>
        <w:t>) e eficiência energética.</w:t>
      </w:r>
    </w:p>
    <w:p w14:paraId="7A2A3894" w14:textId="77777777" w:rsidR="000D6505" w:rsidRDefault="000D6505" w:rsidP="000D6505"/>
    <w:p w14:paraId="40C96FF0" w14:textId="732EC85F" w:rsidR="000D6505" w:rsidRDefault="000D6505" w:rsidP="000D6505">
      <w:r>
        <w:t>Social (S): Foca em pessoas e comunidades, abrangendo direitos humanos na cadeia de suprimentos, diversidade, equidade e inclusão (DEI – raça, gênero, PCD, LGBTQIA+), saúde e segurança ocupacional, desenvolvimento comunitário e proteção de dados/privacidade.</w:t>
      </w:r>
    </w:p>
    <w:p w14:paraId="0AD832DE" w14:textId="77777777" w:rsidR="000D6505" w:rsidRDefault="000D6505" w:rsidP="000D6505"/>
    <w:p w14:paraId="2324189C" w14:textId="2DC8AFB7" w:rsidR="000D6505" w:rsidRDefault="000D6505" w:rsidP="000D6505">
      <w:r>
        <w:t>Governança (G): Envolve estruturas internas, como independência do conselho, remuneração atrelada a metas ESG, políticas anticorrupção, transparência fiscal (ex.: Pillar 2 da OCDE) e gestão de riscos cibernéticos.</w:t>
      </w:r>
    </w:p>
    <w:p w14:paraId="3AD0E7B9" w14:textId="77777777" w:rsidR="000D6505" w:rsidRDefault="000D6505" w:rsidP="000D6505"/>
    <w:p w14:paraId="7B566FE2" w14:textId="1DF1A6D6" w:rsidR="000D6505" w:rsidRDefault="000D6505" w:rsidP="000D6505">
      <w:r>
        <w:t>Infográfico 2: Pilares do ESG (Tabela Comparativa)</w:t>
      </w:r>
    </w:p>
    <w:p w14:paraId="3E0F1C79" w14:textId="77777777" w:rsidR="000D6505" w:rsidRDefault="000D6505" w:rsidP="000D6505"/>
    <w:p w14:paraId="64C43309" w14:textId="77777777" w:rsidR="000D6505" w:rsidRDefault="000D6505" w:rsidP="000D6505">
      <w:r>
        <w:t>| Pilar | Temas Principais (2025) | Regulamentações Obrigatórias | Exemplos de Métricas |</w:t>
      </w:r>
    </w:p>
    <w:p w14:paraId="55E6BB62" w14:textId="77777777" w:rsidR="000D6505" w:rsidRDefault="000D6505" w:rsidP="000D6505">
      <w:r>
        <w:t>|-------|--------------------------|------------------------------|----------------------|</w:t>
      </w:r>
    </w:p>
    <w:p w14:paraId="0FAF73A6" w14:textId="77777777" w:rsidR="000D6505" w:rsidRDefault="000D6505" w:rsidP="000D6505">
      <w:r>
        <w:t xml:space="preserve">| E     | Emissões, Água, Biodiversidade | CSRD ESRS E1–E5, ISSB S2    | </w:t>
      </w:r>
      <w:proofErr w:type="spellStart"/>
      <w:r>
        <w:t>tCO₂e</w:t>
      </w:r>
      <w:proofErr w:type="spellEnd"/>
      <w:r>
        <w:t>, % Energia Renovável |</w:t>
      </w:r>
    </w:p>
    <w:p w14:paraId="58F46100" w14:textId="77777777" w:rsidR="000D6505" w:rsidRDefault="000D6505" w:rsidP="000D6505">
      <w:r>
        <w:t>| S     | DEI, Direitos Humanos    | CSRD ESRS S1–S4, ISSB S1    | % Mulheres no Conselho, Taxa de Acidentes |</w:t>
      </w:r>
    </w:p>
    <w:p w14:paraId="323A1198" w14:textId="77777777" w:rsidR="000D6505" w:rsidRDefault="000D6505" w:rsidP="000D6505">
      <w:r>
        <w:t>| G     | Anticorrupção, Transparência | CSRD ESRS G1                | Índice de Independência do Conselho |</w:t>
      </w:r>
    </w:p>
    <w:p w14:paraId="78C1D0D4" w14:textId="77777777" w:rsidR="000D6505" w:rsidRDefault="000D6505" w:rsidP="000D6505"/>
    <w:p w14:paraId="3E754256" w14:textId="77777777" w:rsidR="000D6505" w:rsidRDefault="000D6505" w:rsidP="000D6505">
      <w:r>
        <w:t>Fonte: ISSB e CSRD, 2025</w:t>
      </w:r>
    </w:p>
    <w:p w14:paraId="337EB7AF" w14:textId="77777777" w:rsidR="000D6505" w:rsidRDefault="000D6505" w:rsidP="000D6505"/>
    <w:p w14:paraId="1F597145" w14:textId="33178E5D" w:rsidR="000D6505" w:rsidRDefault="000D6505" w:rsidP="000D6505">
      <w:r>
        <w:t xml:space="preserve"> 3. Green IT como Principal Vetor do Pilar Ambiental</w:t>
      </w:r>
    </w:p>
    <w:p w14:paraId="455B1C7D" w14:textId="77777777" w:rsidR="000D6505" w:rsidRDefault="000D6505" w:rsidP="000D6505"/>
    <w:p w14:paraId="5360B8A2" w14:textId="77777777" w:rsidR="000D6505" w:rsidRDefault="000D6505" w:rsidP="000D6505">
      <w:r>
        <w:t xml:space="preserve">Em 2025, o setor de TI consome 1.000–1.400 </w:t>
      </w:r>
      <w:proofErr w:type="spellStart"/>
      <w:r>
        <w:t>TWh</w:t>
      </w:r>
      <w:proofErr w:type="spellEnd"/>
      <w:r>
        <w:t xml:space="preserve">/ano globalmente (3–4% da eletricidade mundial), projetado para 8% até 2030 sem intervenções, segundo a IEA. No Brasil, representa 2,8–3,2% das emissões nacionais. Green IT refere-se a práticas sustentáveis em tecnologia, reduzindo impactos via hardware eficiente, software otimizado e operações circulares. Relacionado ao ESG, Green IT fortalece o pilar Ambiental ao minimizar emissões </w:t>
      </w:r>
      <w:proofErr w:type="spellStart"/>
      <w:r>
        <w:t>Scope</w:t>
      </w:r>
      <w:proofErr w:type="spellEnd"/>
      <w:r>
        <w:t xml:space="preserve"> 3 (cadeia de suprimentos de TI), promove o Social via inclusão digital sustentável e apoia a Governança com compliance regulatório, como relatórios CVM 666 no Brasil. Práticas incluem otimização de data centers para PUE &lt;1,3, uso de IA para eficiência energética (redução de 30–40% em refrigeração) e migração para nuvens renováveis, integrando-se a metas ODS como o 7 (energia limpa) e 12 (consumo responsável). No contexto ESG, Green IT reduz custos operacionais em até 25–40% enquanto melhora ratings de sustentabilidade (ex.: MSCI, S&amp;P), evitando </w:t>
      </w:r>
      <w:proofErr w:type="spellStart"/>
      <w:r>
        <w:t>greenwashing</w:t>
      </w:r>
      <w:proofErr w:type="spellEnd"/>
      <w:r>
        <w:t xml:space="preserve"> ao fornecer dados auditáveis.</w:t>
      </w:r>
    </w:p>
    <w:p w14:paraId="4097F4CB" w14:textId="77777777" w:rsidR="000D6505" w:rsidRDefault="000D6505" w:rsidP="000D6505"/>
    <w:p w14:paraId="2096F6B3" w14:textId="672A571F" w:rsidR="000D6505" w:rsidRDefault="000D6505" w:rsidP="000D6505">
      <w:r>
        <w:t xml:space="preserve">Práticas Principais (com Reduções Comprovadas, Gartner/IEA 2025):  </w:t>
      </w:r>
    </w:p>
    <w:p w14:paraId="5A82FA88" w14:textId="77777777" w:rsidR="000D6505" w:rsidRDefault="000D6505" w:rsidP="000D6505">
      <w:r>
        <w:t xml:space="preserve">- Virtualização e consolidação de servidores: Redução de 70–85% no consumo energético.  </w:t>
      </w:r>
    </w:p>
    <w:p w14:paraId="6DD21483" w14:textId="77777777" w:rsidR="000D6505" w:rsidRDefault="000D6505" w:rsidP="000D6505">
      <w:r>
        <w:t xml:space="preserve">- Migração para </w:t>
      </w:r>
      <w:proofErr w:type="spellStart"/>
      <w:r>
        <w:t>hyperscalers</w:t>
      </w:r>
      <w:proofErr w:type="spellEnd"/>
      <w:r>
        <w:t xml:space="preserve"> com 100% energia renovável: Elimina </w:t>
      </w:r>
      <w:proofErr w:type="spellStart"/>
      <w:r>
        <w:t>Scope</w:t>
      </w:r>
      <w:proofErr w:type="spellEnd"/>
      <w:r>
        <w:t xml:space="preserve"> 2 quase totalmente.  </w:t>
      </w:r>
    </w:p>
    <w:p w14:paraId="2F69CF04" w14:textId="77777777" w:rsidR="000D6505" w:rsidRDefault="000D6505" w:rsidP="000D6505">
      <w:r>
        <w:t xml:space="preserve">- </w:t>
      </w:r>
      <w:proofErr w:type="spellStart"/>
      <w:r>
        <w:t>Liquid</w:t>
      </w:r>
      <w:proofErr w:type="spellEnd"/>
      <w:r>
        <w:t>/</w:t>
      </w:r>
      <w:proofErr w:type="spellStart"/>
      <w:r>
        <w:t>immersion</w:t>
      </w:r>
      <w:proofErr w:type="spellEnd"/>
      <w:r>
        <w:t xml:space="preserve"> </w:t>
      </w:r>
      <w:proofErr w:type="spellStart"/>
      <w:r>
        <w:t>cooling</w:t>
      </w:r>
      <w:proofErr w:type="spellEnd"/>
      <w:r>
        <w:t xml:space="preserve">: PUE cai de 1,5 para 1,05–1,15.  </w:t>
      </w:r>
    </w:p>
    <w:p w14:paraId="093795D0" w14:textId="77777777" w:rsidR="000D6505" w:rsidRDefault="000D6505" w:rsidP="000D6505">
      <w:r>
        <w:t xml:space="preserve">- Processadores ARM/RISC-V: Até 40% menos consumo que x86.  </w:t>
      </w:r>
    </w:p>
    <w:p w14:paraId="347AF95F" w14:textId="77777777" w:rsidR="000D6505" w:rsidRDefault="000D6505" w:rsidP="000D6505">
      <w:r>
        <w:t xml:space="preserve">- Economia circular: Recondicionamento e reciclagem de terras raras.  </w:t>
      </w:r>
    </w:p>
    <w:p w14:paraId="6CBD7CD0" w14:textId="77777777" w:rsidR="000D6505" w:rsidRDefault="000D6505" w:rsidP="000D6505">
      <w:r>
        <w:t xml:space="preserve">- Edge </w:t>
      </w:r>
      <w:proofErr w:type="spellStart"/>
      <w:r>
        <w:t>computing</w:t>
      </w:r>
      <w:proofErr w:type="spellEnd"/>
      <w:r>
        <w:t xml:space="preserve"> + 5G/6G: Reduz tráfego em 60%.  </w:t>
      </w:r>
    </w:p>
    <w:p w14:paraId="3C6A2675" w14:textId="77777777" w:rsidR="000D6505" w:rsidRDefault="000D6505" w:rsidP="000D6505">
      <w:r>
        <w:t xml:space="preserve">- IA para otimização: Redução de 30–40% em refrigeração (ex.: </w:t>
      </w:r>
      <w:proofErr w:type="spellStart"/>
      <w:r>
        <w:t>DeepMind</w:t>
      </w:r>
      <w:proofErr w:type="spellEnd"/>
      <w:r>
        <w:t>).</w:t>
      </w:r>
    </w:p>
    <w:p w14:paraId="4F5229C0" w14:textId="77777777" w:rsidR="000D6505" w:rsidRDefault="000D6505" w:rsidP="000D6505"/>
    <w:p w14:paraId="1E187D06" w14:textId="37B3271B" w:rsidR="000D6505" w:rsidRDefault="000D6505" w:rsidP="000D6505">
      <w:r>
        <w:lastRenderedPageBreak/>
        <w:t xml:space="preserve">Métricas Obrigatórias (2025): PUE (&lt;1,3), WUE, CUE, % renovável, </w:t>
      </w:r>
      <w:proofErr w:type="spellStart"/>
      <w:r>
        <w:t>Scope</w:t>
      </w:r>
      <w:proofErr w:type="spellEnd"/>
      <w:r>
        <w:t xml:space="preserve"> 3 (categorias 1 e 8).</w:t>
      </w:r>
    </w:p>
    <w:p w14:paraId="2C811397" w14:textId="77777777" w:rsidR="000D6505" w:rsidRDefault="000D6505" w:rsidP="000D6505"/>
    <w:p w14:paraId="6ED95B79" w14:textId="09377370" w:rsidR="000D6505" w:rsidRDefault="000D6505" w:rsidP="000D6505">
      <w:r>
        <w:t>Infográfico 3: Reduções por Prática Green IT (Gráfico de Barras em ASCII)</w:t>
      </w:r>
    </w:p>
    <w:p w14:paraId="23972612" w14:textId="77777777" w:rsidR="000D6505" w:rsidRDefault="000D6505" w:rsidP="000D6505"/>
    <w:p w14:paraId="789C56C7" w14:textId="77777777" w:rsidR="000D6505" w:rsidRDefault="000D6505" w:rsidP="000D6505">
      <w:r>
        <w:t>```</w:t>
      </w:r>
    </w:p>
    <w:p w14:paraId="20BA131F" w14:textId="77777777" w:rsidR="000D6505" w:rsidRDefault="000D6505" w:rsidP="000D6505">
      <w:r>
        <w:t>Redução de Energia (%)</w:t>
      </w:r>
    </w:p>
    <w:p w14:paraId="1D7C456F" w14:textId="77777777" w:rsidR="000D6505" w:rsidRDefault="000D6505" w:rsidP="000D6505">
      <w:r>
        <w:t xml:space="preserve">90 </w:t>
      </w:r>
      <w:r>
        <w:rPr>
          <w:rFonts w:ascii="MS Gothic" w:eastAsia="MS Gothic" w:hAnsi="MS Gothic" w:cs="MS Gothic" w:hint="eastAsia"/>
        </w:rPr>
        <w:t>┤</w:t>
      </w:r>
    </w:p>
    <w:p w14:paraId="43807D81" w14:textId="77777777" w:rsidR="000D6505" w:rsidRDefault="000D6505" w:rsidP="000D6505">
      <w:r>
        <w:t xml:space="preserve">80 </w:t>
      </w:r>
      <w:r>
        <w:rPr>
          <w:rFonts w:ascii="MS Gothic" w:eastAsia="MS Gothic" w:hAnsi="MS Gothic" w:cs="MS Gothic" w:hint="eastAsia"/>
        </w:rPr>
        <w:t>┤</w:t>
      </w:r>
      <w:r>
        <w:t xml:space="preserve"> </w:t>
      </w:r>
      <w:r>
        <w:rPr>
          <w:rFonts w:ascii="Arial" w:hAnsi="Arial" w:cs="Arial"/>
        </w:rPr>
        <w:t>█</w:t>
      </w:r>
      <w:r>
        <w:t xml:space="preserve"> (Virtualiza</w:t>
      </w:r>
      <w:r>
        <w:rPr>
          <w:rFonts w:ascii="Calibri" w:hAnsi="Calibri" w:cs="Calibri"/>
        </w:rPr>
        <w:t>çã</w:t>
      </w:r>
      <w:r>
        <w:t>o: 70-85%)</w:t>
      </w:r>
    </w:p>
    <w:p w14:paraId="335B90F6" w14:textId="77777777" w:rsidR="000D6505" w:rsidRDefault="000D6505" w:rsidP="000D6505">
      <w:r>
        <w:t xml:space="preserve">70 </w:t>
      </w:r>
      <w:r>
        <w:rPr>
          <w:rFonts w:ascii="MS Gothic" w:eastAsia="MS Gothic" w:hAnsi="MS Gothic" w:cs="MS Gothic" w:hint="eastAsia"/>
        </w:rPr>
        <w:t>┤</w:t>
      </w:r>
    </w:p>
    <w:p w14:paraId="5AD4F1B3" w14:textId="77777777" w:rsidR="000D6505" w:rsidRDefault="000D6505" w:rsidP="000D6505">
      <w:r>
        <w:t xml:space="preserve">60 </w:t>
      </w:r>
      <w:r>
        <w:rPr>
          <w:rFonts w:ascii="MS Gothic" w:eastAsia="MS Gothic" w:hAnsi="MS Gothic" w:cs="MS Gothic" w:hint="eastAsia"/>
        </w:rPr>
        <w:t>┤</w:t>
      </w:r>
      <w:r>
        <w:t xml:space="preserve">     </w:t>
      </w:r>
      <w:r>
        <w:rPr>
          <w:rFonts w:ascii="Arial" w:hAnsi="Arial" w:cs="Arial"/>
        </w:rPr>
        <w:t>█</w:t>
      </w:r>
      <w:r>
        <w:t xml:space="preserve"> (Edge: 60%)</w:t>
      </w:r>
    </w:p>
    <w:p w14:paraId="3649530B" w14:textId="77777777" w:rsidR="000D6505" w:rsidRDefault="000D6505" w:rsidP="000D6505">
      <w:r>
        <w:t xml:space="preserve">50 </w:t>
      </w:r>
      <w:r>
        <w:rPr>
          <w:rFonts w:ascii="MS Gothic" w:eastAsia="MS Gothic" w:hAnsi="MS Gothic" w:cs="MS Gothic" w:hint="eastAsia"/>
        </w:rPr>
        <w:t>┤</w:t>
      </w:r>
    </w:p>
    <w:p w14:paraId="36039FDE" w14:textId="77777777" w:rsidR="000D6505" w:rsidRDefault="000D6505" w:rsidP="000D6505">
      <w:r>
        <w:t xml:space="preserve">40 </w:t>
      </w:r>
      <w:r>
        <w:rPr>
          <w:rFonts w:ascii="MS Gothic" w:eastAsia="MS Gothic" w:hAnsi="MS Gothic" w:cs="MS Gothic" w:hint="eastAsia"/>
        </w:rPr>
        <w:t>┤</w:t>
      </w:r>
      <w:r>
        <w:t xml:space="preserve">         </w:t>
      </w:r>
      <w:r>
        <w:rPr>
          <w:rFonts w:ascii="Arial" w:hAnsi="Arial" w:cs="Arial"/>
        </w:rPr>
        <w:t>█</w:t>
      </w:r>
      <w:r>
        <w:t xml:space="preserve"> (ARM: 40%)</w:t>
      </w:r>
    </w:p>
    <w:p w14:paraId="4418DD71" w14:textId="77777777" w:rsidR="000D6505" w:rsidRDefault="000D6505" w:rsidP="000D6505">
      <w:r>
        <w:t xml:space="preserve">30 </w:t>
      </w:r>
      <w:r>
        <w:rPr>
          <w:rFonts w:ascii="MS Gothic" w:eastAsia="MS Gothic" w:hAnsi="MS Gothic" w:cs="MS Gothic" w:hint="eastAsia"/>
        </w:rPr>
        <w:t>┤</w:t>
      </w:r>
      <w:r>
        <w:t xml:space="preserve">             </w:t>
      </w:r>
      <w:r>
        <w:rPr>
          <w:rFonts w:ascii="Arial" w:hAnsi="Arial" w:cs="Arial"/>
        </w:rPr>
        <w:t>█</w:t>
      </w:r>
      <w:r>
        <w:t xml:space="preserve"> (IA: 30-40%)</w:t>
      </w:r>
    </w:p>
    <w:p w14:paraId="08F41112" w14:textId="77777777" w:rsidR="000D6505" w:rsidRDefault="000D6505" w:rsidP="000D6505">
      <w:r>
        <w:t xml:space="preserve">20 </w:t>
      </w:r>
      <w:r>
        <w:rPr>
          <w:rFonts w:ascii="MS Gothic" w:eastAsia="MS Gothic" w:hAnsi="MS Gothic" w:cs="MS Gothic" w:hint="eastAsia"/>
        </w:rPr>
        <w:t>┤</w:t>
      </w:r>
    </w:p>
    <w:p w14:paraId="163F8AED" w14:textId="77777777" w:rsidR="000D6505" w:rsidRDefault="000D6505" w:rsidP="000D6505">
      <w:r>
        <w:t xml:space="preserve">10 </w:t>
      </w:r>
      <w:r>
        <w:rPr>
          <w:rFonts w:ascii="MS Gothic" w:eastAsia="MS Gothic" w:hAnsi="MS Gothic" w:cs="MS Gothic" w:hint="eastAsia"/>
        </w:rPr>
        <w:t>┤</w:t>
      </w:r>
    </w:p>
    <w:p w14:paraId="1EC16018" w14:textId="77777777" w:rsidR="000D6505" w:rsidRDefault="000D6505" w:rsidP="000D6505">
      <w:r>
        <w:t xml:space="preserve"> 0 </w:t>
      </w:r>
      <w:r>
        <w:rPr>
          <w:rFonts w:ascii="MS Gothic" w:eastAsia="MS Gothic" w:hAnsi="MS Gothic" w:cs="MS Gothic" w:hint="eastAsia"/>
        </w:rPr>
        <w:t>┤</w:t>
      </w:r>
      <w:r>
        <w:t xml:space="preserve"> </w:t>
      </w:r>
      <w:proofErr w:type="spellStart"/>
      <w:r>
        <w:t>Virt</w:t>
      </w:r>
      <w:proofErr w:type="spellEnd"/>
      <w:r>
        <w:t xml:space="preserve">.  </w:t>
      </w:r>
      <w:proofErr w:type="gramStart"/>
      <w:r>
        <w:t>Edge  ARM</w:t>
      </w:r>
      <w:proofErr w:type="gramEnd"/>
      <w:r>
        <w:t xml:space="preserve">   IA</w:t>
      </w:r>
    </w:p>
    <w:p w14:paraId="7B9042D2" w14:textId="77777777" w:rsidR="000D6505" w:rsidRDefault="000D6505" w:rsidP="000D6505">
      <w:r>
        <w:t>Fonte: Gartner, 2025</w:t>
      </w:r>
    </w:p>
    <w:p w14:paraId="686064C7" w14:textId="77777777" w:rsidR="000D6505" w:rsidRDefault="000D6505" w:rsidP="000D6505">
      <w:r>
        <w:t>```</w:t>
      </w:r>
    </w:p>
    <w:p w14:paraId="5507151C" w14:textId="77777777" w:rsidR="000D6505" w:rsidRDefault="000D6505" w:rsidP="000D6505"/>
    <w:p w14:paraId="0BC1C5D1" w14:textId="61ED6494" w:rsidR="000D6505" w:rsidRDefault="000D6505" w:rsidP="000D6505">
      <w:r>
        <w:t xml:space="preserve"> 4. Casos de Sucesso Reais e Mensuráveis (2023–2025, com Ênfase em Brasileiros)</w:t>
      </w:r>
    </w:p>
    <w:p w14:paraId="23CE92F5" w14:textId="77777777" w:rsidR="000D6505" w:rsidRDefault="000D6505" w:rsidP="000D6505"/>
    <w:p w14:paraId="46E8850A" w14:textId="77777777" w:rsidR="000D6505" w:rsidRDefault="000D6505" w:rsidP="000D6505">
      <w:r>
        <w:t xml:space="preserve">Empresas brasileiras destacam-se no ESG, com 24 listadas no S&amp;P Global Sustainability </w:t>
      </w:r>
      <w:proofErr w:type="spellStart"/>
      <w:r>
        <w:t>Yearbook</w:t>
      </w:r>
      <w:proofErr w:type="spellEnd"/>
      <w:r>
        <w:t xml:space="preserve"> 2025, incluindo Klabin no Top 1% global. Um estudo de 77 grandes empresas no Brasil (ex.: Itaú, Natura, Petrobras) mostra avanços em relatórios de sustentabilidade. No Anuário Integridade ESG 2025, Natura lidera o ranking, seguida por Banco do Brasil, Ambev, Bradesco e Itaipu Binacional, destacando integração de práticas ESG com impacto mensurável. No prêmio Melhores do ESG 2025 da Exame, Vivo é Empresa do Ano, com vencedores como 3Tentos Agroindustrial (Agronegócio) e outros setores. Outros casos incluem O Boticário, Uber, Magazine Luiza, Carrefour, Suzano, </w:t>
      </w:r>
      <w:proofErr w:type="spellStart"/>
      <w:r>
        <w:t>YouGreen</w:t>
      </w:r>
      <w:proofErr w:type="spellEnd"/>
      <w:r>
        <w:t>, Fazenda da Toca, SESC Garanhuns e Grupo Tiradentes, com foco em ações sociais e ambientais.</w:t>
      </w:r>
    </w:p>
    <w:p w14:paraId="6144A7C6" w14:textId="77777777" w:rsidR="000D6505" w:rsidRDefault="000D6505" w:rsidP="000D6505"/>
    <w:p w14:paraId="21E53A49" w14:textId="5175D357" w:rsidR="000D6505" w:rsidRDefault="000D6505" w:rsidP="000D6505">
      <w:r>
        <w:t>Natura &amp;Co: Carbono neutro desde 2007; reduziu 47% emissões absolutas (2019–2024); usa blockchain para rastreabilidade de ingredientes amazônicos, alinhando a ODS 13 e 15.</w:t>
      </w:r>
    </w:p>
    <w:p w14:paraId="71F9D6D0" w14:textId="77777777" w:rsidR="000D6505" w:rsidRDefault="000D6505" w:rsidP="000D6505"/>
    <w:p w14:paraId="18B2D0AB" w14:textId="2A084E85" w:rsidR="000D6505" w:rsidRDefault="000D6505" w:rsidP="000D6505">
      <w:r>
        <w:lastRenderedPageBreak/>
        <w:t>Itaú Unibanco: Carteira verde de R$ 400 bilhões; reduziu 62% consumo de energia de TI (2018–2024); migrou data centers para nuvem renovável, com nota A no CDP.</w:t>
      </w:r>
    </w:p>
    <w:p w14:paraId="1EFBE134" w14:textId="77777777" w:rsidR="000D6505" w:rsidRDefault="000D6505" w:rsidP="000D6505"/>
    <w:p w14:paraId="3FFB3A65" w14:textId="24E6D750" w:rsidR="000D6505" w:rsidRDefault="000D6505" w:rsidP="000D6505">
      <w:r>
        <w:t>Banco do Brasil: 100% energia renovável em prédios e data centers; aderiu ao Net Zero Banking Alliance; relatório ESG 2024 integra metas sociais como inclusão financeira rural; destaque em práticas sociais e de governança.</w:t>
      </w:r>
    </w:p>
    <w:p w14:paraId="23FBF881" w14:textId="77777777" w:rsidR="000D6505" w:rsidRDefault="000D6505" w:rsidP="000D6505"/>
    <w:p w14:paraId="14792F1A" w14:textId="6F01DE78" w:rsidR="000D6505" w:rsidRDefault="000D6505" w:rsidP="000D6505">
      <w:r>
        <w:t xml:space="preserve">Telefônica/Vivo: 89% energia renovável; reduziu 90% emissões </w:t>
      </w:r>
      <w:proofErr w:type="spellStart"/>
      <w:r>
        <w:t>Scope</w:t>
      </w:r>
      <w:proofErr w:type="spellEnd"/>
      <w:r>
        <w:t xml:space="preserve"> 1+2 vs. 2015; programas de reciclagem de 1,2 milhão de aparelhos/ano; premiada como Empresa do Ano no Melhores do ESG 2025.</w:t>
      </w:r>
    </w:p>
    <w:p w14:paraId="0810C1CE" w14:textId="77777777" w:rsidR="000D6505" w:rsidRDefault="000D6505" w:rsidP="000D6505"/>
    <w:p w14:paraId="05E7A8A6" w14:textId="3ACF5810" w:rsidR="000D6505" w:rsidRDefault="000D6505" w:rsidP="000D6505">
      <w:r>
        <w:t xml:space="preserve">Klabin: 68% energia de biomassa própria; captura de carbono em plantações de eucalipto; nota A- no CDP </w:t>
      </w:r>
      <w:proofErr w:type="spellStart"/>
      <w:r>
        <w:t>Forests</w:t>
      </w:r>
      <w:proofErr w:type="spellEnd"/>
      <w:r>
        <w:t xml:space="preserve"> 2024; Top 1% S&amp;P Global.</w:t>
      </w:r>
    </w:p>
    <w:p w14:paraId="233D8D3F" w14:textId="77777777" w:rsidR="000D6505" w:rsidRDefault="000D6505" w:rsidP="000D6505"/>
    <w:p w14:paraId="0B60726C" w14:textId="1B077C44" w:rsidR="000D6505" w:rsidRDefault="000D6505" w:rsidP="000D6505">
      <w:r>
        <w:t>Ambev: Reduziu consumo hídrico em 20%; metas net-zero até 2040; integra Green IT em otimização de servidores; destaque no ranking Integridade ESG 2025.</w:t>
      </w:r>
    </w:p>
    <w:p w14:paraId="0E12461F" w14:textId="77777777" w:rsidR="000D6505" w:rsidRDefault="000D6505" w:rsidP="000D6505"/>
    <w:p w14:paraId="6E18BF2B" w14:textId="1DF62BE0" w:rsidR="000D6505" w:rsidRDefault="000D6505" w:rsidP="000D6505">
      <w:r>
        <w:t>Vale: Avanços em reparação de Brumadinho; metas de redução de emissões em mineração; nota alta no ISE B3.</w:t>
      </w:r>
    </w:p>
    <w:p w14:paraId="466ABF65" w14:textId="77777777" w:rsidR="000D6505" w:rsidRDefault="000D6505" w:rsidP="000D6505"/>
    <w:p w14:paraId="083D5964" w14:textId="31EA1611" w:rsidR="000D6505" w:rsidRDefault="000D6505" w:rsidP="000D6505">
      <w:r>
        <w:t xml:space="preserve">Petrobras: Relatório 2024 apresenta estratégia ESG com foco em transição energética; reduziu emissões em operações </w:t>
      </w:r>
      <w:proofErr w:type="spellStart"/>
      <w:r>
        <w:t>upstream</w:t>
      </w:r>
      <w:proofErr w:type="spellEnd"/>
      <w:r>
        <w:t>.</w:t>
      </w:r>
    </w:p>
    <w:p w14:paraId="349B00AF" w14:textId="77777777" w:rsidR="000D6505" w:rsidRDefault="000D6505" w:rsidP="000D6505"/>
    <w:p w14:paraId="39760B9F" w14:textId="24C1AB6A" w:rsidR="000D6505" w:rsidRDefault="000D6505" w:rsidP="000D6505">
      <w:r>
        <w:t>Suzano: Transformou práticas sociais e de governança em pilares de sucesso, com foco em biodiversidade e comunidades.</w:t>
      </w:r>
    </w:p>
    <w:p w14:paraId="00A8A8A2" w14:textId="77777777" w:rsidR="000D6505" w:rsidRDefault="000D6505" w:rsidP="000D6505"/>
    <w:p w14:paraId="615A0878" w14:textId="20206C4A" w:rsidR="000D6505" w:rsidRDefault="000D6505" w:rsidP="000D6505">
      <w:r>
        <w:t>O Boticário: Iniciativas em sustentabilidade ambiental e social, como preservação de biomas.</w:t>
      </w:r>
    </w:p>
    <w:p w14:paraId="5603D795" w14:textId="77777777" w:rsidR="000D6505" w:rsidRDefault="000D6505" w:rsidP="000D6505"/>
    <w:p w14:paraId="6C725B53" w14:textId="3955F8CD" w:rsidR="000D6505" w:rsidRDefault="000D6505" w:rsidP="000D6505">
      <w:r>
        <w:t>Magazine Luiza: Programas de inclusão e diversidade, com metas ESG integradas ao negócio.</w:t>
      </w:r>
    </w:p>
    <w:p w14:paraId="7A266414" w14:textId="77777777" w:rsidR="000D6505" w:rsidRDefault="000D6505" w:rsidP="000D6505"/>
    <w:p w14:paraId="2DDA46E2" w14:textId="730BB4F1" w:rsidR="000D6505" w:rsidRDefault="000D6505" w:rsidP="000D6505">
      <w:r>
        <w:t>Carrefour: Ênfase em cadeia de suprimentos sustentável e redução de plásticos.</w:t>
      </w:r>
    </w:p>
    <w:p w14:paraId="29DE0A12" w14:textId="77777777" w:rsidR="000D6505" w:rsidRDefault="000D6505" w:rsidP="000D6505"/>
    <w:p w14:paraId="46351055" w14:textId="0AC55677" w:rsidR="000D6505" w:rsidRDefault="000D6505" w:rsidP="000D6505">
      <w:r>
        <w:t>3Tentos Agroindustrial: Vencedora em Agronegócio no Melhores do ESG 2025, com práticas regenerativas.</w:t>
      </w:r>
    </w:p>
    <w:p w14:paraId="7CC064C4" w14:textId="77777777" w:rsidR="000D6505" w:rsidRDefault="000D6505" w:rsidP="000D6505"/>
    <w:p w14:paraId="7BE6B5E0" w14:textId="4FD79D27" w:rsidR="000D6505" w:rsidRDefault="000D6505" w:rsidP="000D6505">
      <w:r>
        <w:lastRenderedPageBreak/>
        <w:t xml:space="preserve">Casos Globais para Comparação:  </w:t>
      </w:r>
    </w:p>
    <w:p w14:paraId="5CDC4A2F" w14:textId="3C768ADE" w:rsidR="000D6505" w:rsidRDefault="000D6505" w:rsidP="000D6505">
      <w:r>
        <w:t xml:space="preserve">Microsoft: Carbono negativo até 2030; 100% renovável desde 2020; removeu 4,2 </w:t>
      </w:r>
      <w:proofErr w:type="spellStart"/>
      <w:r>
        <w:t>Mt</w:t>
      </w:r>
      <w:proofErr w:type="spellEnd"/>
      <w:r>
        <w:t xml:space="preserve"> CO₂ em 2024.  </w:t>
      </w:r>
    </w:p>
    <w:p w14:paraId="0A16D800" w14:textId="480C18C7" w:rsidR="000D6505" w:rsidRDefault="000D6505" w:rsidP="000D6505">
      <w:r>
        <w:t xml:space="preserve">Google: 93% 24/7 </w:t>
      </w:r>
      <w:proofErr w:type="spellStart"/>
      <w:r>
        <w:t>carbon-free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em 2025; </w:t>
      </w:r>
      <w:proofErr w:type="spellStart"/>
      <w:r>
        <w:t>DeepMind</w:t>
      </w:r>
      <w:proofErr w:type="spellEnd"/>
      <w:r>
        <w:t xml:space="preserve"> reduziu 40% refrigeração.  </w:t>
      </w:r>
    </w:p>
    <w:p w14:paraId="29693332" w14:textId="370655E0" w:rsidR="000D6505" w:rsidRDefault="000D6505" w:rsidP="000D6505">
      <w:r>
        <w:t xml:space="preserve">Apple: Cadeia de suprimentos 100% renovável desde 2024; todos os produtos carbono neutro até 2030.  </w:t>
      </w:r>
    </w:p>
    <w:p w14:paraId="43DDCBAC" w14:textId="2BD27D0A" w:rsidR="000D6505" w:rsidRDefault="000D6505" w:rsidP="000D6505">
      <w:proofErr w:type="spellStart"/>
      <w:r>
        <w:t>Equinix</w:t>
      </w:r>
      <w:proofErr w:type="spellEnd"/>
      <w:r>
        <w:t xml:space="preserve">: 96% renovável; US$ 4,2 bilhões em </w:t>
      </w:r>
      <w:proofErr w:type="spellStart"/>
      <w:r>
        <w:t>green</w:t>
      </w:r>
      <w:proofErr w:type="spellEnd"/>
      <w:r>
        <w:t xml:space="preserve"> </w:t>
      </w:r>
      <w:proofErr w:type="spellStart"/>
      <w:r>
        <w:t>bonds</w:t>
      </w:r>
      <w:proofErr w:type="spellEnd"/>
      <w:r>
        <w:t xml:space="preserve">.  </w:t>
      </w:r>
    </w:p>
    <w:p w14:paraId="2EDB5C67" w14:textId="213B1797" w:rsidR="000D6505" w:rsidRDefault="000D6505" w:rsidP="000D6505">
      <w:r>
        <w:t xml:space="preserve">Schneider Electric: Ajudou clientes a evitar 550 </w:t>
      </w:r>
      <w:proofErr w:type="spellStart"/>
      <w:r>
        <w:t>Mt</w:t>
      </w:r>
      <w:proofErr w:type="spellEnd"/>
      <w:r>
        <w:t xml:space="preserve"> CO₂ (2021–2025).</w:t>
      </w:r>
    </w:p>
    <w:p w14:paraId="3074A9DF" w14:textId="77777777" w:rsidR="000D6505" w:rsidRDefault="000D6505" w:rsidP="000D6505"/>
    <w:p w14:paraId="06A58A4F" w14:textId="1745705A" w:rsidR="000D6505" w:rsidRDefault="000D6505" w:rsidP="000D6505">
      <w:r>
        <w:t>Infográfico 4: Reduções Brasileiras em Emissões (2023–2025)</w:t>
      </w:r>
    </w:p>
    <w:p w14:paraId="17B7B851" w14:textId="77777777" w:rsidR="000D6505" w:rsidRDefault="000D6505" w:rsidP="000D6505"/>
    <w:p w14:paraId="7E26B711" w14:textId="77777777" w:rsidR="000D6505" w:rsidRDefault="000D6505" w:rsidP="000D6505">
      <w:r>
        <w:t>```</w:t>
      </w:r>
    </w:p>
    <w:p w14:paraId="2E49F77F" w14:textId="77777777" w:rsidR="000D6505" w:rsidRDefault="000D6505" w:rsidP="000D6505">
      <w:r>
        <w:t>Redução Absoluta (%)</w:t>
      </w:r>
    </w:p>
    <w:p w14:paraId="66A88166" w14:textId="77777777" w:rsidR="000D6505" w:rsidRDefault="000D6505" w:rsidP="000D6505">
      <w:r>
        <w:t xml:space="preserve">90 </w:t>
      </w:r>
      <w:r>
        <w:rPr>
          <w:rFonts w:ascii="MS Gothic" w:eastAsia="MS Gothic" w:hAnsi="MS Gothic" w:cs="MS Gothic" w:hint="eastAsia"/>
        </w:rPr>
        <w:t>┤</w:t>
      </w:r>
      <w:r>
        <w:t xml:space="preserve">             </w:t>
      </w:r>
      <w:r>
        <w:rPr>
          <w:rFonts w:ascii="Arial" w:hAnsi="Arial" w:cs="Arial"/>
        </w:rPr>
        <w:t>█</w:t>
      </w:r>
      <w:r>
        <w:t xml:space="preserve"> (Vivo </w:t>
      </w:r>
      <w:proofErr w:type="spellStart"/>
      <w:r>
        <w:t>Scope</w:t>
      </w:r>
      <w:proofErr w:type="spellEnd"/>
      <w:r>
        <w:t xml:space="preserve"> 1+2: 90%)</w:t>
      </w:r>
    </w:p>
    <w:p w14:paraId="69792415" w14:textId="77777777" w:rsidR="000D6505" w:rsidRDefault="000D6505" w:rsidP="000D6505">
      <w:r>
        <w:t xml:space="preserve">80 </w:t>
      </w:r>
      <w:r>
        <w:rPr>
          <w:rFonts w:ascii="MS Gothic" w:eastAsia="MS Gothic" w:hAnsi="MS Gothic" w:cs="MS Gothic" w:hint="eastAsia"/>
        </w:rPr>
        <w:t>┤</w:t>
      </w:r>
    </w:p>
    <w:p w14:paraId="676A2766" w14:textId="77777777" w:rsidR="000D6505" w:rsidRDefault="000D6505" w:rsidP="000D6505">
      <w:r>
        <w:t xml:space="preserve">70 </w:t>
      </w:r>
      <w:r>
        <w:rPr>
          <w:rFonts w:ascii="MS Gothic" w:eastAsia="MS Gothic" w:hAnsi="MS Gothic" w:cs="MS Gothic" w:hint="eastAsia"/>
        </w:rPr>
        <w:t>┤</w:t>
      </w:r>
    </w:p>
    <w:p w14:paraId="6E7651DD" w14:textId="77777777" w:rsidR="000D6505" w:rsidRDefault="000D6505" w:rsidP="000D6505">
      <w:r>
        <w:t xml:space="preserve">60 </w:t>
      </w:r>
      <w:r>
        <w:rPr>
          <w:rFonts w:ascii="MS Gothic" w:eastAsia="MS Gothic" w:hAnsi="MS Gothic" w:cs="MS Gothic" w:hint="eastAsia"/>
        </w:rPr>
        <w:t>┤</w:t>
      </w:r>
      <w:r>
        <w:t xml:space="preserve">     </w:t>
      </w:r>
      <w:r>
        <w:rPr>
          <w:rFonts w:ascii="Arial" w:hAnsi="Arial" w:cs="Arial"/>
        </w:rPr>
        <w:t>█</w:t>
      </w:r>
      <w:r>
        <w:t xml:space="preserve"> (Ita</w:t>
      </w:r>
      <w:r>
        <w:rPr>
          <w:rFonts w:ascii="Calibri" w:hAnsi="Calibri" w:cs="Calibri"/>
        </w:rPr>
        <w:t>ú</w:t>
      </w:r>
      <w:r>
        <w:t xml:space="preserve"> TI: 62%)</w:t>
      </w:r>
    </w:p>
    <w:p w14:paraId="4C2F7502" w14:textId="77777777" w:rsidR="000D6505" w:rsidRDefault="000D6505" w:rsidP="000D6505">
      <w:r>
        <w:t xml:space="preserve">50 </w:t>
      </w:r>
      <w:r>
        <w:rPr>
          <w:rFonts w:ascii="MS Gothic" w:eastAsia="MS Gothic" w:hAnsi="MS Gothic" w:cs="MS Gothic" w:hint="eastAsia"/>
        </w:rPr>
        <w:t>┤</w:t>
      </w:r>
      <w:r>
        <w:t xml:space="preserve"> </w:t>
      </w:r>
      <w:r>
        <w:rPr>
          <w:rFonts w:ascii="Arial" w:hAnsi="Arial" w:cs="Arial"/>
        </w:rPr>
        <w:t>█</w:t>
      </w:r>
      <w:r>
        <w:t xml:space="preserve"> (Natura: 47%)</w:t>
      </w:r>
    </w:p>
    <w:p w14:paraId="53A8B2F4" w14:textId="77777777" w:rsidR="000D6505" w:rsidRDefault="000D6505" w:rsidP="000D6505">
      <w:r>
        <w:t xml:space="preserve">40 </w:t>
      </w:r>
      <w:r>
        <w:rPr>
          <w:rFonts w:ascii="MS Gothic" w:eastAsia="MS Gothic" w:hAnsi="MS Gothic" w:cs="MS Gothic" w:hint="eastAsia"/>
        </w:rPr>
        <w:t>┤</w:t>
      </w:r>
    </w:p>
    <w:p w14:paraId="09E623B2" w14:textId="77777777" w:rsidR="000D6505" w:rsidRDefault="000D6505" w:rsidP="000D6505">
      <w:r>
        <w:t xml:space="preserve">30 </w:t>
      </w:r>
      <w:r>
        <w:rPr>
          <w:rFonts w:ascii="MS Gothic" w:eastAsia="MS Gothic" w:hAnsi="MS Gothic" w:cs="MS Gothic" w:hint="eastAsia"/>
        </w:rPr>
        <w:t>┤</w:t>
      </w:r>
    </w:p>
    <w:p w14:paraId="5CF40A1A" w14:textId="77777777" w:rsidR="000D6505" w:rsidRDefault="000D6505" w:rsidP="000D6505">
      <w:r>
        <w:t xml:space="preserve">20 </w:t>
      </w:r>
      <w:r>
        <w:rPr>
          <w:rFonts w:ascii="MS Gothic" w:eastAsia="MS Gothic" w:hAnsi="MS Gothic" w:cs="MS Gothic" w:hint="eastAsia"/>
        </w:rPr>
        <w:t>┤</w:t>
      </w:r>
      <w:r>
        <w:t xml:space="preserve">         </w:t>
      </w:r>
      <w:r>
        <w:rPr>
          <w:rFonts w:ascii="Arial" w:hAnsi="Arial" w:cs="Arial"/>
        </w:rPr>
        <w:t>█</w:t>
      </w:r>
      <w:r>
        <w:t xml:space="preserve"> (Ambev </w:t>
      </w:r>
      <w:r>
        <w:rPr>
          <w:rFonts w:ascii="Calibri" w:hAnsi="Calibri" w:cs="Calibri"/>
        </w:rPr>
        <w:t>Á</w:t>
      </w:r>
      <w:r>
        <w:t>gua: 20%)</w:t>
      </w:r>
    </w:p>
    <w:p w14:paraId="19346841" w14:textId="77777777" w:rsidR="000D6505" w:rsidRDefault="000D6505" w:rsidP="000D6505">
      <w:r>
        <w:t xml:space="preserve">10 </w:t>
      </w:r>
      <w:r>
        <w:rPr>
          <w:rFonts w:ascii="MS Gothic" w:eastAsia="MS Gothic" w:hAnsi="MS Gothic" w:cs="MS Gothic" w:hint="eastAsia"/>
        </w:rPr>
        <w:t>┤</w:t>
      </w:r>
    </w:p>
    <w:p w14:paraId="0A90532B" w14:textId="77777777" w:rsidR="000D6505" w:rsidRDefault="000D6505" w:rsidP="000D6505">
      <w:r>
        <w:t xml:space="preserve"> 0 </w:t>
      </w:r>
      <w:r>
        <w:rPr>
          <w:rFonts w:ascii="MS Gothic" w:eastAsia="MS Gothic" w:hAnsi="MS Gothic" w:cs="MS Gothic" w:hint="eastAsia"/>
        </w:rPr>
        <w:t>┤</w:t>
      </w:r>
      <w:r>
        <w:t xml:space="preserve"> </w:t>
      </w:r>
      <w:proofErr w:type="gramStart"/>
      <w:r>
        <w:t>Natura  Ita</w:t>
      </w:r>
      <w:r>
        <w:rPr>
          <w:rFonts w:ascii="Calibri" w:hAnsi="Calibri" w:cs="Calibri"/>
        </w:rPr>
        <w:t>ú</w:t>
      </w:r>
      <w:proofErr w:type="gramEnd"/>
      <w:r>
        <w:t xml:space="preserve">  </w:t>
      </w:r>
      <w:proofErr w:type="gramStart"/>
      <w:r>
        <w:t>Ambev  Vivo</w:t>
      </w:r>
      <w:proofErr w:type="gramEnd"/>
    </w:p>
    <w:p w14:paraId="5DD34C05" w14:textId="77777777" w:rsidR="000D6505" w:rsidRDefault="000D6505" w:rsidP="000D6505">
      <w:r>
        <w:t>Fonte: Relatórios Oficiais, 2024-2025</w:t>
      </w:r>
    </w:p>
    <w:p w14:paraId="0E184CE3" w14:textId="77777777" w:rsidR="000D6505" w:rsidRDefault="000D6505" w:rsidP="000D6505">
      <w:r>
        <w:t>```</w:t>
      </w:r>
    </w:p>
    <w:p w14:paraId="554A579C" w14:textId="77777777" w:rsidR="000D6505" w:rsidRDefault="000D6505" w:rsidP="000D6505"/>
    <w:p w14:paraId="200FEFE3" w14:textId="6F01D9BE" w:rsidR="000D6505" w:rsidRDefault="000D6505" w:rsidP="000D6505">
      <w:r>
        <w:t xml:space="preserve"> 5. Principais Casos de </w:t>
      </w:r>
      <w:proofErr w:type="spellStart"/>
      <w:r>
        <w:t>Greenwashing</w:t>
      </w:r>
      <w:proofErr w:type="spellEnd"/>
      <w:r>
        <w:t xml:space="preserve"> e Fraudes ESG (2015–2025)</w:t>
      </w:r>
    </w:p>
    <w:p w14:paraId="1E72A6BE" w14:textId="77777777" w:rsidR="000D6505" w:rsidRDefault="000D6505" w:rsidP="000D6505"/>
    <w:p w14:paraId="2F73813E" w14:textId="77777777" w:rsidR="000D6505" w:rsidRDefault="000D6505" w:rsidP="000D6505">
      <w:proofErr w:type="spellStart"/>
      <w:r>
        <w:t>Greenwashing</w:t>
      </w:r>
      <w:proofErr w:type="spellEnd"/>
      <w:r>
        <w:t xml:space="preserve"> envolve alegações falsas ou exageradas de sustentabilidade, levando a multas e perdas reputacionais.</w:t>
      </w:r>
    </w:p>
    <w:p w14:paraId="7D320687" w14:textId="77777777" w:rsidR="000D6505" w:rsidRDefault="000D6505" w:rsidP="000D6505"/>
    <w:p w14:paraId="0331758A" w14:textId="73F69B19" w:rsidR="000D6505" w:rsidRDefault="000D6505" w:rsidP="000D6505">
      <w:r>
        <w:t>Volkswagen (2015): Manipulou testes de emissões em diesel; multas &gt; US$ 35 bilhões.</w:t>
      </w:r>
    </w:p>
    <w:p w14:paraId="1B76D26D" w14:textId="77777777" w:rsidR="000D6505" w:rsidRDefault="000D6505" w:rsidP="000D6505"/>
    <w:p w14:paraId="38736848" w14:textId="2AA7C588" w:rsidR="000D6505" w:rsidRDefault="000D6505" w:rsidP="000D6505">
      <w:r>
        <w:t>DWS/Deutsche Bank (2022): Inflou US$ 1 trilhão em ativos ESG; renúncia de CEO e multas.</w:t>
      </w:r>
    </w:p>
    <w:p w14:paraId="3E7463FA" w14:textId="77777777" w:rsidR="000D6505" w:rsidRDefault="000D6505" w:rsidP="000D6505"/>
    <w:p w14:paraId="122C5526" w14:textId="38BF4DF3" w:rsidR="000D6505" w:rsidRDefault="000D6505" w:rsidP="000D6505">
      <w:r>
        <w:t>H&amp;M (2022–2024): "</w:t>
      </w:r>
      <w:proofErr w:type="spellStart"/>
      <w:r>
        <w:t>Conscious</w:t>
      </w:r>
      <w:proofErr w:type="spellEnd"/>
      <w:r>
        <w:t xml:space="preserve"> </w:t>
      </w:r>
      <w:proofErr w:type="spellStart"/>
      <w:r>
        <w:t>Collection</w:t>
      </w:r>
      <w:proofErr w:type="spellEnd"/>
      <w:r>
        <w:t>" multada na Holanda/Noruega por alegações falsas.</w:t>
      </w:r>
    </w:p>
    <w:p w14:paraId="49CB58CA" w14:textId="77777777" w:rsidR="000D6505" w:rsidRDefault="000D6505" w:rsidP="000D6505"/>
    <w:p w14:paraId="191A09E3" w14:textId="07CB342B" w:rsidR="000D6505" w:rsidRDefault="000D6505" w:rsidP="000D6505">
      <w:proofErr w:type="spellStart"/>
      <w:r>
        <w:t>Keurig</w:t>
      </w:r>
      <w:proofErr w:type="spellEnd"/>
      <w:r>
        <w:t xml:space="preserve"> (2022): Cápsulas "recicláveis" que não eram; acordo US$ 10 milhões.</w:t>
      </w:r>
    </w:p>
    <w:p w14:paraId="16FA0E67" w14:textId="77777777" w:rsidR="000D6505" w:rsidRDefault="000D6505" w:rsidP="000D6505"/>
    <w:p w14:paraId="12073D18" w14:textId="3A727EBC" w:rsidR="000D6505" w:rsidRDefault="000D6505" w:rsidP="000D6505">
      <w:r>
        <w:t>Danone (2023): Evian "carbono neutro" sem base; processo na França.</w:t>
      </w:r>
    </w:p>
    <w:p w14:paraId="3ABF739F" w14:textId="77777777" w:rsidR="000D6505" w:rsidRDefault="000D6505" w:rsidP="000D6505"/>
    <w:p w14:paraId="5DC3738D" w14:textId="7C04B52D" w:rsidR="000D6505" w:rsidRDefault="000D6505" w:rsidP="000D6505">
      <w:r>
        <w:t>Nestlé (2024): KitKat "</w:t>
      </w:r>
      <w:proofErr w:type="spellStart"/>
      <w:r>
        <w:t>carbon</w:t>
      </w:r>
      <w:proofErr w:type="spellEnd"/>
      <w:r>
        <w:t xml:space="preserve"> neutral" com créditos ruins.</w:t>
      </w:r>
    </w:p>
    <w:p w14:paraId="2E34CB6E" w14:textId="77777777" w:rsidR="000D6505" w:rsidRDefault="000D6505" w:rsidP="000D6505"/>
    <w:p w14:paraId="3A6D0152" w14:textId="45844292" w:rsidR="000D6505" w:rsidRDefault="000D6505" w:rsidP="000D6505">
      <w:r>
        <w:t>Shell (2024): Campanha proibida no Reino Unido.</w:t>
      </w:r>
    </w:p>
    <w:p w14:paraId="02D86FC6" w14:textId="77777777" w:rsidR="000D6505" w:rsidRDefault="000D6505" w:rsidP="000D6505"/>
    <w:p w14:paraId="4444AF42" w14:textId="164D49AA" w:rsidR="000D6505" w:rsidRDefault="000D6505" w:rsidP="000D6505">
      <w:r>
        <w:t>Petrobras (2023–2025): Acusada de maquiar transição energética em relatórios.</w:t>
      </w:r>
    </w:p>
    <w:p w14:paraId="1A0456E4" w14:textId="77777777" w:rsidR="000D6505" w:rsidRDefault="000D6505" w:rsidP="000D6505"/>
    <w:p w14:paraId="33862020" w14:textId="2A7D81BF" w:rsidR="000D6505" w:rsidRDefault="000D6505" w:rsidP="000D6505">
      <w:proofErr w:type="spellStart"/>
      <w:r>
        <w:t>BlackRock</w:t>
      </w:r>
      <w:proofErr w:type="spellEnd"/>
      <w:r>
        <w:t xml:space="preserve"> (2024–2025): Processos nos EUA/Europa por inconsistências em fundos ESG.</w:t>
      </w:r>
    </w:p>
    <w:p w14:paraId="3B8B476A" w14:textId="77777777" w:rsidR="000D6505" w:rsidRDefault="000D6505" w:rsidP="000D6505"/>
    <w:p w14:paraId="693F748A" w14:textId="641A89CB" w:rsidR="000D6505" w:rsidRDefault="000D6505" w:rsidP="000D6505">
      <w:r>
        <w:t>Walmart, Coca-Cola, Ryanair, IKEA, Boeing: Multas recentes por alegações enganosas.</w:t>
      </w:r>
    </w:p>
    <w:p w14:paraId="4266B377" w14:textId="77777777" w:rsidR="000D6505" w:rsidRDefault="000D6505" w:rsidP="000D6505"/>
    <w:p w14:paraId="78FFB431" w14:textId="77777777" w:rsidR="000D6505" w:rsidRDefault="000D6505" w:rsidP="000D6505">
      <w:r>
        <w:t>Consequências médias: Queda de 8–15% no valor de mercado em 30 dias; multas de dezenas de milhões.</w:t>
      </w:r>
    </w:p>
    <w:p w14:paraId="04B0C573" w14:textId="77777777" w:rsidR="000D6505" w:rsidRDefault="000D6505" w:rsidP="000D6505"/>
    <w:p w14:paraId="0C9373D2" w14:textId="0A3881B0" w:rsidR="000D6505" w:rsidRDefault="000D6505" w:rsidP="000D6505">
      <w:r>
        <w:t xml:space="preserve"> 6. Panorama Regulatório Global em </w:t>
      </w:r>
      <w:proofErr w:type="gramStart"/>
      <w:r>
        <w:t>Novembro</w:t>
      </w:r>
      <w:proofErr w:type="gramEnd"/>
      <w:r>
        <w:t xml:space="preserve"> de 2025</w:t>
      </w:r>
    </w:p>
    <w:p w14:paraId="0FCEE4C2" w14:textId="77777777" w:rsidR="000D6505" w:rsidRDefault="000D6505" w:rsidP="000D6505"/>
    <w:p w14:paraId="0F2A9310" w14:textId="77777777" w:rsidR="000D6505" w:rsidRDefault="000D6505" w:rsidP="000D6505">
      <w:r>
        <w:t xml:space="preserve">Em 2025, ESG é obrigatório em múltiplas jurisdições, com foco em </w:t>
      </w:r>
      <w:proofErr w:type="spellStart"/>
      <w:r>
        <w:t>disclosure</w:t>
      </w:r>
      <w:proofErr w:type="spellEnd"/>
      <w:r>
        <w:t xml:space="preserve"> padronizado.</w:t>
      </w:r>
    </w:p>
    <w:p w14:paraId="6F588335" w14:textId="77777777" w:rsidR="000D6505" w:rsidRDefault="000D6505" w:rsidP="000D6505"/>
    <w:p w14:paraId="31AE8383" w14:textId="4FFF4C8A" w:rsidR="000D6505" w:rsidRDefault="000D6505" w:rsidP="000D6505">
      <w:r>
        <w:t xml:space="preserve">- UE: CSRD + EU </w:t>
      </w:r>
      <w:proofErr w:type="spellStart"/>
      <w:r>
        <w:t>Taxonomy</w:t>
      </w:r>
      <w:proofErr w:type="spellEnd"/>
      <w:r>
        <w:t xml:space="preserve"> + SFDR em vigor pleno para 50.000+ empresas; ESRS cobrem materialidade dupla.  </w:t>
      </w:r>
    </w:p>
    <w:p w14:paraId="0EF80ACA" w14:textId="6F4F153F" w:rsidR="000D6505" w:rsidRDefault="000D6505" w:rsidP="000D6505">
      <w:r>
        <w:t xml:space="preserve">- EUA: Regra SEC parcial; leis da Califórnia (SB 253/261) exigem relatórios de emissões.  </w:t>
      </w:r>
    </w:p>
    <w:p w14:paraId="5CC2A4D3" w14:textId="383CDD9F" w:rsidR="000D6505" w:rsidRDefault="000D6505" w:rsidP="000D6505">
      <w:r>
        <w:t xml:space="preserve">- Brasil: Instrução CVM 666/2024 obrigatória para exercício 2025; "Relate ou Explique".  </w:t>
      </w:r>
    </w:p>
    <w:p w14:paraId="323A0A65" w14:textId="63705F9B" w:rsidR="000D6505" w:rsidRDefault="000D6505" w:rsidP="000D6505">
      <w:r>
        <w:t xml:space="preserve">- Reino Unido: Transição de TCFD para ISSB.  </w:t>
      </w:r>
    </w:p>
    <w:p w14:paraId="77AD9310" w14:textId="404C12E5" w:rsidR="000D6505" w:rsidRDefault="000D6505" w:rsidP="000D6505">
      <w:r>
        <w:t xml:space="preserve">- Japão: TCFD obrigatório no Prime Market.  </w:t>
      </w:r>
    </w:p>
    <w:p w14:paraId="58EFCCDD" w14:textId="0D5D73AE" w:rsidR="000D6505" w:rsidRDefault="000D6505" w:rsidP="000D6505">
      <w:r>
        <w:lastRenderedPageBreak/>
        <w:t xml:space="preserve">- Singapura, Hong Kong, Austrália: Adoção de ISSB/TCFD.  </w:t>
      </w:r>
    </w:p>
    <w:p w14:paraId="02932476" w14:textId="0129DEA9" w:rsidR="000D6505" w:rsidRDefault="000D6505" w:rsidP="000D6505">
      <w:r>
        <w:t>- Global: ISSB (S1/S2) como baseline, adotado por 20+ jurisdições.</w:t>
      </w:r>
    </w:p>
    <w:p w14:paraId="61EA851A" w14:textId="77777777" w:rsidR="000D6505" w:rsidRDefault="000D6505" w:rsidP="000D6505"/>
    <w:p w14:paraId="7D01262A" w14:textId="0F93F09D" w:rsidR="000D6505" w:rsidRDefault="000D6505" w:rsidP="000D6505">
      <w:r>
        <w:t>Infográfico 5: Cobertura Regulatória Global (Mapa Simplificado em ASCII)</w:t>
      </w:r>
    </w:p>
    <w:p w14:paraId="3022036F" w14:textId="77777777" w:rsidR="000D6505" w:rsidRDefault="000D6505" w:rsidP="000D6505"/>
    <w:p w14:paraId="23EA7BA3" w14:textId="77777777" w:rsidR="000D6505" w:rsidRDefault="000D6505" w:rsidP="000D6505">
      <w:r>
        <w:t>```</w:t>
      </w:r>
    </w:p>
    <w:p w14:paraId="7595EC89" w14:textId="77777777" w:rsidR="000D6505" w:rsidRDefault="000D6505" w:rsidP="000D6505">
      <w:r>
        <w:t xml:space="preserve">Europa: CSRD (50k+ empresas) </w:t>
      </w:r>
      <w:r>
        <w:rPr>
          <w:rFonts w:ascii="Arial" w:hAnsi="Arial" w:cs="Arial"/>
        </w:rPr>
        <w:t>█████</w:t>
      </w:r>
    </w:p>
    <w:p w14:paraId="13A0392F" w14:textId="77777777" w:rsidR="000D6505" w:rsidRDefault="000D6505" w:rsidP="000D6505">
      <w:r>
        <w:t xml:space="preserve">EUA: SEC + Califórnia     </w:t>
      </w:r>
      <w:r>
        <w:rPr>
          <w:rFonts w:ascii="Arial" w:hAnsi="Arial" w:cs="Arial"/>
        </w:rPr>
        <w:t>████</w:t>
      </w:r>
    </w:p>
    <w:p w14:paraId="04BE8BD5" w14:textId="77777777" w:rsidR="000D6505" w:rsidRDefault="000D6505" w:rsidP="000D6505">
      <w:r>
        <w:t xml:space="preserve">Brasil: CVM 666           </w:t>
      </w:r>
      <w:r>
        <w:rPr>
          <w:rFonts w:ascii="Arial" w:hAnsi="Arial" w:cs="Arial"/>
        </w:rPr>
        <w:t>███</w:t>
      </w:r>
    </w:p>
    <w:p w14:paraId="1D070FFF" w14:textId="77777777" w:rsidR="000D6505" w:rsidRDefault="000D6505" w:rsidP="000D6505">
      <w:r>
        <w:t xml:space="preserve">Ásia: ISSB/TCFD           </w:t>
      </w:r>
      <w:r>
        <w:rPr>
          <w:rFonts w:ascii="Arial" w:hAnsi="Arial" w:cs="Arial"/>
        </w:rPr>
        <w:t>████</w:t>
      </w:r>
    </w:p>
    <w:p w14:paraId="32FD6428" w14:textId="77777777" w:rsidR="000D6505" w:rsidRDefault="000D6505" w:rsidP="000D6505">
      <w:r>
        <w:t xml:space="preserve">Global: ISSB Baseline     </w:t>
      </w:r>
      <w:r>
        <w:rPr>
          <w:rFonts w:ascii="Arial" w:hAnsi="Arial" w:cs="Arial"/>
        </w:rPr>
        <w:t>██████</w:t>
      </w:r>
    </w:p>
    <w:p w14:paraId="3DF8270D" w14:textId="77777777" w:rsidR="000D6505" w:rsidRDefault="000D6505" w:rsidP="000D6505">
      <w:r>
        <w:t xml:space="preserve">Fonte: </w:t>
      </w:r>
      <w:proofErr w:type="spellStart"/>
      <w:r>
        <w:t>Squire</w:t>
      </w:r>
      <w:proofErr w:type="spellEnd"/>
      <w:r>
        <w:t xml:space="preserve"> Patton </w:t>
      </w:r>
      <w:proofErr w:type="spellStart"/>
      <w:r>
        <w:t>Boggs</w:t>
      </w:r>
      <w:proofErr w:type="spellEnd"/>
      <w:r>
        <w:t>, 2025</w:t>
      </w:r>
    </w:p>
    <w:p w14:paraId="73FEF35D" w14:textId="77777777" w:rsidR="000D6505" w:rsidRDefault="000D6505" w:rsidP="000D6505">
      <w:r>
        <w:t>```</w:t>
      </w:r>
    </w:p>
    <w:p w14:paraId="16CB283B" w14:textId="77777777" w:rsidR="000D6505" w:rsidRDefault="000D6505" w:rsidP="000D6505"/>
    <w:p w14:paraId="0AD31336" w14:textId="42647C8D" w:rsidR="000D6505" w:rsidRDefault="000D6505" w:rsidP="000D6505">
      <w:r>
        <w:t xml:space="preserve"> 7. Tendências 2026–2030</w:t>
      </w:r>
    </w:p>
    <w:p w14:paraId="5E94C5CC" w14:textId="77777777" w:rsidR="000D6505" w:rsidRDefault="000D6505" w:rsidP="000D6505"/>
    <w:p w14:paraId="0C751262" w14:textId="77777777" w:rsidR="000D6505" w:rsidRDefault="000D6505" w:rsidP="000D6505">
      <w:r>
        <w:t>De 2026 a 2030, ESG priorizará ação real sobre promessas, com integração de tecnologia.</w:t>
      </w:r>
    </w:p>
    <w:p w14:paraId="024EE2F7" w14:textId="77777777" w:rsidR="000D6505" w:rsidRDefault="000D6505" w:rsidP="000D6505"/>
    <w:p w14:paraId="2765DB66" w14:textId="5C28AAA8" w:rsidR="000D6505" w:rsidRDefault="000D6505" w:rsidP="000D6505">
      <w:r>
        <w:t xml:space="preserve">- </w:t>
      </w:r>
      <w:proofErr w:type="spellStart"/>
      <w:r>
        <w:t>Transition</w:t>
      </w:r>
      <w:proofErr w:type="spellEnd"/>
      <w:r>
        <w:t xml:space="preserve"> </w:t>
      </w:r>
      <w:proofErr w:type="spellStart"/>
      <w:r>
        <w:t>Finance</w:t>
      </w:r>
      <w:proofErr w:type="spellEnd"/>
      <w:r>
        <w:t xml:space="preserve">: Financiamento para empresas em transição para baixo carbono, não só as já verdes.  </w:t>
      </w:r>
    </w:p>
    <w:p w14:paraId="099E9E58" w14:textId="555A58C9" w:rsidR="000D6505" w:rsidRDefault="000D6505" w:rsidP="000D6505">
      <w:r>
        <w:t xml:space="preserve">- Verificação por IA: IA + satélites + blockchain para monitoramento real-time de emissões.  </w:t>
      </w:r>
    </w:p>
    <w:p w14:paraId="252D489F" w14:textId="3A1C329C" w:rsidR="000D6505" w:rsidRDefault="000D6505" w:rsidP="000D6505">
      <w:r>
        <w:t xml:space="preserve">- Data Centers: Regulações de eficiência energética; projetos subaquáticos/orbitais até 2030.  </w:t>
      </w:r>
    </w:p>
    <w:p w14:paraId="5547CD82" w14:textId="1806BAD9" w:rsidR="000D6505" w:rsidRDefault="000D6505" w:rsidP="000D6505">
      <w:r>
        <w:t xml:space="preserve">- Consumo Energético da IA: Normas específicas para pilar E/S, com ética em ESG.  </w:t>
      </w:r>
    </w:p>
    <w:p w14:paraId="3EA3D496" w14:textId="4F529DA0" w:rsidR="000D6505" w:rsidRDefault="000D6505" w:rsidP="000D6505">
      <w:r>
        <w:t xml:space="preserve">- Economia Circular: Obrigatória para lítio, cobalto; redução de resíduos via reuso.  </w:t>
      </w:r>
    </w:p>
    <w:p w14:paraId="2E1F4899" w14:textId="56A24D4D" w:rsidR="000D6505" w:rsidRDefault="000D6505" w:rsidP="000D6505">
      <w:r>
        <w:t xml:space="preserve">- Outras: Ética em IA no </w:t>
      </w:r>
      <w:proofErr w:type="spellStart"/>
      <w:r>
        <w:t>scorecard</w:t>
      </w:r>
      <w:proofErr w:type="spellEnd"/>
      <w:r>
        <w:t xml:space="preserve"> ESG; relatórios </w:t>
      </w:r>
      <w:proofErr w:type="spellStart"/>
      <w:r>
        <w:t>nature-related</w:t>
      </w:r>
      <w:proofErr w:type="spellEnd"/>
      <w:r>
        <w:t xml:space="preserve">; batalha contra </w:t>
      </w:r>
      <w:proofErr w:type="spellStart"/>
      <w:r>
        <w:t>greenwashing</w:t>
      </w:r>
      <w:proofErr w:type="spellEnd"/>
      <w:r>
        <w:t xml:space="preserve"> intensificada.</w:t>
      </w:r>
    </w:p>
    <w:p w14:paraId="0130E1B7" w14:textId="77777777" w:rsidR="000D6505" w:rsidRDefault="000D6505" w:rsidP="000D6505"/>
    <w:p w14:paraId="4B4FCB93" w14:textId="541839A2" w:rsidR="000D6505" w:rsidRDefault="000D6505" w:rsidP="000D6505">
      <w:r>
        <w:t xml:space="preserve"> Conclusão</w:t>
      </w:r>
    </w:p>
    <w:p w14:paraId="4F4192AE" w14:textId="77777777" w:rsidR="000D6505" w:rsidRDefault="000D6505" w:rsidP="000D6505"/>
    <w:p w14:paraId="7EBDB8F2" w14:textId="21A4FF12" w:rsidR="00E51F5C" w:rsidRDefault="000D6505" w:rsidP="000D6505">
      <w:r>
        <w:t xml:space="preserve">Em novembro de 2025, ESG é o padrão definitivo para risco corporativo, com Green IT como ferramenta chave para conformidade ambiental, integrando redução de emissões, eficiência operacional e relatórios transparentes. Empresas brasileiras, como Natura e Vivo, lideram com </w:t>
      </w:r>
      <w:r>
        <w:lastRenderedPageBreak/>
        <w:t xml:space="preserve">casos premiados, demonstrando impacto real em sustentabilidade, mas </w:t>
      </w:r>
      <w:proofErr w:type="spellStart"/>
      <w:r>
        <w:t>greenwashing</w:t>
      </w:r>
      <w:proofErr w:type="spellEnd"/>
      <w:r>
        <w:t xml:space="preserve"> persiste como risco. Tendências futuras enfatizam tecnologia e transparência para net-zero 2050.</w:t>
      </w:r>
    </w:p>
    <w:sectPr w:rsidR="00E51F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505"/>
    <w:rsid w:val="00064237"/>
    <w:rsid w:val="000D6505"/>
    <w:rsid w:val="00985C1F"/>
    <w:rsid w:val="00B0592E"/>
    <w:rsid w:val="00E04EE7"/>
    <w:rsid w:val="00E51F5C"/>
    <w:rsid w:val="00F36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C19B66"/>
  <w15:chartTrackingRefBased/>
  <w15:docId w15:val="{D6E40BB1-48E5-47F1-A252-042890587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D65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D65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D65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D65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D65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D65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D65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D65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D65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D65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D65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D65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D650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D650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D65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D650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D65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D65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D65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D65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D65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D65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D65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D650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D650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D650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D65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D650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D65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2101</Words>
  <Characters>10949</Characters>
  <Application>Microsoft Office Word</Application>
  <DocSecurity>0</DocSecurity>
  <Lines>273</Lines>
  <Paragraphs>217</Paragraphs>
  <ScaleCrop>false</ScaleCrop>
  <Company/>
  <LinksUpToDate>false</LinksUpToDate>
  <CharactersWithSpaces>12833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BRANDALISE BARIL</dc:creator>
  <cp:keywords/>
  <dc:description/>
  <cp:lastModifiedBy>MARIO BRANDALISE BARIL</cp:lastModifiedBy>
  <cp:revision>1</cp:revision>
  <dcterms:created xsi:type="dcterms:W3CDTF">2025-11-18T22:53:00Z</dcterms:created>
  <dcterms:modified xsi:type="dcterms:W3CDTF">2025-11-18T22:55:00Z</dcterms:modified>
</cp:coreProperties>
</file>