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before="0" w:after="100" w:line="276" w:lineRule="auto"/>
      </w:pPr>
      <w:r>
        <w:rPr>
          <w:rFonts w:ascii="Segoe UI" w:hAnsi="Segoe UI"/>
          <w:b/>
          <w:color w:val="8A9298"/>
          <w:spacing w:val="30"/>
          <w:sz w:val="15"/>
        </w:rPr>
        <w:t xml:space="preserve">CORPORATE DNA · INFRASTRUCTURE MAP · 3 SEPTEMBER 2026</w:t>
      </w:r>
    </w:p>
    <w:p>
      <w:pPr>
        <w:spacing w:before="0" w:after="160" w:line="240" w:lineRule="auto"/>
      </w:pPr>
      <w:r>
        <w:rPr>
          <w:rFonts w:ascii="Segoe UI" w:hAnsi="Segoe UI"/>
          <w:b/>
          <w:color w:val="14171A"/>
          <w:sz w:val="52"/>
        </w:rPr>
        <w:t xml:space="preserve">Where every part of the digital estate lives, and whose name it is in</w:t>
      </w:r>
    </w:p>
    <w:p>
      <w:pPr>
        <w:spacing w:before="0" w:after="240" w:line="276" w:lineRule="auto"/>
      </w:pPr>
      <w:r>
        <w:rPr>
          <w:rFonts w:ascii="Georgia" w:hAnsi="Georgia"/>
          <w:color w:val="5E666D"/>
          <w:sz w:val="20"/>
        </w:rPr>
        <w:t xml:space="preserve">Sixteen assets, mapped against the ownership rule Corporate DNA set on 1 September. Each one answers the same question: is it already in the institutional account, or not yet?</w:t>
      </w:r>
    </w:p>
    <w:p>
      <w:pPr>
        <w:pBdr>
          <w:left w:val="single" w:sz="18" w:space="10" w:color="14171A"/>
        </w:pBdr>
        <w:shd w:val="clear" w:fill="EFF1F2"/>
        <w:spacing w:before="0" w:after="40" w:line="276" w:lineRule="auto"/>
        <w:ind w:left="140" w:right="46"/>
      </w:pPr>
      <w:r>
        <w:rPr>
          <w:rFonts w:ascii="Segoe UI" w:hAnsi="Segoe UI"/>
          <w:b/>
          <w:color w:val="8A9298"/>
          <w:spacing w:val="30"/>
          <w:sz w:val="14"/>
        </w:rPr>
        <w:t xml:space="preserve">THE RULE THIS MAP EXECUTES</w:t>
      </w:r>
    </w:p>
    <w:p>
      <w:pPr>
        <w:pBdr>
          <w:left w:val="single" w:sz="18" w:space="10" w:color="14171A"/>
        </w:pBdr>
        <w:shd w:val="clear" w:fill="EFF1F2"/>
        <w:spacing w:before="0" w:after="60" w:line="276" w:lineRule="auto"/>
        <w:ind w:left="140" w:right="46"/>
      </w:pPr>
      <w:r>
        <w:rPr>
          <w:rFonts w:ascii="Georgia" w:hAnsi="Georgia"/>
          <w:color w:val="14171A"/>
          <w:sz w:val="20"/>
        </w:rPr>
        <w:t xml:space="preserve">“Wherever possible, please use the following as Corporate DNA’s institutional owner/account: </w:t>
      </w:r>
      <w:r>
        <w:rPr>
          <w:rFonts w:ascii="Georgia" w:hAnsi="Georgia"/>
          <w:b/>
          <w:color w:val="14171A"/>
          <w:sz w:val="20"/>
        </w:rPr>
        <w:t xml:space="preserve">singapore@corporatednaconsulting.com</w:t>
      </w:r>
      <w:r>
        <w:rPr>
          <w:rFonts w:ascii="Georgia" w:hAnsi="Georgia"/>
          <w:color w:val="14171A"/>
          <w:sz w:val="20"/>
        </w:rPr>
        <w:t xml:space="preserve">. We would also like </w:t>
      </w:r>
      <w:r>
        <w:rPr>
          <w:rFonts w:ascii="Georgia" w:hAnsi="Georgia"/>
          <w:b/>
          <w:color w:val="14171A"/>
          <w:sz w:val="20"/>
        </w:rPr>
        <w:t xml:space="preserve">Nitin Goil</w:t>
      </w:r>
      <w:r>
        <w:rPr>
          <w:rFonts w:ascii="Georgia" w:hAnsi="Georgia"/>
          <w:color w:val="14171A"/>
          <w:sz w:val="20"/>
        </w:rPr>
        <w:t xml:space="preserve"> and </w:t>
      </w:r>
      <w:r>
        <w:rPr>
          <w:rFonts w:ascii="Georgia" w:hAnsi="Georgia"/>
          <w:b/>
          <w:color w:val="14171A"/>
          <w:sz w:val="20"/>
        </w:rPr>
        <w:t xml:space="preserve">Nicole Phoon</w:t>
      </w:r>
      <w:r>
        <w:rPr>
          <w:rFonts w:ascii="Georgia" w:hAnsi="Georgia"/>
          <w:color w:val="14171A"/>
          <w:sz w:val="20"/>
        </w:rPr>
        <w:t xml:space="preserve"> to have administrator access so that ownership and control do not depend on a single individual or external provider.”</w:t>
      </w:r>
    </w:p>
    <w:p>
      <w:pPr>
        <w:pBdr>
          <w:left w:val="single" w:sz="18" w:space="10" w:color="14171A"/>
        </w:pBdr>
        <w:shd w:val="clear" w:fill="EFF1F2"/>
        <w:spacing w:before="0" w:after="60" w:line="276" w:lineRule="auto"/>
        <w:ind w:left="140" w:right="46"/>
      </w:pPr>
      <w:r>
        <w:rPr>
          <w:rFonts w:ascii="Georgia" w:hAnsi="Georgia"/>
          <w:color w:val="14171A"/>
          <w:sz w:val="20"/>
        </w:rPr>
        <w:t xml:space="preserve">“Corporate DNA retains ownership and administrative control of the accounts, while our technical partners receive the permissions required to manage them.”</w:t>
      </w:r>
    </w:p>
    <w:p>
      <w:pPr>
        <w:pBdr>
          <w:left w:val="single" w:sz="18" w:space="10" w:color="14171A"/>
        </w:pBdr>
        <w:shd w:val="clear" w:fill="EFF1F2"/>
        <w:spacing w:before="0" w:after="200" w:line="276" w:lineRule="auto"/>
        <w:ind w:left="140" w:right="46"/>
      </w:pPr>
      <w:r>
        <w:rPr>
          <w:rFonts w:ascii="Segoe UI" w:hAnsi="Segoe UI"/>
          <w:color w:val="8A9298"/>
          <w:sz w:val="15"/>
        </w:rPr>
        <w:t xml:space="preserve">Guilherme Mendes, 1 September 2026 — to Axon, with Corporate DNA copied</w:t>
      </w:r>
    </w:p>
    <w:p>
      <w:pPr>
        <w:keepNext/>
        <w:spacing w:before="280" w:after="60" w:line="276" w:lineRule="auto"/>
      </w:pPr>
      <w:r>
        <w:rPr>
          <w:rFonts w:ascii="Segoe UI" w:hAnsi="Segoe UI"/>
          <w:b/>
          <w:color w:val="8A9298"/>
          <w:spacing w:val="30"/>
          <w:sz w:val="15"/>
        </w:rPr>
        <w:t xml:space="preserve">THE WHOLE ESTATE ON ONE SCREEN</w:t>
      </w:r>
    </w:p>
    <w:p>
      <w:pPr>
        <w:keepNext/>
        <w:spacing w:before="40" w:after="140" w:line="240" w:lineRule="auto"/>
      </w:pPr>
      <w:r>
        <w:rPr>
          <w:rFonts w:ascii="Segoe UI" w:hAnsi="Segoe UI"/>
          <w:b/>
          <w:color w:val="14171A"/>
          <w:sz w:val="32"/>
        </w:rPr>
        <w:t xml:space="preserve">Summary</w:t>
      </w:r>
    </w:p>
    <w:p>
      <w:pPr>
        <w:spacing w:before="0" w:after="120" w:line="276" w:lineRule="auto"/>
      </w:pPr>
      <w:r>
        <w:rPr>
          <w:rFonts w:ascii="Georgia" w:hAnsi="Georgia"/>
          <w:color w:val="5E666D"/>
          <w:sz w:val="20"/>
        </w:rPr>
        <w:t xml:space="preserve">Every layer, who holds the account today, and where it stands. The fuller explanation of each one follows further down.</w:t>
      </w:r>
    </w:p>
    <w:tbl>
      <w:tblPr>
        <w:tblW w:w="9360" w:type="dxa"/>
        <w:tblBorders>
          <w:top w:val="single" w:sz="4" w:color="D3D7D9"/>
          <w:bottom w:val="single" w:sz="4" w:color="D3D7D9"/>
          <w:insideH w:val="single" w:sz="4" w:color="D3D7D9"/>
        </w:tblBorders>
        <w:tblLayout w:type="fixed"/>
      </w:tblPr>
      <w:tblGrid>
        <w:gridCol w:w="2340"/>
        <w:gridCol w:w="2340"/>
        <w:gridCol w:w="2340"/>
        <w:gridCol w:w="2340"/>
      </w:tblGrid>
      <w:tr>
        <w:trPr>
          <w:cantSplit/>
          <w:tblHeader/>
        </w:trPr>
        <w:tc>
          <w:tcPr>
            <w:tcW w:w="234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MAPPED</w:t>
            </w:r>
          </w:p>
        </w:tc>
        <w:tc>
          <w:tcPr>
            <w:tcW w:w="234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IN OUR NAME</w:t>
            </w:r>
          </w:p>
        </w:tc>
        <w:tc>
          <w:tcPr>
            <w:tcW w:w="234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OWNER UNKNOWN</w:t>
            </w:r>
          </w:p>
        </w:tc>
        <w:tc>
          <w:tcPr>
            <w:tcW w:w="234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AWAITING DECISION</w:t>
            </w:r>
          </w:p>
        </w:tc>
      </w:tr>
      <w:tr>
        <w:trPr>
          <w:cantSplit/>
        </w:trPr>
        <w:tc>
          <w:tcPr>
            <w:tcW w:w="2340" w:type="dxa"/>
            <w:tcMar>
              <w:top w:w="90" w:type="dxa"/>
              <w:bottom w:w="90" w:type="dxa"/>
              <w:left w:w="120" w:type="dxa"/>
              <w:right w:w="120" w:type="dxa"/>
            </w:tcMar>
            <w:vAlign w:val="top"/>
          </w:tcPr>
          <w:p>
            <w:pPr>
              <w:spacing w:before="0" w:after="40" w:line="252" w:lineRule="auto"/>
            </w:pPr>
            <w:r>
              <w:rPr>
                <w:rFonts w:ascii="Segoe UI" w:hAnsi="Segoe UI"/>
                <w:b/>
                <w:color w:val="14171A"/>
                <w:sz w:val="36"/>
              </w:rPr>
              <w:t xml:space="preserve">16</w:t>
            </w:r>
          </w:p>
          <w:p>
            <w:pPr>
              <w:spacing w:before="0" w:after="40" w:line="252" w:lineRule="auto"/>
            </w:pPr>
            <w:r>
              <w:rPr>
                <w:rFonts w:ascii="Segoe UI" w:hAnsi="Segoe UI"/>
                <w:color w:val="5E666D"/>
                <w:sz w:val="16"/>
              </w:rPr>
              <w:t xml:space="preserve">assets across domain, hosting, Microsoft, analytics and learning</w:t>
            </w:r>
          </w:p>
        </w:tc>
        <w:tc>
          <w:tcPr>
            <w:tcW w:w="2340" w:type="dxa"/>
            <w:tcMar>
              <w:top w:w="90" w:type="dxa"/>
              <w:bottom w:w="90" w:type="dxa"/>
              <w:left w:w="120" w:type="dxa"/>
              <w:right w:w="120" w:type="dxa"/>
            </w:tcMar>
            <w:vAlign w:val="top"/>
          </w:tcPr>
          <w:p>
            <w:pPr>
              <w:spacing w:before="0" w:after="40" w:line="252" w:lineRule="auto"/>
            </w:pPr>
            <w:r>
              <w:rPr>
                <w:rFonts w:ascii="Segoe UI" w:hAnsi="Segoe UI"/>
                <w:b/>
                <w:color w:val="14171A"/>
                <w:sz w:val="36"/>
              </w:rPr>
              <w:t xml:space="preserve">4</w:t>
            </w:r>
          </w:p>
          <w:p>
            <w:pPr>
              <w:spacing w:before="0" w:after="40" w:line="252" w:lineRule="auto"/>
            </w:pPr>
            <w:r>
              <w:rPr>
                <w:rFonts w:ascii="Segoe UI" w:hAnsi="Segoe UI"/>
                <w:color w:val="5E666D"/>
                <w:sz w:val="16"/>
              </w:rPr>
              <w:t xml:space="preserve">accounts held by Dev em Dobro, each with a transfer path</w:t>
            </w:r>
          </w:p>
        </w:tc>
        <w:tc>
          <w:tcPr>
            <w:tcW w:w="2340" w:type="dxa"/>
            <w:tcMar>
              <w:top w:w="90" w:type="dxa"/>
              <w:bottom w:w="90" w:type="dxa"/>
              <w:left w:w="120" w:type="dxa"/>
              <w:right w:w="120" w:type="dxa"/>
            </w:tcMar>
            <w:vAlign w:val="top"/>
          </w:tcPr>
          <w:p>
            <w:pPr>
              <w:spacing w:before="0" w:after="40" w:line="252" w:lineRule="auto"/>
            </w:pPr>
            <w:r>
              <w:rPr>
                <w:rFonts w:ascii="Segoe UI" w:hAnsi="Segoe UI"/>
                <w:b/>
                <w:color w:val="14171A"/>
                <w:sz w:val="36"/>
              </w:rPr>
              <w:t xml:space="preserve">5</w:t>
            </w:r>
          </w:p>
          <w:p>
            <w:pPr>
              <w:spacing w:before="0" w:after="40" w:line="252" w:lineRule="auto"/>
            </w:pPr>
            <w:r>
              <w:rPr>
                <w:rFonts w:ascii="Segoe UI" w:hAnsi="Segoe UI"/>
                <w:color w:val="5E666D"/>
                <w:sz w:val="16"/>
              </w:rPr>
              <w:t xml:space="preserve">nobody has yet confirmed who holds them</w:t>
            </w:r>
          </w:p>
        </w:tc>
        <w:tc>
          <w:tcPr>
            <w:tcW w:w="2340" w:type="dxa"/>
            <w:tcMar>
              <w:top w:w="90" w:type="dxa"/>
              <w:bottom w:w="90" w:type="dxa"/>
              <w:left w:w="120" w:type="dxa"/>
              <w:right w:w="120" w:type="dxa"/>
            </w:tcMar>
            <w:vAlign w:val="top"/>
          </w:tcPr>
          <w:p>
            <w:pPr>
              <w:spacing w:before="0" w:after="40" w:line="252" w:lineRule="auto"/>
            </w:pPr>
            <w:r>
              <w:rPr>
                <w:rFonts w:ascii="Segoe UI" w:hAnsi="Segoe UI"/>
                <w:b/>
                <w:color w:val="14171A"/>
                <w:sz w:val="36"/>
              </w:rPr>
              <w:t xml:space="preserve">2</w:t>
            </w:r>
          </w:p>
          <w:p>
            <w:pPr>
              <w:spacing w:before="0" w:after="40" w:line="252" w:lineRule="auto"/>
            </w:pPr>
            <w:r>
              <w:rPr>
                <w:rFonts w:ascii="Segoe UI" w:hAnsi="Segoe UI"/>
                <w:color w:val="5E666D"/>
                <w:sz w:val="16"/>
              </w:rPr>
              <w:t xml:space="preserve">both time-bound, both in the next section</w:t>
            </w:r>
          </w:p>
        </w:tc>
      </w:tr>
    </w:tbl>
    <w:tbl>
      <w:tblPr>
        <w:tblW w:w="9360" w:type="dxa"/>
        <w:tblBorders>
          <w:top w:val="single" w:sz="4" w:color="D3D7D9"/>
          <w:bottom w:val="single" w:sz="4" w:color="D3D7D9"/>
          <w:insideH w:val="single" w:sz="4" w:color="D3D7D9"/>
        </w:tblBorders>
        <w:tblLayout w:type="fixed"/>
      </w:tblPr>
      <w:tblGrid>
        <w:gridCol w:w="2100"/>
        <w:gridCol w:w="2260"/>
        <w:gridCol w:w="1900"/>
        <w:gridCol w:w="1600"/>
        <w:gridCol w:w="1500"/>
      </w:tblGrid>
      <w:tr>
        <w:trPr>
          <w:cantSplit/>
          <w:tblHeader/>
        </w:trPr>
        <w:tc>
          <w:tcPr>
            <w:tcW w:w="210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LAYER</w:t>
            </w:r>
          </w:p>
        </w:tc>
        <w:tc>
          <w:tcPr>
            <w:tcW w:w="226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PROVIDER</w:t>
            </w:r>
          </w:p>
        </w:tc>
        <w:tc>
          <w:tcPr>
            <w:tcW w:w="190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ACCOUNT HELD BY</w:t>
            </w:r>
          </w:p>
        </w:tc>
        <w:tc>
          <w:tcPr>
            <w:tcW w:w="160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INTERNAL OWNER</w:t>
            </w:r>
          </w:p>
        </w:tc>
        <w:tc>
          <w:tcPr>
            <w:tcW w:w="150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STATUS</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8A9298"/>
                <w:spacing w:val="30"/>
                <w:sz w:val="13"/>
              </w:rPr>
              <w:t xml:space="preserve">1 — DOMAIN AND DNS</w:t>
            </w:r>
          </w:p>
        </w:tc>
        <w:tc>
          <w:tcPr>
            <w:tcW w:w="226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9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6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5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Domain</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WebNic, resold by Axon</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Corporate DNA</w:t>
            </w:r>
          </w:p>
        </w:tc>
        <w:tc>
          <w:tcPr>
            <w:tcW w:w="16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Rhea Leckie</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8A5308"/>
                <w:spacing w:val="20"/>
                <w:sz w:val="15"/>
              </w:rPr>
              <w:t xml:space="preserve">WAITING ON RHEA</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Registrar locks</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WebNic, via Axon</w:t>
            </w:r>
          </w:p>
        </w:tc>
        <w:tc>
          <w:tcPr>
            <w:tcW w:w="19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w:t>
            </w:r>
          </w:p>
        </w:tc>
        <w:tc>
          <w:tcPr>
            <w:tcW w:w="16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n/a</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A32A1C"/>
                <w:spacing w:val="20"/>
                <w:sz w:val="15"/>
              </w:rPr>
              <w:t xml:space="preserve">MISSING</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DNS zone</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Cloudflare</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Corporate DNA</w:t>
            </w:r>
          </w:p>
        </w:tc>
        <w:tc>
          <w:tcPr>
            <w:tcW w:w="16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mailbox unconfirmed</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5"/>
              </w:rPr>
              <w:t xml:space="preserve">OWNER UNKNOWN</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8A9298"/>
                <w:spacing w:val="30"/>
                <w:sz w:val="13"/>
              </w:rPr>
              <w:t xml:space="preserve">2 — WEBSITE</w:t>
            </w:r>
          </w:p>
        </w:tc>
        <w:tc>
          <w:tcPr>
            <w:tcW w:w="226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9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6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5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Legacy WordPress site</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Axon</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Corporate DNA</w:t>
            </w:r>
          </w:p>
        </w:tc>
        <w:tc>
          <w:tcPr>
            <w:tcW w:w="16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n/a</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5"/>
              </w:rPr>
              <w:t xml:space="preserve">RETIRING 30 SEP</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New website</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Vercel</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Dev em Dobro</w:t>
            </w:r>
          </w:p>
        </w:tc>
        <w:tc>
          <w:tcPr>
            <w:tcW w:w="16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to transfer</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1B4F8A"/>
                <w:spacing w:val="20"/>
                <w:sz w:val="15"/>
              </w:rPr>
              <w:t xml:space="preserve">HANDOVER PLANNED</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Content management system</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Vercel</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Dev em Dobro</w:t>
            </w:r>
          </w:p>
        </w:tc>
        <w:tc>
          <w:tcPr>
            <w:tcW w:w="16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to transfer</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1B4F8A"/>
                <w:spacing w:val="20"/>
                <w:sz w:val="15"/>
              </w:rPr>
              <w:t xml:space="preserve">HANDOVER PLANNED</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Content database</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Supabase</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Dev em Dobro</w:t>
            </w:r>
          </w:p>
        </w:tc>
        <w:tc>
          <w:tcPr>
            <w:tcW w:w="16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to transfer</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1B4F8A"/>
                <w:spacing w:val="20"/>
                <w:sz w:val="15"/>
              </w:rPr>
              <w:t xml:space="preserve">HANDOVER PLANNED</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Legacy database</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Neon</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Dev em Dobro</w:t>
            </w:r>
          </w:p>
        </w:tc>
        <w:tc>
          <w:tcPr>
            <w:tcW w:w="16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n/a</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5"/>
              </w:rPr>
              <w:t xml:space="preserve">RETIRING AFTER LAUNCH</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Transactional email</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Resend</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Dev em Dobro</w:t>
            </w:r>
          </w:p>
        </w:tc>
        <w:tc>
          <w:tcPr>
            <w:tcW w:w="16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to transfer</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1B4F8A"/>
                <w:spacing w:val="20"/>
                <w:sz w:val="15"/>
              </w:rPr>
              <w:t xml:space="preserve">HANDOVER PLANNED</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8A9298"/>
                <w:spacing w:val="30"/>
                <w:sz w:val="13"/>
              </w:rPr>
              <w:t xml:space="preserve">3 — MICROSOFT AND PRODUCTIVITY</w:t>
            </w:r>
          </w:p>
        </w:tc>
        <w:tc>
          <w:tcPr>
            <w:tcW w:w="226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9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6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5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Email, SharePoint, Teams</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Microsoft 365</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Corporate DNA tenant</w:t>
            </w:r>
          </w:p>
        </w:tc>
        <w:tc>
          <w:tcPr>
            <w:tcW w:w="16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not documented</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5"/>
              </w:rPr>
              <w:t xml:space="preserve">OWNER UNKNOWN</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Other authorised senders</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Zoho, SendGrid, Mailchimp and two more</w:t>
            </w:r>
          </w:p>
        </w:tc>
        <w:tc>
          <w:tcPr>
            <w:tcW w:w="19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unknown</w:t>
            </w:r>
          </w:p>
        </w:tc>
        <w:tc>
          <w:tcPr>
            <w:tcW w:w="16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open</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5"/>
              </w:rPr>
              <w:t xml:space="preserve">OWNER UNKNOWN</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Endpoint security</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Bitdefender, via Axon</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Corporate DNA</w:t>
            </w:r>
          </w:p>
        </w:tc>
        <w:tc>
          <w:tcPr>
            <w:tcW w:w="16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open</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A32A1C"/>
                <w:spacing w:val="20"/>
                <w:sz w:val="15"/>
              </w:rPr>
              <w:t xml:space="preserve">TERMINATED</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8A9298"/>
                <w:spacing w:val="30"/>
                <w:sz w:val="13"/>
              </w:rPr>
              <w:t xml:space="preserve">4 — ANALYTICS AND SEARCH</w:t>
            </w:r>
          </w:p>
        </w:tc>
        <w:tc>
          <w:tcPr>
            <w:tcW w:w="226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9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6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5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Google Analytics 4</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Google</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Corporate DNA</w:t>
            </w:r>
          </w:p>
        </w:tc>
        <w:tc>
          <w:tcPr>
            <w:tcW w:w="16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Nicole Phoon</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17693F"/>
                <w:spacing w:val="20"/>
                <w:sz w:val="15"/>
              </w:rPr>
              <w:t xml:space="preserve">DONE, 3 SEP</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Google Search Console</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Google</w:t>
            </w:r>
          </w:p>
        </w:tc>
        <w:tc>
          <w:tcPr>
            <w:tcW w:w="19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unknown</w:t>
            </w:r>
          </w:p>
        </w:tc>
        <w:tc>
          <w:tcPr>
            <w:tcW w:w="16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institutional account</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8A5308"/>
                <w:spacing w:val="20"/>
                <w:sz w:val="15"/>
              </w:rPr>
              <w:t xml:space="preserve">WAITING ON AXON</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Universal Analytics</w:t>
            </w:r>
          </w:p>
        </w:tc>
        <w:tc>
          <w:tcPr>
            <w:tcW w:w="226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Google</w:t>
            </w:r>
          </w:p>
        </w:tc>
        <w:tc>
          <w:tcPr>
            <w:tcW w:w="1900" w:type="dxa"/>
            <w:tcMar>
              <w:top w:w="90" w:type="dxa"/>
              <w:bottom w:w="90" w:type="dxa"/>
              <w:left w:w="120" w:type="dxa"/>
              <w:right w:w="120" w:type="dxa"/>
            </w:tcMar>
            <w:vAlign w:val="top"/>
          </w:tcPr>
          <w:p>
            <w:pPr>
              <w:spacing w:before="0" w:after="40" w:line="252" w:lineRule="auto"/>
            </w:pPr>
            <w:r>
              <w:rPr>
                <w:rFonts w:ascii="Segoe UI" w:hAnsi="Segoe UI"/>
                <w:color w:val="5E666D"/>
                <w:sz w:val="15"/>
              </w:rPr>
              <w:t xml:space="preserve">Corporate DNA</w:t>
            </w:r>
          </w:p>
        </w:tc>
        <w:tc>
          <w:tcPr>
            <w:tcW w:w="16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n/a</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5"/>
              </w:rPr>
              <w:t xml:space="preserve">REFERENCE ONLY</w:t>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8A9298"/>
                <w:spacing w:val="30"/>
                <w:sz w:val="13"/>
              </w:rPr>
              <w:t xml:space="preserve">5 — LEARNING PLATFORM</w:t>
            </w:r>
          </w:p>
        </w:tc>
        <w:tc>
          <w:tcPr>
            <w:tcW w:w="226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9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6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c>
          <w:tcPr>
            <w:tcW w:w="1500" w:type="dxa"/>
            <w:tcMar>
              <w:top w:w="90" w:type="dxa"/>
              <w:bottom w:w="90" w:type="dxa"/>
              <w:left w:w="120" w:type="dxa"/>
              <w:right w:w="120" w:type="dxa"/>
            </w:tcMar>
            <w:vAlign w:val="top"/>
          </w:tcPr>
          <w:p>
            <w:pPr>
              <w:spacing w:before="0" w:after="40" w:line="252" w:lineRule="auto"/>
            </w:pPr>
            <w:r>
              <w:rPr>
                <w:rFonts w:ascii="Georgia" w:hAnsi="Georgia"/>
                <w:color w:val="14171A"/>
                <w:sz w:val="20"/>
              </w:rPr>
              <w:t xml:space="preserve"/>
            </w:r>
          </w:p>
        </w:tc>
      </w:tr>
      <w:tr>
        <w:trPr>
          <w:cantSplit/>
        </w:trPr>
        <w:tc>
          <w:tcPr>
            <w:tcW w:w="2100" w:type="dxa"/>
            <w:tcMar>
              <w:top w:w="90" w:type="dxa"/>
              <w:bottom w:w="90" w:type="dxa"/>
              <w:left w:w="120" w:type="dxa"/>
              <w:right w:w="120" w:type="dxa"/>
            </w:tcMar>
            <w:vAlign w:val="top"/>
          </w:tcPr>
          <w:p>
            <w:pPr>
              <w:spacing w:before="0" w:after="40" w:line="252" w:lineRule="auto"/>
            </w:pPr>
            <w:r>
              <w:rPr>
                <w:rFonts w:ascii="Segoe UI" w:hAnsi="Segoe UI"/>
                <w:b/>
                <w:color w:val="14171A"/>
                <w:sz w:val="15"/>
              </w:rPr>
              <w:t xml:space="preserve">LMS</w:t>
            </w:r>
          </w:p>
        </w:tc>
        <w:tc>
          <w:tcPr>
            <w:tcW w:w="226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to be confirmed</w:t>
            </w:r>
          </w:p>
        </w:tc>
        <w:tc>
          <w:tcPr>
            <w:tcW w:w="19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unknown</w:t>
            </w:r>
          </w:p>
        </w:tc>
        <w:tc>
          <w:tcPr>
            <w:tcW w:w="1600" w:type="dxa"/>
            <w:tcMar>
              <w:top w:w="90" w:type="dxa"/>
              <w:bottom w:w="90" w:type="dxa"/>
              <w:left w:w="120" w:type="dxa"/>
              <w:right w:w="120" w:type="dxa"/>
            </w:tcMar>
            <w:vAlign w:val="top"/>
          </w:tcPr>
          <w:p>
            <w:pPr>
              <w:spacing w:before="0" w:after="40" w:line="252" w:lineRule="auto"/>
            </w:pPr>
            <w:r>
              <w:rPr>
                <w:rFonts w:ascii="Segoe UI" w:hAnsi="Segoe UI"/>
                <w:i/>
                <w:color w:val="8A9298"/>
                <w:sz w:val="15"/>
              </w:rPr>
              <w:t xml:space="preserve">unknown</w:t>
            </w:r>
          </w:p>
        </w:tc>
        <w:tc>
          <w:tcPr>
            <w:tcW w:w="150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5"/>
              </w:rPr>
              <w:t xml:space="preserve">NOT IDENTIFIED</w:t>
            </w:r>
          </w:p>
        </w:tc>
      </w:tr>
    </w:tbl>
    <w:p>
      <w:pPr>
        <w:keepNext/>
        <w:spacing w:before="280" w:after="60" w:line="276" w:lineRule="auto"/>
      </w:pPr>
      <w:r>
        <w:rPr>
          <w:rFonts w:ascii="Segoe UI" w:hAnsi="Segoe UI"/>
          <w:b/>
          <w:color w:val="8A9298"/>
          <w:spacing w:val="30"/>
          <w:sz w:val="15"/>
        </w:rPr>
        <w:t xml:space="preserve">WHAT WE NEED FROM YOU</w:t>
      </w:r>
    </w:p>
    <w:p>
      <w:pPr>
        <w:keepNext/>
        <w:spacing w:before="40" w:after="140" w:line="240" w:lineRule="auto"/>
      </w:pPr>
      <w:r>
        <w:rPr>
          <w:rFonts w:ascii="Segoe UI" w:hAnsi="Segoe UI"/>
          <w:b/>
          <w:color w:val="14171A"/>
          <w:sz w:val="32"/>
        </w:rPr>
        <w:t xml:space="preserve">Two decisions, both with a date attached</w:t>
      </w:r>
    </w:p>
    <w:p>
      <w:pPr>
        <w:keepNext/>
        <w:spacing w:before="160" w:after="80" w:line="276" w:lineRule="auto"/>
      </w:pPr>
      <w:r>
        <w:rPr>
          <w:rFonts w:ascii="Segoe UI" w:hAnsi="Segoe UI"/>
          <w:b/>
          <w:color w:val="14171A"/>
          <w:sz w:val="24"/>
        </w:rPr>
        <w:t xml:space="preserve">Decision 1 — Rhea: one reply-all releases the domain contact</w:t>
      </w:r>
    </w:p>
    <w:p>
      <w:pPr>
        <w:spacing w:before="0" w:after="120" w:line="276" w:lineRule="auto"/>
      </w:pPr>
      <w:r>
        <w:rPr>
          <w:rFonts w:ascii="Georgia" w:hAnsi="Georgia"/>
          <w:color w:val="5E666D"/>
          <w:sz w:val="20"/>
        </w:rPr>
        <w:t xml:space="preserve">Axon has the request and has confirmed there is </w:t>
      </w:r>
      <w:r>
        <w:rPr>
          <w:rFonts w:ascii="Georgia" w:hAnsi="Georgia"/>
          <w:b/>
          <w:color w:val="14171A"/>
          <w:sz w:val="20"/>
        </w:rPr>
        <w:t xml:space="preserve">no charge</w:t>
      </w:r>
      <w:r>
        <w:rPr>
          <w:rFonts w:ascii="Georgia" w:hAnsi="Georgia"/>
          <w:color w:val="5E666D"/>
          <w:sz w:val="20"/>
        </w:rPr>
        <w:t xml:space="preserve"> — they allow three administrative-contact updates free. Because Amit knows Rhea personally, her reply is enough on its own: </w:t>
      </w:r>
      <w:r>
        <w:rPr>
          <w:rFonts w:ascii="Georgia" w:hAnsi="Georgia"/>
          <w:b/>
          <w:color w:val="14171A"/>
          <w:sz w:val="20"/>
        </w:rPr>
        <w:t xml:space="preserve">the signed letterhead letter is no longer needed for this route.</w:t>
      </w:r>
      <w:r>
        <w:rPr>
          <w:rFonts w:ascii="Georgia" w:hAnsi="Georgia"/>
          <w:color w:val="5E666D"/>
          <w:sz w:val="20"/>
        </w:rPr>
        <w:t xml:space="preserve"> Rico chased it again on the morning of 3 September.</w:t>
      </w:r>
    </w:p>
    <w:p>
      <w:pPr>
        <w:spacing w:before="0" w:after="120" w:line="276" w:lineRule="auto"/>
      </w:pPr>
      <w:r>
        <w:rPr>
          <w:rFonts w:ascii="Georgia" w:hAnsi="Georgia"/>
          <w:color w:val="5E666D"/>
          <w:sz w:val="20"/>
        </w:rPr>
        <w:t xml:space="preserve">Until that reply arrives, the administrative contact on the domain remains a mailbox belonging to someone who has left the company — and the domain </w:t>
      </w:r>
      <w:r>
        <w:rPr>
          <w:rFonts w:ascii="Georgia" w:hAnsi="Georgia"/>
          <w:b/>
          <w:color w:val="14171A"/>
          <w:sz w:val="20"/>
        </w:rPr>
        <w:t xml:space="preserve">expires on 13 October</w:t>
      </w:r>
      <w:r>
        <w:rPr>
          <w:rFonts w:ascii="Georgia" w:hAnsi="Georgia"/>
          <w:color w:val="5E666D"/>
          <w:sz w:val="20"/>
        </w:rPr>
        <w:t xml:space="preserve">. The registrar locks, which are still absent, should be enabled in the same request.</w:t>
      </w:r>
    </w:p>
    <w:p>
      <w:pPr>
        <w:shd w:val="clear" w:fill="EFF1F2"/>
        <w:spacing w:before="60" w:after="200" w:line="276" w:lineRule="auto"/>
        <w:ind w:left="140" w:right="46"/>
      </w:pPr>
      <w:r>
        <w:rPr>
          <w:rFonts w:ascii="Segoe UI" w:hAnsi="Segoe UI"/>
          <w:color w:val="14171A"/>
          <w:sz w:val="18"/>
        </w:rPr>
        <w:t xml:space="preserve">Rhea confirms by Reply-all that she authorises Axon to set the administrative contact to </w:t>
      </w:r>
      <w:r>
        <w:rPr>
          <w:rFonts w:ascii="Segoe UI" w:hAnsi="Segoe UI"/>
          <w:b/>
          <w:color w:val="14171A"/>
          <w:sz w:val="18"/>
        </w:rPr>
        <w:t xml:space="preserve">rhea.l@corporatednaconsulting.com</w:t>
      </w:r>
      <w:r>
        <w:rPr>
          <w:rFonts w:ascii="Segoe UI" w:hAnsi="Segoe UI"/>
          <w:color w:val="14171A"/>
          <w:sz w:val="18"/>
        </w:rPr>
        <w:t xml:space="preserve"> and to remove Allison Vickery’s mailbox from future domain correspondence.</w:t>
      </w:r>
    </w:p>
    <w:p>
      <w:pPr>
        <w:keepNext/>
        <w:spacing w:before="160" w:after="80" w:line="276" w:lineRule="auto"/>
      </w:pPr>
      <w:r>
        <w:rPr>
          <w:rFonts w:ascii="Segoe UI" w:hAnsi="Segoe UI"/>
          <w:b/>
          <w:color w:val="14171A"/>
          <w:sz w:val="24"/>
        </w:rPr>
        <w:t xml:space="preserve">Decision 2 — Corporate DNA: extend the old hosting by one quarter, or let it lapse</w:t>
      </w:r>
    </w:p>
    <w:p>
      <w:pPr>
        <w:spacing w:before="0" w:after="120" w:line="276" w:lineRule="auto"/>
      </w:pPr>
      <w:r>
        <w:rPr>
          <w:rFonts w:ascii="Georgia" w:hAnsi="Georgia"/>
          <w:color w:val="5E666D"/>
          <w:sz w:val="20"/>
        </w:rPr>
        <w:t xml:space="preserve">Axon confirmed the price on 1 September: hosting cannot be extended monthly, so the minimum is one quarter — </w:t>
      </w:r>
      <w:r>
        <w:rPr>
          <w:rFonts w:ascii="Georgia" w:hAnsi="Georgia"/>
          <w:b/>
          <w:color w:val="14171A"/>
          <w:sz w:val="20"/>
        </w:rPr>
        <w:t xml:space="preserve">1 October to 31 December 2026, SGD 150</w:t>
      </w:r>
      <w:r>
        <w:rPr>
          <w:rFonts w:ascii="Georgia" w:hAnsi="Georgia"/>
          <w:color w:val="5E666D"/>
          <w:sz w:val="20"/>
        </w:rPr>
        <w:t xml:space="preserve">. Without it, the rollback cover for the old site shrinks as launch approaches:</w:t>
      </w:r>
    </w:p>
    <w:tbl>
      <w:tblPr>
        <w:tblW w:w="9360" w:type="dxa"/>
        <w:tblBorders>
          <w:top w:val="single" w:sz="4" w:color="D3D7D9"/>
          <w:bottom w:val="single" w:sz="4" w:color="D3D7D9"/>
          <w:insideH w:val="single" w:sz="4" w:color="D3D7D9"/>
        </w:tblBorders>
        <w:tblLayout w:type="fixed"/>
      </w:tblPr>
      <w:tblGrid>
        <w:gridCol w:w="3120"/>
        <w:gridCol w:w="6240"/>
      </w:tblGrid>
      <w:tr>
        <w:trPr>
          <w:cantSplit/>
          <w:tblHeader/>
        </w:trPr>
        <w:tc>
          <w:tcPr>
            <w:tcW w:w="312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CUTOVER DATE</w:t>
            </w:r>
          </w:p>
        </w:tc>
        <w:tc>
          <w:tcPr>
            <w:tcW w:w="6240" w:type="dxa"/>
            <w:shd w:val="clear" w:fill="EFF1F2"/>
            <w:tcMar>
              <w:top w:w="90" w:type="dxa"/>
              <w:bottom w:w="90" w:type="dxa"/>
              <w:left w:w="120" w:type="dxa"/>
              <w:right w:w="120" w:type="dxa"/>
            </w:tcMar>
            <w:vAlign w:val="top"/>
          </w:tcPr>
          <w:p>
            <w:pPr>
              <w:spacing w:before="0" w:after="40" w:line="252" w:lineRule="auto"/>
            </w:pPr>
            <w:r>
              <w:rPr>
                <w:rFonts w:ascii="Segoe UI" w:hAnsi="Segoe UI"/>
                <w:b/>
                <w:color w:val="8A9298"/>
                <w:spacing w:val="20"/>
                <w:sz w:val="14"/>
              </w:rPr>
              <w:t xml:space="preserve">ROLLBACK COVER</w:t>
            </w:r>
          </w:p>
        </w:tc>
      </w:tr>
      <w:tr>
        <w:trPr>
          <w:cantSplit/>
        </w:trPr>
        <w:tc>
          <w:tcPr>
            <w:tcW w:w="3120" w:type="dxa"/>
            <w:tcMar>
              <w:top w:w="90" w:type="dxa"/>
              <w:bottom w:w="90" w:type="dxa"/>
              <w:left w:w="120" w:type="dxa"/>
              <w:right w:w="120" w:type="dxa"/>
            </w:tcMar>
            <w:vAlign w:val="top"/>
          </w:tcPr>
          <w:p>
            <w:pPr>
              <w:spacing w:before="0" w:after="40" w:line="252" w:lineRule="auto"/>
            </w:pPr>
            <w:r>
              <w:rPr>
                <w:rFonts w:ascii="Segoe UI" w:hAnsi="Segoe UI"/>
                <w:color w:val="5E666D"/>
                <w:sz w:val="17"/>
              </w:rPr>
              <w:t xml:space="preserve">16 September</w:t>
            </w:r>
          </w:p>
        </w:tc>
        <w:tc>
          <w:tcPr>
            <w:tcW w:w="6240" w:type="dxa"/>
            <w:tcMar>
              <w:top w:w="90" w:type="dxa"/>
              <w:bottom w:w="90" w:type="dxa"/>
              <w:left w:w="120" w:type="dxa"/>
              <w:right w:w="120" w:type="dxa"/>
            </w:tcMar>
            <w:vAlign w:val="top"/>
          </w:tcPr>
          <w:p>
            <w:pPr>
              <w:spacing w:before="0" w:after="40" w:line="252" w:lineRule="auto"/>
            </w:pPr>
            <w:r>
              <w:rPr>
                <w:rFonts w:ascii="Segoe UI" w:hAnsi="Segoe UI"/>
                <w:color w:val="5E666D"/>
                <w:sz w:val="17"/>
              </w:rPr>
              <w:t xml:space="preserve">14 days — the full two weeks</w:t>
            </w:r>
          </w:p>
        </w:tc>
      </w:tr>
      <w:tr>
        <w:trPr>
          <w:cantSplit/>
        </w:trPr>
        <w:tc>
          <w:tcPr>
            <w:tcW w:w="3120" w:type="dxa"/>
            <w:tcMar>
              <w:top w:w="90" w:type="dxa"/>
              <w:bottom w:w="90" w:type="dxa"/>
              <w:left w:w="120" w:type="dxa"/>
              <w:right w:w="120" w:type="dxa"/>
            </w:tcMar>
            <w:vAlign w:val="top"/>
          </w:tcPr>
          <w:p>
            <w:pPr>
              <w:spacing w:before="0" w:after="40" w:line="252" w:lineRule="auto"/>
            </w:pPr>
            <w:r>
              <w:rPr>
                <w:rFonts w:ascii="Segoe UI" w:hAnsi="Segoe UI"/>
                <w:color w:val="5E666D"/>
                <w:sz w:val="17"/>
              </w:rPr>
              <w:t xml:space="preserve">23 September</w:t>
            </w:r>
          </w:p>
        </w:tc>
        <w:tc>
          <w:tcPr>
            <w:tcW w:w="6240" w:type="dxa"/>
            <w:tcMar>
              <w:top w:w="90" w:type="dxa"/>
              <w:bottom w:w="90" w:type="dxa"/>
              <w:left w:w="120" w:type="dxa"/>
              <w:right w:w="120" w:type="dxa"/>
            </w:tcMar>
            <w:vAlign w:val="top"/>
          </w:tcPr>
          <w:p>
            <w:pPr>
              <w:spacing w:before="0" w:after="40" w:line="252" w:lineRule="auto"/>
            </w:pPr>
            <w:r>
              <w:rPr>
                <w:rFonts w:ascii="Segoe UI" w:hAnsi="Segoe UI"/>
                <w:color w:val="5E666D"/>
                <w:sz w:val="17"/>
              </w:rPr>
              <w:t xml:space="preserve">7 days</w:t>
            </w:r>
          </w:p>
        </w:tc>
      </w:tr>
      <w:tr>
        <w:trPr>
          <w:cantSplit/>
        </w:trPr>
        <w:tc>
          <w:tcPr>
            <w:tcW w:w="3120" w:type="dxa"/>
            <w:tcMar>
              <w:top w:w="90" w:type="dxa"/>
              <w:bottom w:w="90" w:type="dxa"/>
              <w:left w:w="120" w:type="dxa"/>
              <w:right w:w="120" w:type="dxa"/>
            </w:tcMar>
            <w:vAlign w:val="top"/>
          </w:tcPr>
          <w:p>
            <w:pPr>
              <w:spacing w:before="0" w:after="40" w:line="252" w:lineRule="auto"/>
            </w:pPr>
            <w:r>
              <w:rPr>
                <w:rFonts w:ascii="Segoe UI" w:hAnsi="Segoe UI"/>
                <w:color w:val="5E666D"/>
                <w:sz w:val="17"/>
              </w:rPr>
              <w:t xml:space="preserve">30 September onward</w:t>
            </w:r>
          </w:p>
        </w:tc>
        <w:tc>
          <w:tcPr>
            <w:tcW w:w="6240" w:type="dxa"/>
            <w:tcMar>
              <w:top w:w="90" w:type="dxa"/>
              <w:bottom w:w="90" w:type="dxa"/>
              <w:left w:w="120" w:type="dxa"/>
              <w:right w:w="120" w:type="dxa"/>
            </w:tcMar>
            <w:vAlign w:val="top"/>
          </w:tcPr>
          <w:p>
            <w:pPr>
              <w:spacing w:before="0" w:after="40" w:line="252" w:lineRule="auto"/>
            </w:pPr>
            <w:r>
              <w:rPr>
                <w:rFonts w:ascii="Segoe UI" w:hAnsi="Segoe UI"/>
                <w:color w:val="5E666D"/>
                <w:sz w:val="17"/>
              </w:rPr>
              <w:t xml:space="preserve">None</w:t>
            </w:r>
          </w:p>
        </w:tc>
      </w:tr>
    </w:tbl>
    <w:p>
      <w:pPr>
        <w:spacing w:before="160" w:after="120" w:line="276" w:lineRule="auto"/>
      </w:pPr>
      <w:r>
        <w:rPr>
          <w:rFonts w:ascii="Georgia" w:hAnsi="Georgia"/>
          <w:color w:val="5E666D"/>
          <w:sz w:val="20"/>
        </w:rPr>
        <w:t xml:space="preserve">With the extension, that table stops mattering and the launch date can be chosen on merit rather than against a hosting invoice. </w:t>
      </w:r>
      <w:r>
        <w:rPr>
          <w:rFonts w:ascii="Georgia" w:hAnsi="Georgia"/>
          <w:b/>
          <w:color w:val="14171A"/>
          <w:sz w:val="20"/>
        </w:rPr>
        <w:t xml:space="preserve">Our recommendation is to take it:</w:t>
      </w:r>
      <w:r>
        <w:rPr>
          <w:rFonts w:ascii="Georgia" w:hAnsi="Georgia"/>
          <w:color w:val="5E666D"/>
          <w:sz w:val="20"/>
        </w:rPr>
        <w:t xml:space="preserve"> it is the cheapest line in this document and the only one that buys back schedule freedom.</w:t>
      </w:r>
    </w:p>
    <w:p>
      <w:pPr>
        <w:shd w:val="clear" w:fill="EFF1F2"/>
        <w:spacing w:before="60" w:after="200" w:line="276" w:lineRule="auto"/>
        <w:ind w:left="140" w:right="46"/>
      </w:pPr>
      <w:r>
        <w:rPr>
          <w:rFonts w:ascii="Segoe UI" w:hAnsi="Segoe UI"/>
          <w:color w:val="14171A"/>
          <w:sz w:val="18"/>
        </w:rPr>
        <w:t xml:space="preserve">Confirm to Axon by Reply-all whether to arrange the three-month extension. If not, they proceed on the basis that hosting ends on 30 September.</w:t>
      </w:r>
    </w:p>
    <w:p>
      <w:pPr>
        <w:keepNext/>
        <w:spacing w:before="280" w:after="60" w:line="276" w:lineRule="auto"/>
      </w:pPr>
      <w:r>
        <w:rPr>
          <w:rFonts w:ascii="Segoe UI" w:hAnsi="Segoe UI"/>
          <w:b/>
          <w:color w:val="8A9298"/>
          <w:spacing w:val="30"/>
          <w:sz w:val="15"/>
        </w:rPr>
        <w:t xml:space="preserve">ALREADY IN PLACE</w:t>
      </w:r>
    </w:p>
    <w:p>
      <w:pPr>
        <w:keepNext/>
        <w:spacing w:before="40" w:after="140" w:line="240" w:lineRule="auto"/>
      </w:pPr>
      <w:r>
        <w:rPr>
          <w:rFonts w:ascii="Segoe UI" w:hAnsi="Segoe UI"/>
          <w:b/>
          <w:color w:val="14171A"/>
          <w:sz w:val="32"/>
        </w:rPr>
        <w:t xml:space="preserve">What is protecting Corporate DNA today</w:t>
      </w:r>
    </w:p>
    <w:p>
      <w:pPr>
        <w:spacing w:before="0" w:after="120" w:line="276" w:lineRule="auto"/>
      </w:pPr>
      <w:r>
        <w:rPr>
          <w:rFonts w:ascii="Georgia" w:hAnsi="Georgia"/>
          <w:color w:val="5E666D"/>
          <w:sz w:val="20"/>
        </w:rPr>
        <w:t xml:space="preserve">A list of gaps, read on its own, sounds worse than the situation is. Everything in this section is in place now, not planned.</w:t>
      </w:r>
    </w:p>
    <w:p>
      <w:pPr>
        <w:keepNext/>
        <w:spacing w:before="140" w:after="30" w:line="276" w:lineRule="auto"/>
      </w:pPr>
      <w:r>
        <w:rPr>
          <w:rFonts w:ascii="Segoe UI" w:hAnsi="Segoe UI"/>
          <w:b/>
          <w:color w:val="14171A"/>
          <w:sz w:val="19"/>
        </w:rPr>
        <w:t xml:space="preserve">Authority is on the record</w:t>
      </w:r>
    </w:p>
    <w:p>
      <w:pPr>
        <w:spacing w:before="0" w:after="60" w:line="276" w:lineRule="auto"/>
      </w:pPr>
      <w:r>
        <w:rPr>
          <w:rFonts w:ascii="Georgia" w:hAnsi="Georgia"/>
          <w:color w:val="5E666D"/>
          <w:sz w:val="20"/>
        </w:rPr>
        <w:t xml:space="preserve">Corporate DNA confirmed in writing on 1 September that Dev em Dobro is authorised to coordinate the migration. Axon acknowledged and recorded it. Nobody is acting on informal permission.</w:t>
      </w:r>
    </w:p>
    <w:p>
      <w:pPr>
        <w:keepNext/>
        <w:spacing w:before="140" w:after="30" w:line="276" w:lineRule="auto"/>
      </w:pPr>
      <w:r>
        <w:rPr>
          <w:rFonts w:ascii="Segoe UI" w:hAnsi="Segoe UI"/>
          <w:b/>
          <w:color w:val="14171A"/>
          <w:sz w:val="19"/>
        </w:rPr>
        <w:t xml:space="preserve">The cutover cannot touch email</w:t>
      </w:r>
    </w:p>
    <w:p>
      <w:pPr>
        <w:spacing w:before="0" w:after="60" w:line="276" w:lineRule="auto"/>
      </w:pPr>
      <w:r>
        <w:rPr>
          <w:rFonts w:ascii="Georgia" w:hAnsi="Georgia"/>
          <w:color w:val="5E666D"/>
          <w:sz w:val="20"/>
        </w:rPr>
        <w:t xml:space="preserve">Only two records change: the apex A record and www. MX, SPF, DKIM and DMARC stay untouched, so Microsoft 365 mail is unaffected. Axon has the sequence in writing and has agreed to it.</w:t>
      </w:r>
    </w:p>
    <w:p>
      <w:pPr>
        <w:keepNext/>
        <w:spacing w:before="140" w:after="30" w:line="276" w:lineRule="auto"/>
      </w:pPr>
      <w:r>
        <w:rPr>
          <w:rFonts w:ascii="Segoe UI" w:hAnsi="Segoe UI"/>
          <w:b/>
          <w:color w:val="14171A"/>
          <w:sz w:val="19"/>
        </w:rPr>
        <w:t xml:space="preserve">Search visibility is protected before the switch</w:t>
      </w:r>
    </w:p>
    <w:p>
      <w:pPr>
        <w:spacing w:before="0" w:after="60" w:line="276" w:lineRule="auto"/>
      </w:pPr>
      <w:r>
        <w:rPr>
          <w:rFonts w:ascii="Georgia" w:hAnsi="Georgia"/>
          <w:color w:val="5E666D"/>
          <w:sz w:val="20"/>
        </w:rPr>
        <w:t xml:space="preserve">52 redirects mapped from the current site’s URLs; titles, meta, canonical, JSON-LD, sitemap and robots ship with the application. GA4 continuity is a cutover checklist item, not a post-launch one.</w:t>
      </w:r>
    </w:p>
    <w:p>
      <w:pPr>
        <w:keepNext/>
        <w:spacing w:before="140" w:after="30" w:line="276" w:lineRule="auto"/>
      </w:pPr>
      <w:r>
        <w:rPr>
          <w:rFonts w:ascii="Segoe UI" w:hAnsi="Segoe UI"/>
          <w:b/>
          <w:color w:val="14171A"/>
          <w:sz w:val="19"/>
        </w:rPr>
        <w:t xml:space="preserve">The old environment does not vanish silently</w:t>
      </w:r>
    </w:p>
    <w:p>
      <w:pPr>
        <w:spacing w:before="0" w:after="60" w:line="276" w:lineRule="auto"/>
      </w:pPr>
      <w:r>
        <w:rPr>
          <w:rFonts w:ascii="Georgia" w:hAnsi="Georgia"/>
          <w:color w:val="5E666D"/>
          <w:sz w:val="20"/>
        </w:rPr>
        <w:t xml:space="preserve">Its end date is known and in writing, and a full backup of files, database and media is being arranged before it. Axon has since confirmed one maintenance hour is normally enough for that task.</w:t>
      </w:r>
    </w:p>
    <w:p>
      <w:pPr>
        <w:keepNext/>
        <w:spacing w:before="140" w:after="30" w:line="276" w:lineRule="auto"/>
      </w:pPr>
      <w:r>
        <w:rPr>
          <w:rFonts w:ascii="Segoe UI" w:hAnsi="Segoe UI"/>
          <w:b/>
          <w:color w:val="14171A"/>
          <w:sz w:val="19"/>
        </w:rPr>
        <w:t xml:space="preserve">Under Attack mode is handled deliberately</w:t>
      </w:r>
    </w:p>
    <w:p>
      <w:pPr>
        <w:spacing w:before="0" w:after="60" w:line="276" w:lineRule="auto"/>
      </w:pPr>
      <w:r>
        <w:rPr>
          <w:rFonts w:ascii="Georgia" w:hAnsi="Georgia"/>
          <w:color w:val="5E666D"/>
          <w:sz w:val="20"/>
        </w:rPr>
        <w:t xml:space="preserve">It stays on through the change and validation, then comes off at go-live, because it challenges every visitor and blocks search engines. Axon will be told when it is disabled.</w:t>
      </w:r>
    </w:p>
    <w:p>
      <w:pPr>
        <w:keepNext/>
        <w:spacing w:before="140" w:after="30" w:line="276" w:lineRule="auto"/>
      </w:pPr>
      <w:r>
        <w:rPr>
          <w:rFonts w:ascii="Segoe UI" w:hAnsi="Segoe UI"/>
          <w:b/>
          <w:color w:val="14171A"/>
          <w:sz w:val="19"/>
        </w:rPr>
        <w:t xml:space="preserve">The accounts in our name are declared, not discovered</w:t>
      </w:r>
    </w:p>
    <w:p>
      <w:pPr>
        <w:spacing w:before="0" w:after="60" w:line="276" w:lineRule="auto"/>
      </w:pPr>
      <w:r>
        <w:rPr>
          <w:rFonts w:ascii="Georgia" w:hAnsi="Georgia"/>
          <w:color w:val="5E666D"/>
          <w:sz w:val="20"/>
        </w:rPr>
        <w:t xml:space="preserve">They are listed below with a transfer path and a destination — the institutional account Corporate DNA chose. Declaring them is the point of this document.</w:t>
      </w:r>
    </w:p>
    <w:p>
      <w:pPr>
        <w:keepNext/>
        <w:spacing w:before="280" w:after="60" w:line="276" w:lineRule="auto"/>
      </w:pPr>
      <w:r>
        <w:rPr>
          <w:rFonts w:ascii="Segoe UI" w:hAnsi="Segoe UI"/>
          <w:b/>
          <w:color w:val="8A9298"/>
          <w:spacing w:val="30"/>
          <w:sz w:val="15"/>
        </w:rPr>
        <w:t xml:space="preserve">INVENTORY</w:t>
      </w:r>
    </w:p>
    <w:p>
      <w:pPr>
        <w:keepNext/>
        <w:spacing w:before="40" w:after="140" w:line="240" w:lineRule="auto"/>
      </w:pPr>
      <w:r>
        <w:rPr>
          <w:rFonts w:ascii="Segoe UI" w:hAnsi="Segoe UI"/>
          <w:b/>
          <w:color w:val="14171A"/>
          <w:sz w:val="32"/>
        </w:rPr>
        <w:t xml:space="preserve">Asset by asset</w:t>
      </w:r>
    </w:p>
    <w:p>
      <w:pPr>
        <w:spacing w:before="0" w:after="120" w:line="276" w:lineRule="auto"/>
      </w:pPr>
      <w:r>
        <w:rPr>
          <w:rFonts w:ascii="Georgia" w:hAnsi="Georgia"/>
          <w:color w:val="5E666D"/>
          <w:sz w:val="20"/>
        </w:rPr>
        <w:t xml:space="preserve">Target state for every row: the institutional account owns it, Nitin and Nicole administer it, technical partners hold the permissions they need to operate.</w:t>
      </w:r>
    </w:p>
    <w:p>
      <w:pPr>
        <w:keepNext/>
        <w:spacing w:before="300" w:after="0" w:line="276" w:lineRule="auto"/>
      </w:pPr>
      <w:r>
        <w:rPr>
          <w:rFonts w:ascii="Segoe UI" w:hAnsi="Segoe UI"/>
          <w:b/>
          <w:color w:val="14171A"/>
          <w:spacing w:val="30"/>
          <w:sz w:val="16"/>
        </w:rPr>
        <w:t xml:space="preserve">1 — DOMAIN AND DNS</w:t>
      </w:r>
    </w:p>
    <w:p>
      <w:pPr>
        <w:spacing w:before="80" w:after="80"/>
        <w:pBdr>
          <w:bottom w:val="single" w:sz="6" w:space="1" w:color="D3D7D9"/>
        </w:pBdr>
      </w:pPr>
    </w:p>
    <w:p>
      <w:pPr>
        <w:shd w:val="clear" w:fill="EFF1F2"/>
        <w:spacing w:before="60" w:after="160" w:line="276" w:lineRule="auto"/>
        <w:ind w:left="140" w:right="46"/>
      </w:pPr>
      <w:r>
        <w:rPr>
          <w:rFonts w:ascii="Georgia" w:hAnsi="Georgia"/>
          <w:b/>
          <w:color w:val="14171A"/>
          <w:sz w:val="20"/>
        </w:rPr>
        <w:t xml:space="preserve">The domain is not moving.</w:t>
      </w:r>
      <w:r>
        <w:rPr>
          <w:rFonts w:ascii="Georgia" w:hAnsi="Georgia"/>
          <w:color w:val="5E666D"/>
          <w:sz w:val="20"/>
        </w:rPr>
        <w:t xml:space="preserve"> It stays registered through WebNic and bought through Axon, exactly as it is today. The only change being requested is the </w:t>
      </w:r>
      <w:r>
        <w:rPr>
          <w:rFonts w:ascii="Georgia" w:hAnsi="Georgia"/>
          <w:b/>
          <w:color w:val="14171A"/>
          <w:sz w:val="20"/>
        </w:rPr>
        <w:t xml:space="preserve">administrative contact</w:t>
      </w:r>
      <w:r>
        <w:rPr>
          <w:rFonts w:ascii="Georgia" w:hAnsi="Georgia"/>
          <w:color w:val="5E666D"/>
          <w:sz w:val="20"/>
        </w:rPr>
        <w:t xml:space="preserve">, which currently sits in the mailbox of someone who has left Corporate DNA — plus the registrar locks, which should have been on from the start. Moving the domain to a registrar Corporate DNA controls directly is worth considering later, on a calm week: it needs a transfer code sent to that same broken mailbox and restarts a 60-day ICANN lock, so it is the wrong thing to attempt in the same window as a website launch.</w:t>
      </w:r>
    </w:p>
    <w:p>
      <w:pPr>
        <w:keepNext/>
        <w:spacing w:before="200" w:after="40" w:line="276" w:lineRule="auto"/>
      </w:pPr>
      <w:r>
        <w:rPr>
          <w:rFonts w:ascii="Segoe UI" w:hAnsi="Segoe UI"/>
          <w:b/>
          <w:color w:val="14171A"/>
          <w:sz w:val="21"/>
        </w:rPr>
        <w:t xml:space="preserve">corporatednaconsulting.com</w:t>
      </w:r>
      <w:r>
        <w:rPr>
          <w:rFonts w:ascii="Segoe UI" w:hAnsi="Segoe UI"/>
          <w:color w:val="8A9298"/>
          <w:sz w:val="17"/>
        </w:rPr>
        <w:t xml:space="preserve">   WebNic, resold by Axon</w:t>
      </w:r>
    </w:p>
    <w:p>
      <w:pPr>
        <w:keepNext/>
        <w:spacing w:before="0" w:after="60" w:line="276" w:lineRule="auto"/>
      </w:pPr>
      <w:r>
        <w:rPr>
          <w:rFonts w:ascii="Segoe UI" w:hAnsi="Segoe UI"/>
          <w:b/>
          <w:color w:val="8A5308"/>
          <w:spacing w:val="20"/>
          <w:sz w:val="15"/>
        </w:rPr>
        <w:t xml:space="preserve">WAITING ON RHEA</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Corporate DNA, via the Axon billing portal</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Rhea Leckie — agreed, not yet recorded</w:t>
            </w:r>
          </w:p>
        </w:tc>
      </w:tr>
    </w:tbl>
    <w:p>
      <w:pPr>
        <w:spacing w:before="80" w:after="140" w:line="276" w:lineRule="auto"/>
      </w:pPr>
      <w:r>
        <w:rPr>
          <w:rFonts w:ascii="Georgia" w:hAnsi="Georgia"/>
          <w:color w:val="5E666D"/>
          <w:sz w:val="20"/>
        </w:rPr>
        <w:t xml:space="preserve">Expires 13 October 2026. Axon will make the contact change free of charge as soon as Rhea confirms by reply-all.</w:t>
      </w:r>
    </w:p>
    <w:p>
      <w:pPr>
        <w:keepNext/>
        <w:spacing w:before="200" w:after="40" w:line="276" w:lineRule="auto"/>
      </w:pPr>
      <w:r>
        <w:rPr>
          <w:rFonts w:ascii="Segoe UI" w:hAnsi="Segoe UI"/>
          <w:b/>
          <w:color w:val="14171A"/>
          <w:sz w:val="21"/>
        </w:rPr>
        <w:t xml:space="preserve">Registrar locks</w:t>
      </w:r>
      <w:r>
        <w:rPr>
          <w:rFonts w:ascii="Segoe UI" w:hAnsi="Segoe UI"/>
          <w:color w:val="8A9298"/>
          <w:sz w:val="17"/>
        </w:rPr>
        <w:t xml:space="preserve">   WebNic, via Axon</w:t>
      </w:r>
    </w:p>
    <w:p>
      <w:pPr>
        <w:keepNext/>
        <w:spacing w:before="0" w:after="60" w:line="276" w:lineRule="auto"/>
      </w:pPr>
      <w:r>
        <w:rPr>
          <w:rFonts w:ascii="Segoe UI" w:hAnsi="Segoe UI"/>
          <w:b/>
          <w:color w:val="A32A1C"/>
          <w:spacing w:val="20"/>
          <w:sz w:val="15"/>
        </w:rPr>
        <w:t xml:space="preserve">MISSING</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n/a</w:t>
            </w:r>
          </w:p>
        </w:tc>
      </w:tr>
    </w:tbl>
    <w:p>
      <w:pPr>
        <w:spacing w:before="80" w:after="140" w:line="276" w:lineRule="auto"/>
      </w:pPr>
      <w:r>
        <w:rPr>
          <w:rFonts w:ascii="Georgia" w:hAnsi="Georgia"/>
          <w:color w:val="5E666D"/>
          <w:sz w:val="20"/>
        </w:rPr>
        <w:t xml:space="preserve">Neither clientTransferProhibited nor clientUpdateProhibited is set. Most registrars enable transfer lock by default. Costs nothing, and should ride along with the contact change.</w:t>
      </w:r>
    </w:p>
    <w:p>
      <w:pPr>
        <w:keepNext/>
        <w:spacing w:before="200" w:after="40" w:line="276" w:lineRule="auto"/>
      </w:pPr>
      <w:r>
        <w:rPr>
          <w:rFonts w:ascii="Segoe UI" w:hAnsi="Segoe UI"/>
          <w:b/>
          <w:color w:val="14171A"/>
          <w:sz w:val="21"/>
        </w:rPr>
        <w:t xml:space="preserve">DNS zone</w:t>
      </w:r>
      <w:r>
        <w:rPr>
          <w:rFonts w:ascii="Segoe UI" w:hAnsi="Segoe UI"/>
          <w:color w:val="8A9298"/>
          <w:sz w:val="17"/>
        </w:rPr>
        <w:t xml:space="preserve">   Cloudflare</w:t>
      </w:r>
    </w:p>
    <w:p>
      <w:pPr>
        <w:keepNext/>
        <w:spacing w:before="0" w:after="60" w:line="276" w:lineRule="auto"/>
      </w:pPr>
      <w:r>
        <w:rPr>
          <w:rFonts w:ascii="Segoe UI" w:hAnsi="Segoe UI"/>
          <w:b/>
          <w:color w:val="8A9298"/>
          <w:spacing w:val="20"/>
          <w:sz w:val="15"/>
        </w:rPr>
        <w:t xml:space="preserve">OWNER UNKNOWN</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Corporate DNA — which mailbox owns it is unconfirmed</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to move to the institutional account</w:t>
            </w:r>
          </w:p>
        </w:tc>
      </w:tr>
    </w:tbl>
    <w:p>
      <w:pPr>
        <w:spacing w:before="80" w:after="140" w:line="276" w:lineRule="auto"/>
      </w:pPr>
      <w:r>
        <w:rPr>
          <w:rFonts w:ascii="Georgia" w:hAnsi="Georgia"/>
          <w:color w:val="5E666D"/>
          <w:sz w:val="20"/>
        </w:rPr>
        <w:t xml:space="preserve">Operational. Dev em Dobro has held an admin seat since 13 August, which is what makes the cutover independent of Axon. The invitation notice landed in Allison Vickery’s inbox, so the account owner needs checking and re-pointing.</w:t>
      </w:r>
    </w:p>
    <w:p>
      <w:pPr>
        <w:keepNext/>
        <w:spacing w:before="300" w:after="0" w:line="276" w:lineRule="auto"/>
      </w:pPr>
      <w:r>
        <w:rPr>
          <w:rFonts w:ascii="Segoe UI" w:hAnsi="Segoe UI"/>
          <w:b/>
          <w:color w:val="14171A"/>
          <w:spacing w:val="30"/>
          <w:sz w:val="16"/>
        </w:rPr>
        <w:t xml:space="preserve">2 — WEBSITE</w:t>
      </w:r>
    </w:p>
    <w:p>
      <w:pPr>
        <w:spacing w:before="80" w:after="80"/>
        <w:pBdr>
          <w:bottom w:val="single" w:sz="6" w:space="1" w:color="D3D7D9"/>
        </w:pBdr>
      </w:pPr>
    </w:p>
    <w:p>
      <w:pPr>
        <w:keepNext/>
        <w:spacing w:before="200" w:after="40" w:line="276" w:lineRule="auto"/>
      </w:pPr>
      <w:r>
        <w:rPr>
          <w:rFonts w:ascii="Segoe UI" w:hAnsi="Segoe UI"/>
          <w:b/>
          <w:color w:val="14171A"/>
          <w:sz w:val="21"/>
        </w:rPr>
        <w:t xml:space="preserve">Legacy WordPress site</w:t>
      </w:r>
      <w:r>
        <w:rPr>
          <w:rFonts w:ascii="Segoe UI" w:hAnsi="Segoe UI"/>
          <w:color w:val="8A9298"/>
          <w:sz w:val="17"/>
        </w:rPr>
        <w:t xml:space="preserve">   Axon, package Axon-P500</w:t>
      </w:r>
    </w:p>
    <w:p>
      <w:pPr>
        <w:keepNext/>
        <w:spacing w:before="0" w:after="60" w:line="276" w:lineRule="auto"/>
      </w:pPr>
      <w:r>
        <w:rPr>
          <w:rFonts w:ascii="Segoe UI" w:hAnsi="Segoe UI"/>
          <w:b/>
          <w:color w:val="8A9298"/>
          <w:spacing w:val="20"/>
          <w:sz w:val="15"/>
        </w:rPr>
        <w:t xml:space="preserve">RETIRING 30 SEP</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Corporate DNA</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n/a — being retired</w:t>
            </w:r>
          </w:p>
        </w:tc>
      </w:tr>
    </w:tbl>
    <w:p>
      <w:pPr>
        <w:spacing w:before="80" w:after="140" w:line="276" w:lineRule="auto"/>
      </w:pPr>
      <w:r>
        <w:rPr>
          <w:rFonts w:ascii="Georgia" w:hAnsi="Georgia"/>
          <w:color w:val="5E666D"/>
          <w:sz w:val="20"/>
        </w:rPr>
        <w:t xml:space="preserve">Marked Cancelled with the term ending 30 September. A three-month extension is available at SGD 150 — see Decision 2.</w:t>
      </w:r>
    </w:p>
    <w:p>
      <w:pPr>
        <w:keepNext/>
        <w:spacing w:before="200" w:after="40" w:line="276" w:lineRule="auto"/>
      </w:pPr>
      <w:r>
        <w:rPr>
          <w:rFonts w:ascii="Segoe UI" w:hAnsi="Segoe UI"/>
          <w:b/>
          <w:color w:val="14171A"/>
          <w:sz w:val="21"/>
        </w:rPr>
        <w:t xml:space="preserve">New website</w:t>
      </w:r>
      <w:r>
        <w:rPr>
          <w:rFonts w:ascii="Segoe UI" w:hAnsi="Segoe UI"/>
          <w:color w:val="8A9298"/>
          <w:sz w:val="17"/>
        </w:rPr>
        <w:t xml:space="preserve">   Vercel</w:t>
      </w:r>
    </w:p>
    <w:p>
      <w:pPr>
        <w:keepNext/>
        <w:spacing w:before="0" w:after="60" w:line="276" w:lineRule="auto"/>
      </w:pPr>
      <w:r>
        <w:rPr>
          <w:rFonts w:ascii="Segoe UI" w:hAnsi="Segoe UI"/>
          <w:b/>
          <w:color w:val="1B4F8A"/>
          <w:spacing w:val="20"/>
          <w:sz w:val="15"/>
        </w:rPr>
        <w:t xml:space="preserve">HANDOVER PLANNED</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Dev em Dobro</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to transfer</w:t>
            </w:r>
          </w:p>
        </w:tc>
      </w:tr>
    </w:tbl>
    <w:p>
      <w:pPr>
        <w:spacing w:before="80" w:after="140" w:line="276" w:lineRule="auto"/>
      </w:pPr>
      <w:r>
        <w:rPr>
          <w:rFonts w:ascii="Georgia" w:hAnsi="Georgia"/>
          <w:color w:val="5E666D"/>
          <w:sz w:val="20"/>
        </w:rPr>
        <w:t xml:space="preserve">Create a Corporate DNA team under the institutional account, transfer the project, add Nitin and Nicole. No downtime and no code change.</w:t>
      </w:r>
    </w:p>
    <w:p>
      <w:pPr>
        <w:keepNext/>
        <w:spacing w:before="200" w:after="40" w:line="276" w:lineRule="auto"/>
      </w:pPr>
      <w:r>
        <w:rPr>
          <w:rFonts w:ascii="Segoe UI" w:hAnsi="Segoe UI"/>
          <w:b/>
          <w:color w:val="14171A"/>
          <w:sz w:val="21"/>
        </w:rPr>
        <w:t xml:space="preserve">Content management system</w:t>
      </w:r>
      <w:r>
        <w:rPr>
          <w:rFonts w:ascii="Segoe UI" w:hAnsi="Segoe UI"/>
          <w:color w:val="8A9298"/>
          <w:sz w:val="17"/>
        </w:rPr>
        <w:t xml:space="preserve">   Vercel</w:t>
      </w:r>
    </w:p>
    <w:p>
      <w:pPr>
        <w:keepNext/>
        <w:spacing w:before="0" w:after="60" w:line="276" w:lineRule="auto"/>
      </w:pPr>
      <w:r>
        <w:rPr>
          <w:rFonts w:ascii="Segoe UI" w:hAnsi="Segoe UI"/>
          <w:b/>
          <w:color w:val="1B4F8A"/>
          <w:spacing w:val="20"/>
          <w:sz w:val="15"/>
        </w:rPr>
        <w:t xml:space="preserve">HANDOVER PLANNED</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Dev em Dobro</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to transfer</w:t>
            </w:r>
          </w:p>
        </w:tc>
      </w:tr>
    </w:tbl>
    <w:p>
      <w:pPr>
        <w:spacing w:before="80" w:after="140" w:line="276" w:lineRule="auto"/>
      </w:pPr>
      <w:r>
        <w:rPr>
          <w:rFonts w:ascii="Georgia" w:hAnsi="Georgia"/>
          <w:color w:val="5E666D"/>
          <w:sz w:val="20"/>
        </w:rPr>
        <w:t xml:space="preserve">Same account, same transfer, same window as the website.</w:t>
      </w:r>
    </w:p>
    <w:p>
      <w:pPr>
        <w:keepNext/>
        <w:spacing w:before="200" w:after="40" w:line="276" w:lineRule="auto"/>
      </w:pPr>
      <w:r>
        <w:rPr>
          <w:rFonts w:ascii="Segoe UI" w:hAnsi="Segoe UI"/>
          <w:b/>
          <w:color w:val="14171A"/>
          <w:sz w:val="21"/>
        </w:rPr>
        <w:t xml:space="preserve">Content database</w:t>
      </w:r>
      <w:r>
        <w:rPr>
          <w:rFonts w:ascii="Segoe UI" w:hAnsi="Segoe UI"/>
          <w:color w:val="8A9298"/>
          <w:sz w:val="17"/>
        </w:rPr>
        <w:t xml:space="preserve">   Supabase</w:t>
      </w:r>
    </w:p>
    <w:p>
      <w:pPr>
        <w:keepNext/>
        <w:spacing w:before="0" w:after="60" w:line="276" w:lineRule="auto"/>
      </w:pPr>
      <w:r>
        <w:rPr>
          <w:rFonts w:ascii="Segoe UI" w:hAnsi="Segoe UI"/>
          <w:b/>
          <w:color w:val="1B4F8A"/>
          <w:spacing w:val="20"/>
          <w:sz w:val="15"/>
        </w:rPr>
        <w:t xml:space="preserve">HANDOVER PLANNED</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Dev em Dobro</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to transfer</w:t>
            </w:r>
          </w:p>
        </w:tc>
      </w:tr>
    </w:tbl>
    <w:p>
      <w:pPr>
        <w:spacing w:before="80" w:after="140" w:line="276" w:lineRule="auto"/>
      </w:pPr>
      <w:r>
        <w:rPr>
          <w:rFonts w:ascii="Georgia" w:hAnsi="Georgia"/>
          <w:color w:val="5E666D"/>
          <w:sz w:val="20"/>
        </w:rPr>
        <w:t xml:space="preserve">Holds all authored content — case studies, Solutions, people and partnerships. Transfers to a Corporate DNA organisation, with Nitin and Nicole added as administrators.</w:t>
      </w:r>
    </w:p>
    <w:p>
      <w:pPr>
        <w:keepNext/>
        <w:spacing w:before="200" w:after="40" w:line="276" w:lineRule="auto"/>
      </w:pPr>
      <w:r>
        <w:rPr>
          <w:rFonts w:ascii="Segoe UI" w:hAnsi="Segoe UI"/>
          <w:b/>
          <w:color w:val="14171A"/>
          <w:sz w:val="21"/>
        </w:rPr>
        <w:t xml:space="preserve">Legacy database</w:t>
      </w:r>
      <w:r>
        <w:rPr>
          <w:rFonts w:ascii="Segoe UI" w:hAnsi="Segoe UI"/>
          <w:color w:val="8A9298"/>
          <w:sz w:val="17"/>
        </w:rPr>
        <w:t xml:space="preserve">   Neon</w:t>
      </w:r>
    </w:p>
    <w:p>
      <w:pPr>
        <w:keepNext/>
        <w:spacing w:before="0" w:after="60" w:line="276" w:lineRule="auto"/>
      </w:pPr>
      <w:r>
        <w:rPr>
          <w:rFonts w:ascii="Segoe UI" w:hAnsi="Segoe UI"/>
          <w:b/>
          <w:color w:val="8A9298"/>
          <w:spacing w:val="20"/>
          <w:sz w:val="15"/>
        </w:rPr>
        <w:t xml:space="preserve">RETIRING AFTER LAUNCH</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Dev em Dobro</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n/a</w:t>
            </w:r>
          </w:p>
        </w:tc>
      </w:tr>
    </w:tbl>
    <w:p>
      <w:pPr>
        <w:spacing w:before="80" w:after="140" w:line="276" w:lineRule="auto"/>
      </w:pPr>
      <w:r>
        <w:rPr>
          <w:rFonts w:ascii="Georgia" w:hAnsi="Georgia"/>
          <w:color w:val="5E666D"/>
          <w:sz w:val="20"/>
        </w:rPr>
        <w:t xml:space="preserve">Read-only rollback copy kept from the database migration. No action needed; listed so it is not discovered later.</w:t>
      </w:r>
    </w:p>
    <w:p>
      <w:pPr>
        <w:keepNext/>
        <w:spacing w:before="200" w:after="40" w:line="276" w:lineRule="auto"/>
      </w:pPr>
      <w:r>
        <w:rPr>
          <w:rFonts w:ascii="Segoe UI" w:hAnsi="Segoe UI"/>
          <w:b/>
          <w:color w:val="14171A"/>
          <w:sz w:val="21"/>
        </w:rPr>
        <w:t xml:space="preserve">Transactional email</w:t>
      </w:r>
      <w:r>
        <w:rPr>
          <w:rFonts w:ascii="Segoe UI" w:hAnsi="Segoe UI"/>
          <w:color w:val="8A9298"/>
          <w:sz w:val="17"/>
        </w:rPr>
        <w:t xml:space="preserve">   Resend</w:t>
      </w:r>
    </w:p>
    <w:p>
      <w:pPr>
        <w:keepNext/>
        <w:spacing w:before="0" w:after="60" w:line="276" w:lineRule="auto"/>
      </w:pPr>
      <w:r>
        <w:rPr>
          <w:rFonts w:ascii="Segoe UI" w:hAnsi="Segoe UI"/>
          <w:b/>
          <w:color w:val="1B4F8A"/>
          <w:spacing w:val="20"/>
          <w:sz w:val="15"/>
        </w:rPr>
        <w:t xml:space="preserve">HANDOVER PLANNED</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Dev em Dobro</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to transfer</w:t>
            </w:r>
          </w:p>
        </w:tc>
      </w:tr>
    </w:tbl>
    <w:p>
      <w:pPr>
        <w:spacing w:before="80" w:after="140" w:line="276" w:lineRule="auto"/>
      </w:pPr>
      <w:r>
        <w:rPr>
          <w:rFonts w:ascii="Georgia" w:hAnsi="Georgia"/>
          <w:color w:val="5E666D"/>
          <w:sz w:val="20"/>
        </w:rPr>
        <w:t xml:space="preserve">Sends CMS login and password-reset mail. Small, but it is a client-facing sender, so it belongs in the same handover.</w:t>
      </w:r>
    </w:p>
    <w:p>
      <w:pPr>
        <w:keepNext/>
        <w:spacing w:before="300" w:after="0" w:line="276" w:lineRule="auto"/>
      </w:pPr>
      <w:r>
        <w:rPr>
          <w:rFonts w:ascii="Segoe UI" w:hAnsi="Segoe UI"/>
          <w:b/>
          <w:color w:val="14171A"/>
          <w:spacing w:val="30"/>
          <w:sz w:val="16"/>
        </w:rPr>
        <w:t xml:space="preserve">3 — MICROSOFT AND PRODUCTIVITY</w:t>
      </w:r>
    </w:p>
    <w:p>
      <w:pPr>
        <w:spacing w:before="80" w:after="80"/>
        <w:pBdr>
          <w:bottom w:val="single" w:sz="6" w:space="1" w:color="D3D7D9"/>
        </w:pBdr>
      </w:pPr>
    </w:p>
    <w:p>
      <w:pPr>
        <w:keepNext/>
        <w:spacing w:before="200" w:after="40" w:line="276" w:lineRule="auto"/>
      </w:pPr>
      <w:r>
        <w:rPr>
          <w:rFonts w:ascii="Segoe UI" w:hAnsi="Segoe UI"/>
          <w:b/>
          <w:color w:val="14171A"/>
          <w:sz w:val="21"/>
        </w:rPr>
        <w:t xml:space="preserve">Email, SharePoint, Teams</w:t>
      </w:r>
      <w:r>
        <w:rPr>
          <w:rFonts w:ascii="Segoe UI" w:hAnsi="Segoe UI"/>
          <w:color w:val="8A9298"/>
          <w:sz w:val="17"/>
        </w:rPr>
        <w:t xml:space="preserve">   Microsoft 365</w:t>
      </w:r>
    </w:p>
    <w:p>
      <w:pPr>
        <w:keepNext/>
        <w:spacing w:before="0" w:after="60" w:line="276" w:lineRule="auto"/>
      </w:pPr>
      <w:r>
        <w:rPr>
          <w:rFonts w:ascii="Segoe UI" w:hAnsi="Segoe UI"/>
          <w:b/>
          <w:color w:val="8A9298"/>
          <w:spacing w:val="20"/>
          <w:sz w:val="15"/>
        </w:rPr>
        <w:t xml:space="preserve">OWNER UNKNOWN</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Corporate DNA tenant</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administrator not documented</w:t>
            </w:r>
          </w:p>
        </w:tc>
      </w:tr>
    </w:tbl>
    <w:p>
      <w:pPr>
        <w:spacing w:before="80" w:after="140" w:line="276" w:lineRule="auto"/>
      </w:pPr>
      <w:r>
        <w:rPr>
          <w:rFonts w:ascii="Georgia" w:hAnsi="Georgia"/>
          <w:color w:val="5E666D"/>
          <w:sz w:val="20"/>
        </w:rPr>
        <w:t xml:space="preserve">Mail routing is confirmed as Microsoft 365 and the cutover leaves it alone. Eztech Services (Tay Weida) is the likely administrator — he is on the thread and states he took over IT. Worth confirming in writing rather than assuming.</w:t>
      </w:r>
    </w:p>
    <w:p>
      <w:pPr>
        <w:keepNext/>
        <w:spacing w:before="200" w:after="40" w:line="276" w:lineRule="auto"/>
      </w:pPr>
      <w:r>
        <w:rPr>
          <w:rFonts w:ascii="Segoe UI" w:hAnsi="Segoe UI"/>
          <w:b/>
          <w:color w:val="14171A"/>
          <w:sz w:val="21"/>
        </w:rPr>
        <w:t xml:space="preserve">Other authorised senders</w:t>
      </w:r>
      <w:r>
        <w:rPr>
          <w:rFonts w:ascii="Segoe UI" w:hAnsi="Segoe UI"/>
          <w:color w:val="8A9298"/>
          <w:sz w:val="17"/>
        </w:rPr>
        <w:t xml:space="preserve">   Zoho, SendGrid, Mailchimp, a smarthost and a fixed IP range</w:t>
      </w:r>
    </w:p>
    <w:p>
      <w:pPr>
        <w:keepNext/>
        <w:spacing w:before="0" w:after="60" w:line="276" w:lineRule="auto"/>
      </w:pPr>
      <w:r>
        <w:rPr>
          <w:rFonts w:ascii="Segoe UI" w:hAnsi="Segoe UI"/>
          <w:b/>
          <w:color w:val="8A9298"/>
          <w:spacing w:val="20"/>
          <w:sz w:val="15"/>
        </w:rPr>
        <w:t xml:space="preserve">OWNER UNKNOWN</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unknown</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open</w:t>
            </w:r>
          </w:p>
        </w:tc>
      </w:tr>
    </w:tbl>
    <w:p>
      <w:pPr>
        <w:spacing w:before="80" w:after="140" w:line="276" w:lineRule="auto"/>
      </w:pPr>
      <w:r>
        <w:rPr>
          <w:rFonts w:ascii="Georgia" w:hAnsi="Georgia"/>
          <w:color w:val="5E666D"/>
          <w:sz w:val="20"/>
        </w:rPr>
        <w:t xml:space="preserve">Five entries in the domain’s SPF record are authorised to send email as Corporate DNA. Each needs a named owner, or removal.</w:t>
      </w:r>
    </w:p>
    <w:p>
      <w:pPr>
        <w:keepNext/>
        <w:spacing w:before="200" w:after="40" w:line="276" w:lineRule="auto"/>
      </w:pPr>
      <w:r>
        <w:rPr>
          <w:rFonts w:ascii="Segoe UI" w:hAnsi="Segoe UI"/>
          <w:b/>
          <w:color w:val="14171A"/>
          <w:sz w:val="21"/>
        </w:rPr>
        <w:t xml:space="preserve">Endpoint security</w:t>
      </w:r>
      <w:r>
        <w:rPr>
          <w:rFonts w:ascii="Segoe UI" w:hAnsi="Segoe UI"/>
          <w:color w:val="8A9298"/>
          <w:sz w:val="17"/>
        </w:rPr>
        <w:t xml:space="preserve">   Bitdefender, via Axon</w:t>
      </w:r>
    </w:p>
    <w:p>
      <w:pPr>
        <w:keepNext/>
        <w:spacing w:before="0" w:after="60" w:line="276" w:lineRule="auto"/>
      </w:pPr>
      <w:r>
        <w:rPr>
          <w:rFonts w:ascii="Segoe UI" w:hAnsi="Segoe UI"/>
          <w:b/>
          <w:color w:val="A32A1C"/>
          <w:spacing w:val="20"/>
          <w:sz w:val="15"/>
        </w:rPr>
        <w:t xml:space="preserve">TERMINATED</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Corporate DNA</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open</w:t>
            </w:r>
          </w:p>
        </w:tc>
      </w:tr>
    </w:tbl>
    <w:p>
      <w:pPr>
        <w:spacing w:before="80" w:after="140" w:line="276" w:lineRule="auto"/>
      </w:pPr>
      <w:r>
        <w:rPr>
          <w:rFonts w:ascii="Georgia" w:hAnsi="Georgia"/>
          <w:color w:val="5E666D"/>
          <w:sz w:val="20"/>
        </w:rPr>
        <w:t xml:space="preserve">S$ 720/yr licence, terminated since 1 March 2025. Nobody renewed it. Outside the website project, but it is the same pattern: a service that lapsed because it had no owner.</w:t>
      </w:r>
    </w:p>
    <w:p>
      <w:pPr>
        <w:keepNext/>
        <w:spacing w:before="300" w:after="0" w:line="276" w:lineRule="auto"/>
      </w:pPr>
      <w:r>
        <w:rPr>
          <w:rFonts w:ascii="Segoe UI" w:hAnsi="Segoe UI"/>
          <w:b/>
          <w:color w:val="14171A"/>
          <w:spacing w:val="30"/>
          <w:sz w:val="16"/>
        </w:rPr>
        <w:t xml:space="preserve">4 — ANALYTICS AND SEARCH</w:t>
      </w:r>
    </w:p>
    <w:p>
      <w:pPr>
        <w:spacing w:before="80" w:after="80"/>
        <w:pBdr>
          <w:bottom w:val="single" w:sz="6" w:space="1" w:color="D3D7D9"/>
        </w:pBdr>
      </w:pPr>
    </w:p>
    <w:p>
      <w:pPr>
        <w:keepNext/>
        <w:spacing w:before="200" w:after="40" w:line="276" w:lineRule="auto"/>
      </w:pPr>
      <w:r>
        <w:rPr>
          <w:rFonts w:ascii="Segoe UI" w:hAnsi="Segoe UI"/>
          <w:b/>
          <w:color w:val="14171A"/>
          <w:sz w:val="21"/>
        </w:rPr>
        <w:t xml:space="preserve">Google Analytics 4</w:t>
      </w:r>
      <w:r>
        <w:rPr>
          <w:rFonts w:ascii="Segoe UI" w:hAnsi="Segoe UI"/>
          <w:color w:val="8A9298"/>
          <w:sz w:val="17"/>
        </w:rPr>
        <w:t xml:space="preserve">   Google</w:t>
      </w:r>
    </w:p>
    <w:p>
      <w:pPr>
        <w:keepNext/>
        <w:spacing w:before="0" w:after="60" w:line="276" w:lineRule="auto"/>
      </w:pPr>
      <w:r>
        <w:rPr>
          <w:rFonts w:ascii="Segoe UI" w:hAnsi="Segoe UI"/>
          <w:b/>
          <w:color w:val="17693F"/>
          <w:spacing w:val="20"/>
          <w:sz w:val="15"/>
        </w:rPr>
        <w:t xml:space="preserve">DONE, 3 SEP</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Corporate DNA</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Nicole Phoon</w:t>
            </w:r>
          </w:p>
        </w:tc>
      </w:tr>
    </w:tbl>
    <w:p>
      <w:pPr>
        <w:spacing w:before="80" w:after="140" w:line="276" w:lineRule="auto"/>
      </w:pPr>
      <w:r>
        <w:rPr>
          <w:rFonts w:ascii="Georgia" w:hAnsi="Georgia"/>
          <w:color w:val="5E666D"/>
          <w:sz w:val="20"/>
        </w:rPr>
        <w:t xml:space="preserve">Nicole created a Google Account and Axon added her as administrator on the morning of 3 September. She still needs to accept the invitation. The property carries real history — around 5,000 sessions in 2025 — which is why the new site reports to this same property rather than a fresh one.</w:t>
      </w:r>
    </w:p>
    <w:p>
      <w:pPr>
        <w:keepNext/>
        <w:spacing w:before="200" w:after="40" w:line="276" w:lineRule="auto"/>
      </w:pPr>
      <w:r>
        <w:rPr>
          <w:rFonts w:ascii="Segoe UI" w:hAnsi="Segoe UI"/>
          <w:b/>
          <w:color w:val="14171A"/>
          <w:sz w:val="21"/>
        </w:rPr>
        <w:t xml:space="preserve">Google Search Console</w:t>
      </w:r>
      <w:r>
        <w:rPr>
          <w:rFonts w:ascii="Segoe UI" w:hAnsi="Segoe UI"/>
          <w:color w:val="8A9298"/>
          <w:sz w:val="17"/>
        </w:rPr>
        <w:t xml:space="preserve">   Google</w:t>
      </w:r>
    </w:p>
    <w:p>
      <w:pPr>
        <w:keepNext/>
        <w:spacing w:before="0" w:after="60" w:line="276" w:lineRule="auto"/>
      </w:pPr>
      <w:r>
        <w:rPr>
          <w:rFonts w:ascii="Segoe UI" w:hAnsi="Segoe UI"/>
          <w:b/>
          <w:color w:val="8A5308"/>
          <w:spacing w:val="20"/>
          <w:sz w:val="15"/>
        </w:rPr>
        <w:t xml:space="preserve">WAITING ON AXON</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unknown</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to be the institutional account</w:t>
            </w:r>
          </w:p>
        </w:tc>
      </w:tr>
    </w:tbl>
    <w:p>
      <w:pPr>
        <w:spacing w:before="80" w:after="140" w:line="276" w:lineRule="auto"/>
      </w:pPr>
      <w:r>
        <w:rPr>
          <w:rFonts w:ascii="Georgia" w:hAnsi="Georgia"/>
          <w:color w:val="5E666D"/>
          <w:sz w:val="20"/>
        </w:rPr>
        <w:t xml:space="preserve">A Google verification record exists in the DNS zone, so a property exists somewhere. Axon is verifying who currently holds it. This is the product that carries search history and ownership verification.</w:t>
      </w:r>
    </w:p>
    <w:p>
      <w:pPr>
        <w:keepNext/>
        <w:spacing w:before="200" w:after="40" w:line="276" w:lineRule="auto"/>
      </w:pPr>
      <w:r>
        <w:rPr>
          <w:rFonts w:ascii="Segoe UI" w:hAnsi="Segoe UI"/>
          <w:b/>
          <w:color w:val="14171A"/>
          <w:sz w:val="21"/>
        </w:rPr>
        <w:t xml:space="preserve">Legacy Universal Analytics</w:t>
      </w:r>
      <w:r>
        <w:rPr>
          <w:rFonts w:ascii="Segoe UI" w:hAnsi="Segoe UI"/>
          <w:color w:val="8A9298"/>
          <w:sz w:val="17"/>
        </w:rPr>
        <w:t xml:space="preserve">   Google</w:t>
      </w:r>
    </w:p>
    <w:p>
      <w:pPr>
        <w:keepNext/>
        <w:spacing w:before="0" w:after="60" w:line="276" w:lineRule="auto"/>
      </w:pPr>
      <w:r>
        <w:rPr>
          <w:rFonts w:ascii="Segoe UI" w:hAnsi="Segoe UI"/>
          <w:b/>
          <w:color w:val="8A9298"/>
          <w:spacing w:val="20"/>
          <w:sz w:val="15"/>
        </w:rPr>
        <w:t xml:space="preserve">REFERENCE ONLY</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Corporate DNA — same account</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n/a</w:t>
            </w:r>
          </w:p>
        </w:tc>
      </w:tr>
    </w:tbl>
    <w:p>
      <w:pPr>
        <w:spacing w:before="80" w:after="140" w:line="276" w:lineRule="auto"/>
      </w:pPr>
      <w:r>
        <w:rPr>
          <w:rFonts w:ascii="Georgia" w:hAnsi="Georgia"/>
          <w:color w:val="5E666D"/>
          <w:sz w:val="20"/>
        </w:rPr>
        <w:t xml:space="preserve">Discontinued by Google. It cannot be converted and its history does not migrate. No action needed.</w:t>
      </w:r>
    </w:p>
    <w:p>
      <w:pPr>
        <w:keepNext/>
        <w:spacing w:before="300" w:after="0" w:line="276" w:lineRule="auto"/>
      </w:pPr>
      <w:r>
        <w:rPr>
          <w:rFonts w:ascii="Segoe UI" w:hAnsi="Segoe UI"/>
          <w:b/>
          <w:color w:val="14171A"/>
          <w:spacing w:val="30"/>
          <w:sz w:val="16"/>
        </w:rPr>
        <w:t xml:space="preserve">5 — LEARNING PLATFORM</w:t>
      </w:r>
    </w:p>
    <w:p>
      <w:pPr>
        <w:spacing w:before="80" w:after="80"/>
        <w:pBdr>
          <w:bottom w:val="single" w:sz="6" w:space="1" w:color="D3D7D9"/>
        </w:pBdr>
      </w:pPr>
    </w:p>
    <w:p>
      <w:pPr>
        <w:keepNext/>
        <w:spacing w:before="200" w:after="40" w:line="276" w:lineRule="auto"/>
      </w:pPr>
      <w:r>
        <w:rPr>
          <w:rFonts w:ascii="Segoe UI" w:hAnsi="Segoe UI"/>
          <w:b/>
          <w:color w:val="14171A"/>
          <w:sz w:val="21"/>
        </w:rPr>
        <w:t xml:space="preserve">LMS</w:t>
      </w:r>
      <w:r>
        <w:rPr>
          <w:rFonts w:ascii="Segoe UI" w:hAnsi="Segoe UI"/>
          <w:color w:val="8A9298"/>
          <w:sz w:val="17"/>
        </w:rPr>
        <w:t xml:space="preserve">   to be confirmed by Corporate DNA</w:t>
      </w:r>
    </w:p>
    <w:p>
      <w:pPr>
        <w:keepNext/>
        <w:spacing w:before="0" w:after="60" w:line="276" w:lineRule="auto"/>
      </w:pPr>
      <w:r>
        <w:rPr>
          <w:rFonts w:ascii="Segoe UI" w:hAnsi="Segoe UI"/>
          <w:b/>
          <w:color w:val="8A9298"/>
          <w:spacing w:val="20"/>
          <w:sz w:val="15"/>
        </w:rPr>
        <w:t xml:space="preserve">NOT IDENTIFIED</w:t>
      </w:r>
    </w:p>
    <w:tbl>
      <w:tblPr>
        <w:tblW w:w="9360" w:type="dxa"/>
        <w:tblBorders>
          <w:top w:val="single" w:sz="4" w:color="D3D7D9"/>
          <w:bottom w:val="single" w:sz="4" w:color="D3D7D9"/>
          <w:insideH w:val="single" w:sz="4" w:color="D3D7D9"/>
        </w:tblBorders>
        <w:tblLayout w:type="fixed"/>
      </w:tblPr>
      <w:tblGrid>
        <w:gridCol w:w="4680"/>
        <w:gridCol w:w="4680"/>
      </w:tblGrid>
      <w:tr>
        <w:trPr>
          <w:cantSplit/>
        </w:trPr>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ACCOUNT HELD BY</w:t>
            </w:r>
          </w:p>
          <w:p>
            <w:pPr>
              <w:spacing w:before="0" w:after="40" w:line="252" w:lineRule="auto"/>
            </w:pPr>
            <w:r>
              <w:rPr>
                <w:rFonts w:ascii="Segoe UI" w:hAnsi="Segoe UI"/>
                <w:color w:val="14171A"/>
                <w:sz w:val="17"/>
              </w:rPr>
              <w:t xml:space="preserve">unknown</w:t>
            </w:r>
          </w:p>
        </w:tc>
        <w:tc>
          <w:tcPr>
            <w:tcW w:w="4680" w:type="dxa"/>
            <w:tcMar>
              <w:top w:w="90" w:type="dxa"/>
              <w:bottom w:w="90" w:type="dxa"/>
              <w:left w:w="120" w:type="dxa"/>
              <w:right w:w="120" w:type="dxa"/>
            </w:tcMar>
            <w:vAlign w:val="top"/>
          </w:tcPr>
          <w:p>
            <w:pPr>
              <w:spacing w:before="0" w:after="40" w:line="252" w:lineRule="auto"/>
            </w:pPr>
            <w:r>
              <w:rPr>
                <w:rFonts w:ascii="Segoe UI" w:hAnsi="Segoe UI"/>
                <w:b/>
                <w:color w:val="8A9298"/>
                <w:spacing w:val="20"/>
                <w:sz w:val="13"/>
              </w:rPr>
              <w:t xml:space="preserve">INTERNAL OWNER</w:t>
            </w:r>
          </w:p>
          <w:p>
            <w:pPr>
              <w:spacing w:before="0" w:after="40" w:line="252" w:lineRule="auto"/>
            </w:pPr>
            <w:r>
              <w:rPr>
                <w:rFonts w:ascii="Segoe UI" w:hAnsi="Segoe UI"/>
                <w:color w:val="14171A"/>
                <w:sz w:val="17"/>
              </w:rPr>
              <w:t xml:space="preserve">unknown</w:t>
            </w:r>
          </w:p>
        </w:tc>
      </w:tr>
    </w:tbl>
    <w:p>
      <w:pPr>
        <w:spacing w:before="80" w:after="140" w:line="276" w:lineRule="auto"/>
      </w:pPr>
      <w:r>
        <w:rPr>
          <w:rFonts w:ascii="Georgia" w:hAnsi="Georgia"/>
          <w:color w:val="5E666D"/>
          <w:sz w:val="20"/>
        </w:rPr>
        <w:t xml:space="preserve">Raised as something that could share hosting with the website. Checked on 3 September: no LMS subdomain resolves on this domain — 34 likely names tested, none answer, and there is no wildcard record. So it runs on another domain, or under a name we could not guess. Four questions: which platform, at what address learners reach it, who contracted it, and whether it sits on the Axon server that switches off on 30 September.</w:t>
      </w:r>
    </w:p>
    <w:p>
      <w:pPr>
        <w:spacing w:before="300" w:after="120" w:line="276" w:lineRule="auto"/>
      </w:pPr>
      <w:r>
        <w:rPr>
          <w:rFonts w:ascii="Segoe UI" w:hAnsi="Segoe UI"/>
          <w:color w:val="8A9298"/>
          <w:sz w:val="15"/>
        </w:rPr>
        <w:t xml:space="preserve">Compiled 3 September 2026 from the Axon correspondence, the Corporate DNA billing portal, live DNS records and the project’s own deployment configuration. Questions to Ricardo, Dev em Dobro.</w:t>
      </w:r>
    </w:p>
    <w:p>
      <w:r>
        <w:br w:type="page"/>
      </w:r>
    </w:p>
    <w:p>
      <w:pPr>
        <w:shd w:val="clear" w:fill="EFF1F2"/>
        <w:spacing w:before="0" w:after="120" w:line="276" w:lineRule="auto"/>
        <w:ind w:left="100" w:right="33"/>
      </w:pPr>
      <w:r>
        <w:rPr>
          <w:rFonts w:ascii="Segoe UI" w:hAnsi="Segoe UI"/>
          <w:b/>
          <w:color w:val="A32A1C"/>
          <w:spacing w:val="40"/>
          <w:sz w:val="18"/>
        </w:rPr>
        <w:t xml:space="preserve">USO INTERNO — NÃO ENVIAR ESTA SEÇÃO</w:t>
      </w:r>
    </w:p>
    <w:p>
      <w:pPr>
        <w:keepNext/>
        <w:spacing w:before="40" w:after="140" w:line="240" w:lineRule="auto"/>
      </w:pPr>
      <w:r>
        <w:rPr>
          <w:rFonts w:ascii="Segoe UI" w:hAnsi="Segoe UI"/>
          <w:b/>
          <w:color w:val="14171A"/>
          <w:sz w:val="32"/>
        </w:rPr>
        <w:t xml:space="preserve">Três decisões que são suas antes de mandar</w:t>
      </w:r>
    </w:p>
    <w:p>
      <w:pPr>
        <w:spacing w:before="0" w:after="120" w:line="276" w:lineRule="auto"/>
      </w:pPr>
      <w:r>
        <w:rPr>
          <w:rFonts w:ascii="Georgia" w:hAnsi="Georgia"/>
          <w:color w:val="5E666D"/>
          <w:sz w:val="20"/>
        </w:rPr>
        <w:t xml:space="preserve">A partir daqui é português de propósito — é o corte entre o que vai para o cliente e o que fica com a gente.</w:t>
      </w:r>
    </w:p>
    <w:p>
      <w:pPr>
        <w:keepNext/>
        <w:spacing w:before="180" w:after="40" w:line="276" w:lineRule="auto"/>
      </w:pPr>
      <w:r>
        <w:rPr>
          <w:rFonts w:ascii="Segoe UI" w:hAnsi="Segoe UI"/>
          <w:b/>
          <w:color w:val="14171A"/>
          <w:sz w:val="20"/>
        </w:rPr>
        <w:t xml:space="preserve">1. As quatro contas em nosso nome estão declaradas</w:t>
      </w:r>
    </w:p>
    <w:p>
      <w:pPr>
        <w:spacing w:before="0" w:after="60" w:line="276" w:lineRule="auto"/>
      </w:pPr>
      <w:r>
        <w:rPr>
          <w:rFonts w:ascii="Georgia" w:hAnsi="Georgia"/>
          <w:color w:val="5E666D"/>
          <w:sz w:val="20"/>
        </w:rPr>
        <w:t xml:space="preserve">Vercel, Supabase, Neon e Resend, todas com caminho de transferência ao lado. É o oposto do caso Axon — e se a gente não declarar, eles descobrem sozinhos e a leitura fica pior. O enquadramento mudou: como o Guilherme já fixou a regra em 01/09, o documento é execução da instrução dele, não proposta nossa. Isso tira o tom defensivo sem esconder nada. Dá para cortar essas linhas, mas eu mandaria.</w:t>
      </w:r>
    </w:p>
    <w:p>
      <w:pPr>
        <w:keepNext/>
        <w:spacing w:before="180" w:after="40" w:line="276" w:lineRule="auto"/>
      </w:pPr>
      <w:r>
        <w:rPr>
          <w:rFonts w:ascii="Segoe UI" w:hAnsi="Segoe UI"/>
          <w:b/>
          <w:color w:val="14171A"/>
          <w:sz w:val="20"/>
        </w:rPr>
        <w:t xml:space="preserve">2. A licença Bitdefender terminada desde março de 2025</w:t>
      </w:r>
    </w:p>
    <w:p>
      <w:pPr>
        <w:spacing w:before="0" w:after="60" w:line="276" w:lineRule="auto"/>
      </w:pPr>
      <w:r>
        <w:rPr>
          <w:rFonts w:ascii="Georgia" w:hAnsi="Georgia"/>
          <w:color w:val="5E666D"/>
          <w:sz w:val="20"/>
        </w:rPr>
        <w:t xml:space="preserve">Não é assunto nosso e não tem relação com o site. Está aí porque é exatamente o padrão que a Rhea está tentando mapear: serviço que morreu porque não tinha dono. Fácil de cortar se você achar que passa de escopo.</w:t>
      </w:r>
    </w:p>
    <w:p>
      <w:pPr>
        <w:keepNext/>
        <w:spacing w:before="180" w:after="40" w:line="276" w:lineRule="auto"/>
      </w:pPr>
      <w:r>
        <w:rPr>
          <w:rFonts w:ascii="Segoe UI" w:hAnsi="Segoe UI"/>
          <w:b/>
          <w:color w:val="14171A"/>
          <w:sz w:val="20"/>
        </w:rPr>
        <w:t xml:space="preserve">3. O Supabase sem backup ficou só aqui</w:t>
      </w:r>
    </w:p>
    <w:p>
      <w:pPr>
        <w:spacing w:before="0" w:after="60" w:line="276" w:lineRule="auto"/>
      </w:pPr>
      <w:r>
        <w:rPr>
          <w:rFonts w:ascii="Georgia" w:hAnsi="Georgia"/>
          <w:color w:val="5E666D"/>
          <w:sz w:val="20"/>
        </w:rPr>
        <w:t xml:space="preserve">Saiu do documento do cliente a seu pedido. O risco não saiu junto: plano gratuito, sem backup automático e sem PITR. Se aquele banco sumir, os 8 cases e as Solutions são redigitados do zero — as pessoas dá para reconvidar, o conteúdo não. O dump está documentado como necessário desde 19/07 e continua sem dono. Como não vai mais no documento, não existe mais nada forçando a data — se não entrar num tracker hoje, ele volta a ser esquecido.</w:t>
      </w:r>
    </w:p>
    <w:p>
      <w:pPr>
        <w:keepNext/>
        <w:spacing w:before="180" w:after="40" w:line="276" w:lineRule="auto"/>
      </w:pPr>
      <w:r>
        <w:rPr>
          <w:rFonts w:ascii="Segoe UI" w:hAnsi="Segoe UI"/>
          <w:b/>
          <w:color w:val="14171A"/>
          <w:sz w:val="20"/>
        </w:rPr>
        <w:t xml:space="preserve">Duas coisas para levar para a call de hoje</w:t>
      </w:r>
    </w:p>
    <w:p>
      <w:pPr>
        <w:spacing w:before="0" w:after="60" w:line="276" w:lineRule="auto"/>
      </w:pPr>
      <w:r>
        <w:rPr>
          <w:rFonts w:ascii="Georgia" w:hAnsi="Georgia"/>
          <w:color w:val="5E666D"/>
          <w:sz w:val="20"/>
        </w:rPr>
        <w:t xml:space="preserve">A Rhea é o gargalo do contato do domínio, e ela nem sabe: é um reply-all de trinta segundos, sem custo e sem carta timbrada, porque o Amit a conhece pessoalmente. E os SGD 150 precisam de um sim ou não — o Rico já cobrou duas vezes.</w:t>
      </w:r>
    </w:p>
    <w:p>
      <w:pPr>
        <w:keepNext/>
        <w:spacing w:before="180" w:after="40" w:line="276" w:lineRule="auto"/>
      </w:pPr>
      <w:r>
        <w:rPr>
          <w:rFonts w:ascii="Segoe UI" w:hAnsi="Segoe UI"/>
          <w:b/>
          <w:color w:val="14171A"/>
          <w:sz w:val="20"/>
        </w:rPr>
        <w:t xml:space="preserve">O que sobrou sem resposta</w:t>
      </w:r>
    </w:p>
    <w:p>
      <w:pPr>
        <w:spacing w:before="0" w:after="60" w:line="276" w:lineRule="auto"/>
      </w:pPr>
      <w:r>
        <w:rPr>
          <w:rFonts w:ascii="Georgia" w:hAnsi="Georgia"/>
          <w:color w:val="5E666D"/>
          <w:sz w:val="20"/>
        </w:rPr>
        <w:t xml:space="preserve">Qual caixa é dona da conta Cloudflare, e se está presa na conta da Allison. Quem administra o tenant Microsoft 365 — Eztech é o provável, ninguém confirmou. Quem usa Zoho, SendGrid e Mailchimp com o domínio. E o LMS: qual é, de quem é, e se está no servidor que desliga em 30/09.</w:t>
      </w:r>
    </w:p>
    <w:sectPr>
      <w:pgSz w:w="11906" w:h="16838"/>
      <w:pgMar w:top="1400" w:right="1300" w:bottom="1400" w:left="1300" w:header="708" w:footer="708" w:gutter="0"/>
    </w:sectPr>
  </w:body>
</w:document>
</file>

<file path=docProps/core.xml><?xml version="1.0" encoding="utf-8"?>
<cp:coreProperties xmlns:cp="http://schemas.openxmlformats.org/package/2006/metadata/core-properties" xmlns:dc="http://purl.org/dc/elements/1.1/">
  <dc:title>Corporate DNA - infrastructure map</dc:title>
  <dc:creator>Dev em Dobro</dc:creator>
  <cp:lastModifiedBy>Dev em Dobro</cp:lastModifiedBy>
</cp:coreProperties>
</file>