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18"/>
                <w:szCs w:val="18"/>
              </w:rPr>
              <w:t xml:space="preserve">BOTTOM LINE UP FRONT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2"/>
                <w:szCs w:val="32"/>
              </w:rPr>
              <w:t xml:space="preserve">Customer, Product &amp; Profitability Analysis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Gross Revenue: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$34.3M  |  </w:t>
            </w: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Net Profit: </w:t>
            </w: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$5.3M  |  </w:t>
            </w: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Margin: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15.54%  |  </w:t>
            </w: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Records Analyzed: </w:t>
            </w: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175,021</w:t>
            </w:r>
          </w:p>
        </w:tc>
      </w:tr>
    </w:tbl>
    <w:p>
      <w:pPr>
        <w:spacing w:after="120" w:before="0"/>
      </w:pPr>
    </w:p>
    <w:p>
      <w:pPr>
        <w:pBdr>
          <w:bottom w:val="single" w:color="C0392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 BIGGEST PROFIT LEAKS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Leak Vector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Magnitude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Bleeder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243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Negative Margins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Loss-Leader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Subset of 115 SKUs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Below Break-Even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HIGH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Discount Overrides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3.33% of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~$1.14M Eroded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ACTION REQ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Outlier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5,497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Removed from Pool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2"/>
                <w:szCs w:val="22"/>
              </w:rPr>
              <w:t xml:space="preserve">CLEANED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35% of the customer base drives 80% of all positive profit (Pareto Principle confirmed).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243 high-volume 'Bleeder' customers operate at consistently negative margins despite generating significant gross sales.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ALERT: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Loss-making products exist across multiple categories; revenue optics mask true margin destruction at SKU level.</w:t>
      </w:r>
    </w:p>
    <w:p>
      <w:pPr>
        <w:spacing w:after="80" w:before="0"/>
      </w:pPr>
    </w:p>
    <w:p>
      <w:pPr>
        <w:pBdr>
          <w:bottom w:val="single" w:color="E07B39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E07B39"/>
          <w:sz w:val="26"/>
          <w:szCs w:val="26"/>
        </w:rPr>
        <w:t xml:space="preserve">2.  DISCOUNT IMPACT DIAGNOSTICS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Discount Leak Ratio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3.33% of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Estimated Annual Erosion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~$1.14M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STATISTICAL: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Correlation between discount rate and profit ratio: -0.066 — a mild but directionally negative relationship.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SIMULATION: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 hard discount cap at 25% would recover margin on all 'Policy Violation' orders while retaining customer relationships.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RECOMMENDATION: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Orders with discount rates exceeding the 25% threshold are flagged as margin destroyers — immediate pricing policy review required.</w:t>
      </w:r>
    </w:p>
    <w:p>
      <w:pPr>
        <w:spacing w:after="6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The What-If Simulator embedded in the Streamlit dashboard enables real-time scenario testing. Revenue lost from discount removal is substantially lower than margin recovered.</w:t>
      </w:r>
    </w:p>
    <w:p>
      <w:pPr>
        <w:spacing w:after="80" w:before="0"/>
      </w:pPr>
    </w:p>
    <w:p>
      <w:pPr>
        <w:pBdr>
          <w:bottom w:val="single" w:color="1A7A4A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  HIGH-VALUE CUSTOMER INTELLIGENCE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of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 Contribution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Value</w:t>
            </w:r>
          </w:p>
        </w:tc>
      </w:tr>
    </w:tbl>
    <w:p>
      <w:pPr>
        <w:spacing w:after="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 of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 Contribution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VIP / Top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~35% of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80% of Profit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PROTECT &amp; GROW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Standard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~50% of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Moderate Margin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OPTIMIZE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Low-Value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~15% of Base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Minimal Contribution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REVIEW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Bleeder Tier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243 Accounts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NEGATIVE MARGIN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EXIT / REPRICE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SCALE: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19,761 unique customers analyzed; Customer Value Index (CVI) engineered for granular segmentation.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METHODOLOGY: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CVI combines total sales, total profit, and order frequency into a single performance score.</w:t>
      </w:r>
    </w:p>
    <w:p>
      <w:pPr>
        <w:spacing w:after="80" w:before="0"/>
      </w:pPr>
    </w:p>
    <w:p>
      <w:pPr>
        <w:pBdr>
          <w:bottom w:val="single" w:color="C0392B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 LOSS-MAKING MARKETS &amp; REGIONAL DIAGNOSTICS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Global Markets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 Regions Mapped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Revenue ≠ Profit by Market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 Regions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23 Regional 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Spatial Margin Leakage Detected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Coordinate-Level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11,506 Geo 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Plotly &amp; Folium Maps Generated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Spatial analytics reduced 175,021 order rows to 11,506 distinct geo-coordinate nodes for precision mapping.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INSIGHT: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High-revenue markets may be masking poor profit-per-order ratios — revenue-focused KPIs must be supplemented with margin KPIs.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Regional profit maps (Plotly Mapbox + Folium cluster visualizations) are available for stakeholder presentations.</w:t>
      </w:r>
    </w:p>
    <w:p>
      <w:pPr>
        <w:spacing w:after="80" w:before="0"/>
      </w:pPr>
    </w:p>
    <w:p>
      <w:pPr>
        <w:pBdr>
          <w:bottom w:val="single" w:color="1A3A5C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  STRATEGIC RECOMMENDATIONS</w:t>
      </w:r>
    </w:p>
    <w:p>
      <w:pPr>
        <w:spacing w:after="4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400"/>
        <w:gridCol w:w="18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Implement a hard 25% discount ceiling across all customer segments and product categories.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Recover ~$1.14M in annual margin leakage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Initiate commercial review of 243 'Bleeder' customers — reprice contracts or initiate offboarding.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Eliminate systemic margin destruction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Launch VIP retention program for top-35% profit-generating customers (CVI-driven).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Protect 80% of profit pool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Retire or reprice bottom-10 loss-making products identified in SKU-level diagnostics.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Margin recovery + portfolio optimization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Deploy regional profit dashboards to market managers; mandate margin KPIs alongside revenue targets.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9"/>
                <w:szCs w:val="19"/>
              </w:rPr>
              <w:t xml:space="preserve">Data-driven regional accountability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7B39" w:sz="12"/>
              <w:left w:val="none" w:color="FFFFFF" w:sz="0"/>
              <w:bottom w:val="single" w:color="E07B39" w:sz="12"/>
              <w:right w:val="none" w:color="FFFFFF" w:sz="0"/>
            </w:tcBorders>
            <w:shd w:fill="F4F6F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39"/>
                <w:sz w:val="20"/>
                <w:szCs w:val="20"/>
              </w:rPr>
              <w:t xml:space="preserve">ANALYST VERDICT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APL Logistics is revenue-rich but margin-exposed. With $34.3M in gross revenue yielding only 15.54% net margin, the single highest-impact intervention is discount policy reform, followed by customer portfolio rationalization. The infrastructure for real-time profit intelligence is fully operational — what is required now is executive will to act on the data.</w:t>
            </w:r>
          </w:p>
        </w:tc>
      </w:tr>
    </w:tbl>
    <w:p>
      <w:pPr>
        <w:spacing w:after="60" w:before="0"/>
      </w:pPr>
    </w:p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APL Logistics Analytics Division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6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RESTRICTED — For Executive Use Only  |  APL Logistics Analytics Division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APL LOGISTICS — KWE GROUP</w:t>
          </w:r>
        </w:p>
        <w:p>
          <w:pPr>
            <w:spacing w:before="20"/>
          </w:pPr>
          <w:r>
            <w:rPr>
              <w:rFonts w:ascii="Arial" w:cs="Arial" w:eastAsia="Arial" w:hAnsi="Arial"/>
              <w:color w:val="AACCE6"/>
              <w:sz w:val="16"/>
              <w:szCs w:val="16"/>
            </w:rPr>
            <w:t xml:space="preserve">EXECUTIVE INTELLIGENCE BRIEF | CONFIDENTIAL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07B39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BLUF SUMMARY</w:t>
          </w:r>
        </w:p>
        <w:p>
          <w:pPr>
            <w:spacing w:before="20"/>
            <w:jc w:val="center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Supply Chain Profitability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2026-05-22T18:32:11.110Z</dcterms:created>
  <dcterms:modified xsi:type="dcterms:W3CDTF">2026-05-22T18:32:11.110Z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