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ind w:left="720" w:firstLine="720"/>
        <w:jc w:val="center"/>
        <w:rPr/>
      </w:pPr>
      <w:bookmarkStart w:colFirst="0" w:colLast="0" w:name="_wpi7tnnn9zi2" w:id="0"/>
      <w:bookmarkEnd w:id="0"/>
      <w:r w:rsidDel="00000000" w:rsidR="00000000" w:rsidRPr="00000000">
        <w:rPr>
          <w:b w:val="1"/>
          <w:bCs w:val="1"/>
          <w:rtl w:val="0"/>
        </w:rPr>
        <w:t xml:space="preserve">Prabandh402</w:t>
      </w:r>
      <w:r w:rsidDel="00000000" w:rsidR="00000000" w:rsidRPr="00000000">
        <w:rPr>
          <w:rtl w:val="0"/>
        </w:rPr>
        <w:t xml:space="preserve">- One Pager Document</w:t>
      </w:r>
    </w:p>
    <w:p w:rsidR="00000000" w:rsidDel="00000000" w:rsidP="00000000" w:rsidRDefault="00000000" w:rsidRPr="00000000" w14:paraId="00000002">
      <w:pPr>
        <w:spacing w:after="240" w:before="240" w:lineRule="auto"/>
        <w:rPr>
          <w:i w:val="1"/>
          <w:iCs w:val="1"/>
        </w:rPr>
      </w:pPr>
      <w:r w:rsidDel="00000000" w:rsidR="00000000" w:rsidRPr="00000000">
        <w:rPr>
          <w:rtl w:val="0"/>
        </w:rPr>
      </w:r>
    </w:p>
    <w:p w:rsidR="00000000" w:rsidDel="00000000" w:rsidP="00000000" w:rsidRDefault="00000000" w:rsidRPr="00000000" w14:paraId="00000003">
      <w:pPr>
        <w:pStyle w:val="Heading2"/>
        <w:keepNext w:val="0"/>
        <w:keepLines w:val="0"/>
        <w:numPr>
          <w:ilvl w:val="0"/>
          <w:numId w:val="2"/>
        </w:numPr>
        <w:spacing w:after="80" w:lineRule="auto"/>
        <w:ind w:left="2160" w:hanging="360"/>
        <w:rPr>
          <w:b w:val="1"/>
          <w:bCs w:val="1"/>
          <w:sz w:val="34"/>
          <w:szCs w:val="34"/>
          <w:u w:val="none"/>
        </w:rPr>
      </w:pPr>
      <w:bookmarkStart w:colFirst="0" w:colLast="0" w:name="_5fddqpvxf1ma" w:id="1"/>
      <w:bookmarkEnd w:id="1"/>
      <w:r w:rsidDel="00000000" w:rsidR="00000000" w:rsidRPr="00000000">
        <w:rPr>
          <w:b w:val="1"/>
          <w:bCs w:val="1"/>
          <w:sz w:val="34"/>
          <w:szCs w:val="34"/>
          <w:rtl w:val="0"/>
        </w:rPr>
        <w:t xml:space="preserve">Product in One Sentence</w:t>
      </w:r>
    </w:p>
    <w:p w:rsidR="00000000" w:rsidDel="00000000" w:rsidP="00000000" w:rsidRDefault="00000000" w:rsidRPr="00000000" w14:paraId="00000004">
      <w:pPr>
        <w:spacing w:after="240" w:before="240" w:lineRule="auto"/>
        <w:ind w:left="1440" w:firstLine="0"/>
        <w:jc w:val="both"/>
        <w:rPr/>
      </w:pPr>
      <w:r w:rsidDel="00000000" w:rsidR="00000000" w:rsidRPr="00000000">
        <w:rPr>
          <w:b w:val="1"/>
          <w:bCs w:val="1"/>
          <w:rtl w:val="0"/>
        </w:rPr>
        <w:t xml:space="preserve">Prabandh</w:t>
      </w:r>
      <w:r w:rsidDel="00000000" w:rsidR="00000000" w:rsidRPr="00000000">
        <w:rPr>
          <w:b w:val="1"/>
          <w:bCs w:val="1"/>
          <w:rtl w:val="0"/>
        </w:rPr>
        <w:t xml:space="preserve">402</w:t>
      </w:r>
      <w:r w:rsidDel="00000000" w:rsidR="00000000" w:rsidRPr="00000000">
        <w:rPr>
          <w:rtl w:val="0"/>
        </w:rPr>
        <w:t xml:space="preserve"> is an agent-native logistics transaction layer that enables AI systems to autonomously discover, verify, and book real-world logistics services using cryptographic service identity (EIP-8004) and instant HTTP-native payments (x402), without human intervention or intermediaries.</w:t>
      </w:r>
    </w:p>
    <w:p w:rsidR="00000000" w:rsidDel="00000000" w:rsidP="00000000" w:rsidRDefault="00000000" w:rsidRPr="00000000" w14:paraId="00000005">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numPr>
          <w:ilvl w:val="0"/>
          <w:numId w:val="2"/>
        </w:numPr>
        <w:spacing w:after="80" w:lineRule="auto"/>
        <w:ind w:left="2160" w:hanging="360"/>
        <w:rPr>
          <w:b w:val="1"/>
          <w:bCs w:val="1"/>
          <w:sz w:val="34"/>
          <w:szCs w:val="34"/>
          <w:u w:val="none"/>
        </w:rPr>
      </w:pPr>
      <w:bookmarkStart w:colFirst="0" w:colLast="0" w:name="_rb1lryy8o6nu" w:id="2"/>
      <w:bookmarkEnd w:id="2"/>
      <w:r w:rsidDel="00000000" w:rsidR="00000000" w:rsidRPr="00000000">
        <w:rPr>
          <w:b w:val="1"/>
          <w:bCs w:val="1"/>
          <w:sz w:val="34"/>
          <w:szCs w:val="34"/>
          <w:rtl w:val="0"/>
        </w:rPr>
        <w:t xml:space="preserve">What’s the Problem Statement?</w:t>
      </w:r>
    </w:p>
    <w:p w:rsidR="00000000" w:rsidDel="00000000" w:rsidP="00000000" w:rsidRDefault="00000000" w:rsidRPr="00000000" w14:paraId="00000007">
      <w:pPr>
        <w:spacing w:after="240" w:before="240" w:lineRule="auto"/>
        <w:ind w:left="1440" w:firstLine="0"/>
        <w:jc w:val="both"/>
        <w:rPr/>
      </w:pPr>
      <w:r w:rsidDel="00000000" w:rsidR="00000000" w:rsidRPr="00000000">
        <w:rPr>
          <w:rtl w:val="0"/>
        </w:rPr>
        <w:t xml:space="preserve">Modern supply chains rely on manual discovery, trust, and payment processes that are incompatible with autonomous AI systems. While AI can optimize routes, inventory, and demand forecasting, it cannot independently verify whether a warehouse or logistics provider is legitimate, determine whether an API endpoint truly belongs to that provider, or execute trusted cross-company payments without human approval. Existing systems depend on brokers, contracts, wire transfers, and centralized marketplaces, creating delays, high transaction costs, and trust assumptions that prevent machine-to-machine commerce. As a result, even simple logistics actions such as short-term warehouse booking take days and require human involvement, making autonomous supply chain execution impossible.</w:t>
      </w:r>
    </w:p>
    <w:p w:rsidR="00000000" w:rsidDel="00000000" w:rsidP="00000000" w:rsidRDefault="00000000" w:rsidRPr="00000000" w14:paraId="00000008">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numPr>
          <w:ilvl w:val="0"/>
          <w:numId w:val="2"/>
        </w:numPr>
        <w:spacing w:after="80" w:lineRule="auto"/>
        <w:ind w:left="2160" w:hanging="360"/>
        <w:rPr>
          <w:b w:val="1"/>
          <w:bCs w:val="1"/>
          <w:sz w:val="34"/>
          <w:szCs w:val="34"/>
          <w:u w:val="none"/>
        </w:rPr>
      </w:pPr>
      <w:bookmarkStart w:colFirst="0" w:colLast="0" w:name="_78c8y2unak4x" w:id="3"/>
      <w:bookmarkEnd w:id="3"/>
      <w:r w:rsidDel="00000000" w:rsidR="00000000" w:rsidRPr="00000000">
        <w:rPr>
          <w:b w:val="1"/>
          <w:bCs w:val="1"/>
          <w:sz w:val="34"/>
          <w:szCs w:val="34"/>
          <w:rtl w:val="0"/>
        </w:rPr>
        <w:t xml:space="preserve">How Is This Solved Today?</w:t>
      </w:r>
    </w:p>
    <w:p w:rsidR="00000000" w:rsidDel="00000000" w:rsidP="00000000" w:rsidRDefault="00000000" w:rsidRPr="00000000" w14:paraId="0000000A">
      <w:pPr>
        <w:spacing w:after="240" w:before="240" w:lineRule="auto"/>
        <w:ind w:left="1440" w:firstLine="0"/>
        <w:jc w:val="both"/>
        <w:rPr/>
      </w:pPr>
      <w:r w:rsidDel="00000000" w:rsidR="00000000" w:rsidRPr="00000000">
        <w:rPr>
          <w:rtl w:val="0"/>
        </w:rPr>
        <w:t xml:space="preserve">Today, logistics services are discovered through centralized platforms, brokers, or manual search, and trust is established via contracts, references, and offline verification. Payments are executed through invoicing, wire transfers, or centralized payment processors, all of which require human approval and introduce delays. Reputation systems exist, but they are platform-specific, non-verifiable, and easily manipulated. While some platforms expose APIs, there is no cryptographic link between a service’s real-world identity, its API endpoint, and its payment address, meaning AI systems cannot safely or autonomously transact. This approach works for humans, but it does not scale to autonomous agents or real-time supply chain automation.</w:t>
      </w:r>
    </w:p>
    <w:p w:rsidR="00000000" w:rsidDel="00000000" w:rsidP="00000000" w:rsidRDefault="00000000" w:rsidRPr="00000000" w14:paraId="0000000B">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numPr>
          <w:ilvl w:val="0"/>
          <w:numId w:val="2"/>
        </w:numPr>
        <w:spacing w:after="80" w:lineRule="auto"/>
        <w:ind w:left="2160" w:hanging="360"/>
        <w:rPr>
          <w:b w:val="1"/>
          <w:bCs w:val="1"/>
          <w:sz w:val="34"/>
          <w:szCs w:val="34"/>
          <w:u w:val="none"/>
        </w:rPr>
      </w:pPr>
      <w:bookmarkStart w:colFirst="0" w:colLast="0" w:name="_g67jbb3vxeo" w:id="4"/>
      <w:bookmarkEnd w:id="4"/>
      <w:r w:rsidDel="00000000" w:rsidR="00000000" w:rsidRPr="00000000">
        <w:rPr>
          <w:b w:val="1"/>
          <w:bCs w:val="1"/>
          <w:sz w:val="34"/>
          <w:szCs w:val="34"/>
          <w:rtl w:val="0"/>
        </w:rPr>
        <w:t xml:space="preserve">How Does x402 Improve This Flow?</w:t>
      </w:r>
    </w:p>
    <w:p w:rsidR="00000000" w:rsidDel="00000000" w:rsidP="00000000" w:rsidRDefault="00000000" w:rsidRPr="00000000" w14:paraId="0000000D">
      <w:pPr>
        <w:spacing w:after="240" w:before="240" w:lineRule="auto"/>
        <w:ind w:left="1440" w:firstLine="0"/>
        <w:jc w:val="both"/>
        <w:rPr/>
      </w:pPr>
      <w:r w:rsidDel="00000000" w:rsidR="00000000" w:rsidRPr="00000000">
        <w:rPr>
          <w:rtl w:val="0"/>
        </w:rPr>
        <w:t xml:space="preserve">x402 introduces HTTP-native, machine-to-machine payments that allow services to request payment using standard HTTP semantics and receive instant settlement without human involvement. In Prabandh402, when an AI agent selects a logistics provider and requests a service, the provider responds with an HTTP 402 Payment Required, specifying accepted currencies and networks. The agent then executes the payment programmatically, and the service is confirmed immediately upon verification. This removes multi-day settlement delays, eliminates wire fees, and enables fully autonomous transactions between independent organizations. However, x402 alone solves payment execution; it must be combined with a trust and identity layer to ensure the agent knows who it is paying.</w:t>
      </w:r>
    </w:p>
    <w:p w:rsidR="00000000" w:rsidDel="00000000" w:rsidP="00000000" w:rsidRDefault="00000000" w:rsidRPr="00000000" w14:paraId="0000000E">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numPr>
          <w:ilvl w:val="0"/>
          <w:numId w:val="2"/>
        </w:numPr>
        <w:spacing w:after="80" w:lineRule="auto"/>
        <w:ind w:left="2160" w:hanging="360"/>
        <w:rPr>
          <w:b w:val="1"/>
          <w:bCs w:val="1"/>
          <w:sz w:val="34"/>
          <w:szCs w:val="34"/>
          <w:u w:val="none"/>
        </w:rPr>
      </w:pPr>
      <w:bookmarkStart w:colFirst="0" w:colLast="0" w:name="_3fqtc7bx49kd" w:id="5"/>
      <w:bookmarkEnd w:id="5"/>
      <w:r w:rsidDel="00000000" w:rsidR="00000000" w:rsidRPr="00000000">
        <w:rPr>
          <w:b w:val="1"/>
          <w:bCs w:val="1"/>
          <w:sz w:val="34"/>
          <w:szCs w:val="34"/>
          <w:rtl w:val="0"/>
        </w:rPr>
        <w:t xml:space="preserve">How Does the Final Product Flow Work?</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Rule="auto"/>
        <w:ind w:left="2160" w:hanging="360"/>
        <w:jc w:val="both"/>
        <w:rPr>
          <w:u w:val="none"/>
        </w:rPr>
      </w:pPr>
      <w:r w:rsidDel="00000000" w:rsidR="00000000" w:rsidRPr="00000000">
        <w:rPr>
          <w:rtl w:val="0"/>
        </w:rPr>
        <w:t xml:space="preserve"> Logistics providers publish </w:t>
      </w:r>
      <w:r w:rsidDel="00000000" w:rsidR="00000000" w:rsidRPr="00000000">
        <w:rPr>
          <w:b w:val="1"/>
          <w:bCs w:val="1"/>
          <w:rtl w:val="0"/>
        </w:rPr>
        <w:t xml:space="preserve">EIP-8004–compliant service descriptors</w:t>
      </w:r>
      <w:r w:rsidDel="00000000" w:rsidR="00000000" w:rsidRPr="00000000">
        <w:rPr>
          <w:rtl w:val="0"/>
        </w:rPr>
        <w:t xml:space="preserve"> that cryptographically bind their real-world service, API endpoints, and payment addresses to a verified on-chain identity.</w:t>
        <w:br w:type="textWrapping"/>
      </w:r>
    </w:p>
    <w:p w:rsidR="00000000" w:rsidDel="00000000" w:rsidP="00000000" w:rsidRDefault="00000000" w:rsidRPr="00000000" w14:paraId="00000012">
      <w:pPr>
        <w:numPr>
          <w:ilvl w:val="0"/>
          <w:numId w:val="1"/>
        </w:numPr>
        <w:spacing w:after="0" w:afterAutospacing="0" w:before="0" w:beforeAutospacing="0" w:lineRule="auto"/>
        <w:ind w:left="2160" w:hanging="360"/>
        <w:jc w:val="both"/>
        <w:rPr>
          <w:u w:val="none"/>
        </w:rPr>
      </w:pPr>
      <w:r w:rsidDel="00000000" w:rsidR="00000000" w:rsidRPr="00000000">
        <w:rPr>
          <w:rtl w:val="0"/>
        </w:rPr>
        <w:t xml:space="preserve">A </w:t>
      </w:r>
      <w:r w:rsidDel="00000000" w:rsidR="00000000" w:rsidRPr="00000000">
        <w:rPr>
          <w:b w:val="1"/>
          <w:bCs w:val="1"/>
          <w:rtl w:val="0"/>
        </w:rPr>
        <w:t xml:space="preserve">supply chain registry</w:t>
      </w:r>
      <w:r w:rsidDel="00000000" w:rsidR="00000000" w:rsidRPr="00000000">
        <w:rPr>
          <w:rtl w:val="0"/>
        </w:rPr>
        <w:t xml:space="preserve"> indexes these service descriptors and exposes a </w:t>
      </w:r>
      <w:r w:rsidDel="00000000" w:rsidR="00000000" w:rsidRPr="00000000">
        <w:rPr>
          <w:b w:val="1"/>
          <w:bCs w:val="1"/>
          <w:rtl w:val="0"/>
        </w:rPr>
        <w:t xml:space="preserve">machine-readable discovery interface</w:t>
      </w:r>
      <w:r w:rsidDel="00000000" w:rsidR="00000000" w:rsidRPr="00000000">
        <w:rPr>
          <w:rtl w:val="0"/>
        </w:rPr>
        <w:t xml:space="preserve"> that AI agents can query based on parameters such as location, capacity, and service constraints.</w:t>
        <w:br w:type="textWrapping"/>
      </w:r>
    </w:p>
    <w:p w:rsidR="00000000" w:rsidDel="00000000" w:rsidP="00000000" w:rsidRDefault="00000000" w:rsidRPr="00000000" w14:paraId="00000013">
      <w:pPr>
        <w:numPr>
          <w:ilvl w:val="0"/>
          <w:numId w:val="1"/>
        </w:numPr>
        <w:spacing w:after="0" w:afterAutospacing="0" w:before="0" w:beforeAutospacing="0" w:lineRule="auto"/>
        <w:ind w:left="2160" w:hanging="360"/>
        <w:jc w:val="both"/>
        <w:rPr>
          <w:u w:val="none"/>
        </w:rPr>
      </w:pPr>
      <w:r w:rsidDel="00000000" w:rsidR="00000000" w:rsidRPr="00000000">
        <w:rPr>
          <w:rtl w:val="0"/>
        </w:rPr>
        <w:t xml:space="preserve">The AI agent </w:t>
      </w:r>
      <w:r w:rsidDel="00000000" w:rsidR="00000000" w:rsidRPr="00000000">
        <w:rPr>
          <w:b w:val="1"/>
          <w:bCs w:val="1"/>
          <w:rtl w:val="0"/>
        </w:rPr>
        <w:t xml:space="preserve">verifies the provider’s identity and reputation</w:t>
      </w:r>
      <w:r w:rsidDel="00000000" w:rsidR="00000000" w:rsidRPr="00000000">
        <w:rPr>
          <w:rtl w:val="0"/>
        </w:rPr>
        <w:t xml:space="preserve"> using the registry and then directly interacts with the provider’s API to request availability and pricing.</w:t>
        <w:br w:type="textWrapping"/>
      </w:r>
    </w:p>
    <w:p w:rsidR="00000000" w:rsidDel="00000000" w:rsidP="00000000" w:rsidRDefault="00000000" w:rsidRPr="00000000" w14:paraId="00000014">
      <w:pPr>
        <w:numPr>
          <w:ilvl w:val="0"/>
          <w:numId w:val="1"/>
        </w:numPr>
        <w:spacing w:after="0" w:afterAutospacing="0" w:before="0" w:beforeAutospacing="0" w:lineRule="auto"/>
        <w:ind w:left="2160" w:hanging="360"/>
        <w:jc w:val="both"/>
        <w:rPr>
          <w:u w:val="none"/>
        </w:rPr>
      </w:pPr>
      <w:r w:rsidDel="00000000" w:rsidR="00000000" w:rsidRPr="00000000">
        <w:rPr>
          <w:rtl w:val="0"/>
        </w:rPr>
        <w:t xml:space="preserve">When payment is required, the provider responds with an </w:t>
      </w:r>
      <w:r w:rsidDel="00000000" w:rsidR="00000000" w:rsidRPr="00000000">
        <w:rPr>
          <w:b w:val="1"/>
          <w:bCs w:val="1"/>
          <w:rtl w:val="0"/>
        </w:rPr>
        <w:t xml:space="preserve">HTTP 402</w:t>
      </w:r>
      <w:r w:rsidDel="00000000" w:rsidR="00000000" w:rsidRPr="00000000">
        <w:rPr>
          <w:rtl w:val="0"/>
        </w:rPr>
        <w:t xml:space="preserve">, triggering an </w:t>
      </w:r>
      <w:r w:rsidDel="00000000" w:rsidR="00000000" w:rsidRPr="00000000">
        <w:rPr>
          <w:b w:val="1"/>
          <w:bCs w:val="1"/>
          <w:rtl w:val="0"/>
        </w:rPr>
        <w:t xml:space="preserve">x402 payment flow</w:t>
      </w:r>
      <w:r w:rsidDel="00000000" w:rsidR="00000000" w:rsidRPr="00000000">
        <w:rPr>
          <w:rtl w:val="0"/>
        </w:rPr>
        <w:t xml:space="preserve"> that enables instant, programmatic settlement and confirmation.</w:t>
      </w:r>
    </w:p>
    <w:p w:rsidR="00000000" w:rsidDel="00000000" w:rsidP="00000000" w:rsidRDefault="00000000" w:rsidRPr="00000000" w14:paraId="00000015">
      <w:pPr>
        <w:numPr>
          <w:ilvl w:val="0"/>
          <w:numId w:val="1"/>
        </w:numPr>
        <w:spacing w:after="240" w:before="0" w:beforeAutospacing="0" w:lineRule="auto"/>
        <w:ind w:left="2160" w:hanging="360"/>
        <w:jc w:val="both"/>
        <w:rPr>
          <w:u w:val="none"/>
        </w:rPr>
      </w:pPr>
      <w:r w:rsidDel="00000000" w:rsidR="00000000" w:rsidRPr="00000000">
        <w:rPr>
          <w:rtl w:val="0"/>
        </w:rPr>
        <w:t xml:space="preserve">After service completion, the </w:t>
      </w:r>
      <w:r w:rsidDel="00000000" w:rsidR="00000000" w:rsidRPr="00000000">
        <w:rPr>
          <w:b w:val="1"/>
          <w:bCs w:val="1"/>
          <w:rtl w:val="0"/>
        </w:rPr>
        <w:t xml:space="preserve">payment transaction itself acts as verifiable proof</w:t>
      </w:r>
      <w:r w:rsidDel="00000000" w:rsidR="00000000" w:rsidRPr="00000000">
        <w:rPr>
          <w:rtl w:val="0"/>
        </w:rPr>
        <w:t xml:space="preserve">, allowing the system to update the provider’s reputation in a </w:t>
      </w:r>
      <w:r w:rsidDel="00000000" w:rsidR="00000000" w:rsidRPr="00000000">
        <w:rPr>
          <w:b w:val="1"/>
          <w:bCs w:val="1"/>
          <w:rtl w:val="0"/>
        </w:rPr>
        <w:t xml:space="preserve">tamper-resistant and autonomous</w:t>
      </w:r>
      <w:r w:rsidDel="00000000" w:rsidR="00000000" w:rsidRPr="00000000">
        <w:rPr>
          <w:rtl w:val="0"/>
        </w:rPr>
        <w:t xml:space="preserve"> manner.</w:t>
      </w:r>
      <w:r w:rsidDel="00000000" w:rsidR="00000000" w:rsidRPr="00000000">
        <w:rPr>
          <w:rtl w:val="0"/>
        </w:rPr>
      </w:r>
    </w:p>
    <w:p w:rsidR="00000000" w:rsidDel="00000000" w:rsidP="00000000" w:rsidRDefault="00000000" w:rsidRPr="00000000" w14:paraId="00000016">
      <w:pPr>
        <w:spacing w:after="240" w:before="240" w:lineRule="auto"/>
        <w:ind w:left="0" w:firstLine="0"/>
        <w:jc w:val="center"/>
        <w:rPr>
          <w:i w:val="1"/>
          <w:iCs w:val="1"/>
        </w:rPr>
      </w:pPr>
      <w:r w:rsidDel="00000000" w:rsidR="00000000" w:rsidRPr="00000000">
        <w:rPr>
          <w:i w:val="1"/>
          <w:iCs w:val="1"/>
          <w:sz w:val="40"/>
          <w:szCs w:val="40"/>
          <w:rtl w:val="0"/>
        </w:rPr>
        <w:t xml:space="preserve">High level Architecture diagram:</w:t>
      </w:r>
      <w:r w:rsidDel="00000000" w:rsidR="00000000" w:rsidRPr="00000000">
        <w:rPr>
          <w:i w:val="1"/>
          <w:iCs w:val="1"/>
          <w:rtl w:val="0"/>
        </w:rPr>
        <w:br w:type="textWrapping"/>
      </w:r>
    </w:p>
    <w:p w:rsidR="00000000" w:rsidDel="00000000" w:rsidP="00000000" w:rsidRDefault="00000000" w:rsidRPr="00000000" w14:paraId="00000017">
      <w:pPr>
        <w:spacing w:after="240" w:before="240" w:lineRule="auto"/>
        <w:jc w:val="center"/>
        <w:rPr>
          <w:i w:val="1"/>
          <w:iCs w:val="1"/>
        </w:rPr>
      </w:pPr>
      <w:r w:rsidDel="00000000" w:rsidR="00000000" w:rsidRPr="00000000">
        <w:rPr>
          <w:i w:val="1"/>
          <w:iCs w:val="1"/>
        </w:rPr>
        <w:drawing>
          <wp:inline distB="114300" distT="114300" distL="114300" distR="114300">
            <wp:extent cx="3162300" cy="6148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300" cy="6148388"/>
                    </a:xfrm>
                    <a:prstGeom prst="rect"/>
                    <a:ln/>
                  </pic:spPr>
                </pic:pic>
              </a:graphicData>
            </a:graphic>
          </wp:inline>
        </w:drawing>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