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Customer Purchase Propensity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Data Cleaning &amp; Feature Engineering Pipeline — Summary Report</w:t>
      </w:r>
    </w:p>
    <w:p>
      <w:pPr>
        <w:pStyle w:val="Heading2"/>
        <w:spacing w:after="80" w:before="160"/>
      </w:pPr>
      <w:r>
        <w:rPr>
          <w:b/>
          <w:bCs/>
          <w:color w:val="1F4E79"/>
          <w:sz w:val="24"/>
          <w:szCs w:val="24"/>
        </w:rPr>
        <w:t xml:space="preserve">Techniques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Data ingestion: merged CSV (customers), JSON (transactions), SQL/SQLite (products), and API-style user data on customer_id / product_id.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EDA: univariate histograms &amp; skewness, bivariate correlation with the purchased target, multivariate heatmap and pairplot.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Missing data: SimpleImputer (mean/most-frequent), Missing-Indicator + random sample imputation, KNNImputer, and IterativeImputer (MICE), benchmarked against complete-case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Outliers: Z-score, IQR, and percentile detection methods, with Winsorization used to cap extreme values in age, income, and total_spent.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Date/mixed variables: signup_date and last_purchase_date converted to datetime; days_since_signup and days_since_last_purchase derived; mixed-format customer_id parsed into a numeric id plus a letter-suffix flag.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Encoding: Label Encoding (region, loyalty_tier), One-Hot Encoding (gender, category), Ordinal Encoding (education, satisfaction_level), and binned/encoded numerical features (income quartiles).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Scaling: StandardScaler, MinMaxScaler, MaxAbsScaler, RobustScaler, and Normalizer compared, applied together via ColumnTransformer.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Feature construction: purchase_per_day interaction feature; log, square-root, and reciprocal FunctionTransformers; Box-Cox and Yeo-Johnson PowerTransformer; quantile binning and binarization (frequent_buyer).</w:t>
      </w:r>
    </w:p>
    <w:p>
      <w:pPr>
        <w:pStyle w:val="Heading2"/>
        <w:spacing w:after="80" w:before="160"/>
      </w:pPr>
      <w:r>
        <w:rPr>
          <w:b/>
          <w:bCs/>
          <w:color w:val="1F4E79"/>
          <w:sz w:val="24"/>
          <w:szCs w:val="24"/>
        </w:rPr>
        <w:t xml:space="preserve">Biggest Issues With the Raw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Missing values scattered across age, income, gender, education, satisfaction_level, and region (roughly 2-8% per column).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Extreme outliers injected into age (e.g., negative and 150+ values) and income (5-10x normal values), which skewed early distributions.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Inconsistent customer_id formats mixing plain numeric ids with letter suffixes/prefixes (e.g., CUST-0015A, C0023X), requiring parsing before use as a join key.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Raw date strings and a transactions table needing aggregation before they could be merged onto a single customer-level row.</w:t>
      </w:r>
    </w:p>
    <w:p>
      <w:pPr>
        <w:pStyle w:val="Heading2"/>
        <w:spacing w:after="80" w:before="160"/>
      </w:pPr>
      <w:r>
        <w:rPr>
          <w:b/>
          <w:bCs/>
          <w:color w:val="1F4E79"/>
          <w:sz w:val="24"/>
          <w:szCs w:val="24"/>
        </w:rPr>
        <w:t xml:space="preserve">Which Imputation and Scaling Worked Best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KNNImputer was preferred over SimpleImputer and complete-case analysis: it retained all 500 customer rows while using relationships between correlated numeric columns to produce more plausible fills than a plain mean.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RobustScaler (and Winsorization beforehand) handled the heavy-tailed income and total_spent distributions better than StandardScaler alone, since it is less sensitive to the remaining extreme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The final table (processed_customer_data.csv) has zero missing values across 52 model-ready columns.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2026-08-25T06:13:50.521Z</dcterms:created>
  <dcterms:modified xsi:type="dcterms:W3CDTF">2026-08-25T06:13:50.532Z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