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E293B"/>
          <w:sz w:val="36"/>
        </w:rPr>
        <w:t>Mentor Summary: Task-Specific LSTM Architecture for Stockout Prediction</w:t>
      </w:r>
    </w:p>
    <w:p>
      <w:pPr>
        <w:spacing w:after="240"/>
        <w:jc w:val="center"/>
      </w:pPr>
      <w:r>
        <w:rPr>
          <w:rFonts w:ascii="Calibri" w:hAnsi="Calibri"/>
          <w:b w:val="0"/>
          <w:color w:val="5A6373"/>
          <w:sz w:val="21"/>
        </w:rPr>
        <w:t>FreshRetailNet-50K | Top 15 SKU-series | 14-day input | 24-hour next-day prediction</w:t>
      </w:r>
    </w:p>
    <w:p>
      <w:pPr>
        <w:pStyle w:val="Heading1"/>
      </w:pPr>
      <w:r>
        <w:t>1. Problem framing</w:t>
      </w:r>
    </w:p>
    <w:p>
      <w:r>
        <w:t>The core question was whether a standard LSTM is justified for a short-window stockout prediction task, or whether the recurrent architecture can be simplified or specialized for the inventory-demand structure of the problem.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Task: predict the next day's 24-hour stock-status vector.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Data setting: 15 statistically selected SKU-series, 14-day history, 15-day holdout.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Reference compact baseline: 6-feature LSTM with hidden size 32.</w:t>
      </w:r>
    </w:p>
    <w:p>
      <w:pPr>
        <w:pStyle w:val="Heading1"/>
      </w:pPr>
      <w:r>
        <w:t>2. Baseline and motivation</w:t>
      </w:r>
    </w:p>
    <w:p>
      <w:r>
        <w:t>The compact feature-reduced LSTM established a strong baseline, but it still treated all features as one mixed temporal stream. Given the domain, stockout behavior should depend on interaction between demand/context signals and inventory-state signals.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Compact reduced baseline: F1 0.7897, recall 0.8129, params 5,912.</w:t>
      </w:r>
    </w:p>
    <w:p>
      <w:pPr>
        <w:pStyle w:val="Heading1"/>
      </w:pPr>
      <w:r>
        <w:t>3. Architecture changes tested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CIFG-LSTM: gate simplification by coupling forget gate to input gate.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Dual-stream LSTM: separate recurrent branches for demand/context and inventory.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Dual-stream + full shortcut: add latest-day raw feature shortcut to final prediction.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Dual-stream + inventory-only shortcut: add only latest inventory features as shortcut.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Smaller shortcut model: reduce branch sizes from 16+16 to 12+12.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Unequal split test: 20+12 demand/inventory hidden allocation.</w:t>
      </w:r>
    </w:p>
    <w:p>
      <w:pPr>
        <w:pStyle w:val="Heading1"/>
      </w:pPr>
      <w:r>
        <w:t>4. Final architecture</w:t>
      </w:r>
    </w:p>
    <w:p>
      <w:r>
        <w:t>The best model was the dual-stream LSTM with inventory-only shortcut.</w:t>
      </w:r>
    </w:p>
    <w:p>
      <w:r>
        <w:rPr>
          <w:rFonts w:ascii="Courier New" w:hAnsi="Courier New"/>
          <w:b w:val="0"/>
          <w:color w:val="1E293B"/>
          <w:sz w:val="20"/>
        </w:rPr>
        <w:t>Demand branch: h_d = LSTM_d(X_d)</w:t>
        <w:br/>
        <w:t>Inventory branch: h_i = LSTM_i(X_i)</w:t>
        <w:br/>
        <w:t>Latest inventory shortcut: s = x_last,inventory</w:t>
        <w:br/>
        <w:t>Fusion: z = [h_d ; h_i ; s_inv]</w:t>
        <w:br/>
        <w:t>Prediction: y_hat = Head(tanh(Wz + b))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Demand/context features: sale_amount, discount, holiday_flag, hours_sale_sum.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Inventory features: stock_hour6_22_cnt, hours_stock_status_sum.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Rationale: temporal memory handles history, while direct inventory shortcut preserves immediate stock-state information.</w:t>
      </w:r>
    </w:p>
    <w:p>
      <w:pPr>
        <w:pStyle w:val="Heading1"/>
      </w:pPr>
      <w:r>
        <w:t>5. Key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Variant</w:t>
            </w:r>
          </w:p>
        </w:tc>
        <w:tc>
          <w:tcPr>
            <w:tcW w:type="dxa" w:w="156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Params</w:t>
            </w:r>
          </w:p>
        </w:tc>
        <w:tc>
          <w:tcPr>
            <w:tcW w:type="dxa" w:w="156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F1</w:t>
            </w:r>
          </w:p>
        </w:tc>
        <w:tc>
          <w:tcPr>
            <w:tcW w:type="dxa" w:w="156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Recall</w:t>
            </w:r>
          </w:p>
        </w:tc>
        <w:tc>
          <w:tcPr>
            <w:tcW w:type="dxa" w:w="156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Interpretation</w:t>
            </w:r>
          </w:p>
        </w:tc>
        <w:tc>
          <w:tcPr>
            <w:tcW w:type="dxa" w:w="1560"/>
            <w:vAlign w:val="center"/>
            <w:shd w:fill="2E74B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Compact reduced LSTM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5,912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0.7897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0.8129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Strong compact baseline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CIFG-LSTM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4,536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0.7650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0.8257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Lower complexity but weaker F1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Dual-stream LSTM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4,536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0.7879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0.7962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Problem-aligned structure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Dual-stream 20+12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4,696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0.7617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0.8230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Unequal split did not help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Dual-stream + full shortcut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4,728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0.7914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0.8094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Latest state helps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</w:r>
          </w:p>
        </w:tc>
      </w:tr>
      <w:tr>
        <w:tc>
          <w:tcPr>
            <w:tcW w:type="dxa" w:w="1560"/>
            <w:vAlign w:val="center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Dual-stream + inventory shortcut</w:t>
            </w:r>
          </w:p>
        </w:tc>
        <w:tc>
          <w:tcPr>
            <w:tcW w:type="dxa" w:w="1560"/>
            <w:vAlign w:val="center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4,600</w:t>
            </w:r>
          </w:p>
        </w:tc>
        <w:tc>
          <w:tcPr>
            <w:tcW w:type="dxa" w:w="1560"/>
            <w:vAlign w:val="center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0.7926</w:t>
            </w:r>
          </w:p>
        </w:tc>
        <w:tc>
          <w:tcPr>
            <w:tcW w:type="dxa" w:w="1560"/>
            <w:vAlign w:val="center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0.8079</w:t>
            </w:r>
          </w:p>
        </w:tc>
        <w:tc>
          <w:tcPr>
            <w:tcW w:type="dxa" w:w="1560"/>
            <w:vAlign w:val="center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Best overall tradeoff</w:t>
            </w:r>
          </w:p>
        </w:tc>
        <w:tc>
          <w:tcPr>
            <w:tcW w:type="dxa" w:w="1560"/>
            <w:vAlign w:val="center"/>
            <w:shd w:fill="EAF4EA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Best</w:t>
            </w:r>
          </w:p>
        </w:tc>
      </w:tr>
      <w:tr>
        <w:tc>
          <w:tcPr>
            <w:tcW w:type="dxa" w:w="1560"/>
            <w:vAlign w:val="center"/>
            <w:shd w:fill="EE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Dual-stream shortcut 12+12</w:t>
            </w:r>
          </w:p>
        </w:tc>
        <w:tc>
          <w:tcPr>
            <w:tcW w:type="dxa" w:w="1560"/>
            <w:vAlign w:val="center"/>
            <w:shd w:fill="EE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2,976</w:t>
            </w:r>
          </w:p>
        </w:tc>
        <w:tc>
          <w:tcPr>
            <w:tcW w:type="dxa" w:w="1560"/>
            <w:vAlign w:val="center"/>
            <w:shd w:fill="EE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0.7891</w:t>
            </w:r>
          </w:p>
        </w:tc>
        <w:tc>
          <w:tcPr>
            <w:tcW w:type="dxa" w:w="1560"/>
            <w:vAlign w:val="center"/>
            <w:shd w:fill="EE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0.8129</w:t>
            </w:r>
          </w:p>
        </w:tc>
        <w:tc>
          <w:tcPr>
            <w:tcW w:type="dxa" w:w="1560"/>
            <w:vAlign w:val="center"/>
            <w:shd w:fill="EE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Best lightweight alternative</w:t>
            </w:r>
          </w:p>
        </w:tc>
        <w:tc>
          <w:tcPr>
            <w:tcW w:type="dxa" w:w="1560"/>
            <w:vAlign w:val="center"/>
            <w:shd w:fill="EEF4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1E293B"/>
                <w:sz w:val="21"/>
              </w:rPr>
              <w:t>Light</w:t>
            </w:r>
          </w:p>
        </w:tc>
      </w:tr>
    </w:tbl>
    <w:p>
      <w:pPr>
        <w:pStyle w:val="Heading1"/>
      </w:pPr>
      <w:r>
        <w:t>6. Conclusions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A larger standard LSTM is not necessary for this short-window setup.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Architecture specialization was more useful than generic gate simplification.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Separating demand/context from inventory improved the modeling story and preserved strong performance.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The strongest gain came from directly exposing latest inventory state to the prediction layer.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Recommended final candidate: dual-stream LSTM with inventory-only shortcut.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color w:val="1E293B"/>
          <w:sz w:val="22"/>
        </w:rPr>
        <w:t>Recommended compact backup candidate: dual-stream shortcut 12+12.</w:t>
      </w:r>
    </w:p>
    <w:p>
      <w:pPr>
        <w:pStyle w:val="Heading1"/>
      </w:pPr>
      <w:r>
        <w:t>7. Next comparison</w:t>
      </w:r>
    </w:p>
    <w:p>
      <w:r>
        <w:t>The next decision point should be a direct comparison between the final custom LSTM and the teammate's RNN under the same data split, feature set, and evaluation protocol.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A6373"/>
        <w:sz w:val="18"/>
      </w:rPr>
      <w:t>FreshRetailNet-50K mentor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