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120"/>
        <w:jc w:val="center"/>
      </w:pPr>
      <w:r>
        <w:rPr>
          <w:b/>
          <w:i w:val="0"/>
        </w:rPr>
        <w:t>Skin Disease Classifier</w:t>
      </w:r>
    </w:p>
    <w:p>
      <w:pPr>
        <w:spacing w:line="300" w:lineRule="auto" w:after="120"/>
        <w:jc w:val="center"/>
      </w:pPr>
      <w:r>
        <w:rPr>
          <w:b/>
          <w:i w:val="0"/>
        </w:rPr>
        <w:t>Student Group Project Report</w:t>
      </w:r>
    </w:p>
    <w:p>
      <w:pPr>
        <w:spacing w:line="300" w:lineRule="auto" w:after="120"/>
        <w:jc w:val="center"/>
      </w:pPr>
      <w:r>
        <w:rPr>
          <w:b w:val="0"/>
          <w:i/>
        </w:rPr>
        <w:t>Applied Image Processing</w:t>
      </w:r>
    </w:p>
    <w:p>
      <w:pPr>
        <w:spacing w:line="300" w:lineRule="auto" w:after="120"/>
        <w:jc w:val="center"/>
      </w:pPr>
      <w:r>
        <w:rPr>
          <w:b w:val="0"/>
          <w:i w:val="0"/>
        </w:rPr>
        <w:t>Academic Year: 2025-2026</w:t>
      </w:r>
    </w:p>
    <w:p>
      <w:pPr>
        <w:spacing w:line="300" w:lineRule="auto" w:after="120"/>
        <w:jc w:val="center"/>
      </w:pPr>
      <w:r>
        <w:rPr>
          <w:b w:val="0"/>
          <w:i w:val="0"/>
        </w:rPr>
        <w:t>Submission Date: 21 April 2026</w:t>
      </w:r>
    </w:p>
    <w:p>
      <w:pPr>
        <w:spacing w:line="300" w:lineRule="auto" w:after="120"/>
        <w:jc w:val="center"/>
      </w:pPr>
      <w:r>
        <w:rPr>
          <w:b w:val="0"/>
          <w:i w:val="0"/>
        </w:rPr>
      </w:r>
    </w:p>
    <w:p>
      <w:pPr>
        <w:spacing w:line="300" w:lineRule="auto" w:after="120"/>
        <w:jc w:val="center"/>
      </w:pPr>
      <w:r>
        <w:rPr>
          <w:b w:val="0"/>
          <w:i w:val="0"/>
        </w:rPr>
        <w:t>Prepared by: Group 19</w:t>
      </w:r>
    </w:p>
    <w:p>
      <w:pPr>
        <w:spacing w:line="300" w:lineRule="auto" w:after="120"/>
        <w:jc w:val="center"/>
      </w:pPr>
      <w:r>
        <w:rPr>
          <w:b w:val="0"/>
          <w:i w:val="0"/>
        </w:rPr>
        <w:t>Anurag Thakur 2023IMG-008</w:t>
      </w:r>
    </w:p>
    <w:p>
      <w:pPr>
        <w:spacing w:line="300" w:lineRule="auto" w:after="120"/>
        <w:jc w:val="center"/>
      </w:pPr>
      <w:r>
        <w:rPr>
          <w:b w:val="0"/>
          <w:i w:val="0"/>
        </w:rPr>
        <w:t>Baviskar Pratik Subhash 2023IMG-014</w:t>
      </w:r>
    </w:p>
    <w:p>
      <w:pPr>
        <w:spacing w:line="300" w:lineRule="auto" w:after="120"/>
        <w:jc w:val="center"/>
      </w:pPr>
      <w:r>
        <w:rPr>
          <w:b w:val="0"/>
          <w:i w:val="0"/>
        </w:rPr>
        <w:t>Kshitij Dhamanikar 2023IMG-029</w:t>
      </w:r>
    </w:p>
    <w:p>
      <w:pPr>
        <w:spacing w:line="300" w:lineRule="auto" w:after="120"/>
        <w:jc w:val="center"/>
      </w:pPr>
      <w:r>
        <w:rPr>
          <w:b w:val="0"/>
          <w:i w:val="0"/>
        </w:rPr>
        <w:t>Kushagra Agarwal 2023IMG-030</w:t>
      </w:r>
    </w:p>
    <w:p>
      <w:pPr>
        <w:spacing w:line="300" w:lineRule="auto" w:after="120"/>
        <w:jc w:val="center"/>
      </w:pPr>
      <w:r>
        <w:rPr>
          <w:b w:val="0"/>
          <w:i w:val="0"/>
        </w:rPr>
        <w:t>Vibhor Kumar 2023IMG-054</w:t>
      </w:r>
    </w:p>
    <w:p>
      <w:r>
        <w:br w:type="page"/>
      </w:r>
    </w:p>
    <w:p>
      <w:pPr>
        <w:pStyle w:val="Heading1"/>
      </w:pPr>
      <w:r>
        <w:rPr>
          <w:sz w:val="30"/>
        </w:rPr>
        <w:t>Abstract</w:t>
      </w:r>
    </w:p>
    <w:p>
      <w:pPr>
        <w:spacing w:line="300" w:lineRule="auto" w:after="120"/>
      </w:pPr>
      <w:r>
        <w:rPr>
          <w:b w:val="0"/>
          <w:i w:val="0"/>
        </w:rPr>
        <w:t>This report presents a complete machine learning workflow for automated skin disease image classification. The final system uses a Vision Transformer (ViT)-based weighted ensemble for 8-class prediction. Compared to a single promoted ViT baseline, the final ensemble improves overall accuracy and macro-level metrics substantially. The deployment-ready artifacts were integrated into a Flask web application runtime and validated through class-wise metrics, confusion analysis, and leakage-aware evaluation checks.</w:t>
      </w:r>
    </w:p>
    <w:p>
      <w:pPr>
        <w:spacing w:line="300" w:lineRule="auto" w:after="120"/>
      </w:pPr>
      <w:r>
        <w:rPr>
          <w:b/>
          <w:i w:val="0"/>
        </w:rPr>
        <w:t>Final ensemble metrics on the main test split: Accuracy=0.8533, Macro Precision=0.8610, Macro Recall=0.8533.</w:t>
      </w:r>
    </w:p>
    <w:p>
      <w:pPr>
        <w:pStyle w:val="Heading2"/>
      </w:pPr>
      <w:r>
        <w:rPr>
          <w:sz w:val="24"/>
        </w:rPr>
        <w:t>Keywords</w:t>
      </w:r>
    </w:p>
    <w:p>
      <w:pPr>
        <w:spacing w:line="300" w:lineRule="auto" w:after="120"/>
      </w:pPr>
      <w:r>
        <w:rPr>
          <w:b w:val="0"/>
          <w:i w:val="0"/>
        </w:rPr>
        <w:t>Skin disease classification, Vision Transformer, Ensemble learning, Medical image analysis, Deep learning</w:t>
      </w:r>
    </w:p>
    <w:p>
      <w:pPr>
        <w:pStyle w:val="Heading1"/>
      </w:pPr>
      <w:r>
        <w:rPr>
          <w:sz w:val="30"/>
        </w:rPr>
        <w:t>1. Introduction</w:t>
      </w:r>
    </w:p>
    <w:p>
      <w:pPr>
        <w:spacing w:line="300" w:lineRule="auto" w:after="120"/>
      </w:pPr>
      <w:r>
        <w:rPr>
          <w:b w:val="0"/>
          <w:i w:val="0"/>
        </w:rPr>
        <w:t>Skin disorders are common and often require timely assessment. Automated classification tools can support screening, education, and decision support when designed with clear limitations. This project focuses on building a practical, reproducible image classification pipeline under CPU-only constraints while maintaining strong model quality.</w:t>
      </w:r>
    </w:p>
    <w:p>
      <w:pPr>
        <w:pStyle w:val="Heading2"/>
      </w:pPr>
      <w:r>
        <w:rPr>
          <w:sz w:val="24"/>
        </w:rPr>
        <w:t>1.1 Problem Statement</w:t>
      </w:r>
    </w:p>
    <w:p>
      <w:pPr>
        <w:spacing w:line="300" w:lineRule="auto" w:after="120"/>
      </w:pPr>
      <w:r>
        <w:rPr>
          <w:b w:val="0"/>
          <w:i w:val="0"/>
        </w:rPr>
        <w:t>Given an input skin image, classify the disease category among 8 predefined classes: acne, bcc, bkl, eczema, ak, melanoma, psoriasis, and tinea.</w:t>
      </w:r>
    </w:p>
    <w:p>
      <w:pPr>
        <w:pStyle w:val="Heading2"/>
      </w:pPr>
      <w:r>
        <w:rPr>
          <w:sz w:val="24"/>
        </w:rPr>
        <w:t>1.2 Objectives</w:t>
      </w:r>
    </w:p>
    <w:p>
      <w:pPr>
        <w:pStyle w:val="ListBullet"/>
        <w:spacing w:line="288" w:lineRule="auto" w:after="60"/>
      </w:pPr>
      <w:r>
        <w:t>Build CPU-friendly ViT training and evaluation workflows.</w:t>
      </w:r>
    </w:p>
    <w:p>
      <w:pPr>
        <w:pStyle w:val="ListBullet"/>
        <w:spacing w:line="288" w:lineRule="auto" w:after="60"/>
      </w:pPr>
      <w:r>
        <w:t>Improve model quality through controlled ensemble optimization.</w:t>
      </w:r>
    </w:p>
    <w:p>
      <w:pPr>
        <w:pStyle w:val="ListBullet"/>
        <w:spacing w:line="288" w:lineRule="auto" w:after="60"/>
      </w:pPr>
      <w:r>
        <w:t>Integrate final model configuration into application runtime.</w:t>
      </w:r>
    </w:p>
    <w:p>
      <w:pPr>
        <w:pStyle w:val="ListBullet"/>
        <w:spacing w:line="288" w:lineRule="auto" w:after="60"/>
      </w:pPr>
      <w:r>
        <w:t>Produce clear metrics, plots, and report artifacts for academic submission.</w:t>
      </w:r>
    </w:p>
    <w:p>
      <w:pPr>
        <w:pStyle w:val="ListBullet"/>
        <w:spacing w:line="288" w:lineRule="auto" w:after="60"/>
      </w:pPr>
      <w:r>
        <w:t>Validate performance with leakage-aware checks for reliability.</w:t>
      </w:r>
    </w:p>
    <w:p>
      <w:pPr>
        <w:pStyle w:val="Heading2"/>
      </w:pPr>
      <w:r>
        <w:rPr>
          <w:sz w:val="24"/>
        </w:rPr>
        <w:t>1.3 Scope and Limitations</w:t>
      </w:r>
    </w:p>
    <w:p>
      <w:pPr>
        <w:spacing w:line="300" w:lineRule="auto" w:after="120"/>
      </w:pPr>
      <w:r>
        <w:rPr>
          <w:b w:val="0"/>
          <w:i w:val="0"/>
        </w:rPr>
        <w:t>The system is intended for educational and research use and is not a replacement for clinical diagnosis. Model performance is dataset-dependent and can degrade on unseen data domains.</w:t>
      </w:r>
    </w:p>
    <w:p>
      <w:pPr>
        <w:pStyle w:val="Heading1"/>
      </w:pPr>
      <w:r>
        <w:rPr>
          <w:sz w:val="30"/>
        </w:rPr>
        <w:t>2. Dataset and Experimental Setup</w:t>
      </w:r>
    </w:p>
    <w:p>
      <w:pPr>
        <w:spacing w:line="300" w:lineRule="auto" w:after="120"/>
      </w:pPr>
      <w:r>
        <w:rPr>
          <w:b w:val="0"/>
          <w:i w:val="0"/>
        </w:rPr>
        <w:t>Experiments were run on curated split folders with balanced class representation in the test split. The final evaluated split consists of 184 total images with 23 images per class.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evaluation split</w:t>
            </w:r>
          </w:p>
        </w:tc>
        <w:tc>
          <w:tcPr>
            <w:tcW w:type="dxa" w:w="4320"/>
          </w:tcPr>
          <w:p>
            <w:r>
              <w:t>datasets/hf_hybrid_150/splits/test</w:t>
            </w:r>
          </w:p>
        </w:tc>
      </w:tr>
      <w:tr>
        <w:tc>
          <w:tcPr>
            <w:tcW w:type="dxa" w:w="4320"/>
          </w:tcPr>
          <w:p>
            <w:r>
              <w:t>Number of classes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samples</w:t>
            </w:r>
          </w:p>
        </w:tc>
        <w:tc>
          <w:tcPr>
            <w:tcW w:type="dxa" w:w="4320"/>
          </w:tcPr>
          <w:p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Samples per class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Runtime environment</w:t>
            </w:r>
          </w:p>
        </w:tc>
        <w:tc>
          <w:tcPr>
            <w:tcW w:type="dxa" w:w="4320"/>
          </w:tcPr>
          <w:p>
            <w:r>
              <w:t>CPU-only training/evaluation</w:t>
            </w:r>
          </w:p>
        </w:tc>
      </w:tr>
      <w:tr>
        <w:tc>
          <w:tcPr>
            <w:tcW w:type="dxa" w:w="4320"/>
          </w:tcPr>
          <w:p>
            <w:r>
              <w:t>Model family</w:t>
            </w:r>
          </w:p>
        </w:tc>
        <w:tc>
          <w:tcPr>
            <w:tcW w:type="dxa" w:w="4320"/>
          </w:tcPr>
          <w:p>
            <w:r>
              <w:t>Vision Transformer (ViT)</w:t>
            </w:r>
          </w:p>
        </w:tc>
      </w:tr>
    </w:tbl>
    <w:p>
      <w:pPr>
        <w:pStyle w:val="Heading2"/>
      </w:pPr>
      <w:r>
        <w:rPr>
          <w:sz w:val="24"/>
        </w:rPr>
        <w:t>2.1 Leakage-Aware Evaluation Note</w:t>
      </w:r>
    </w:p>
    <w:p>
      <w:pPr>
        <w:spacing w:line="300" w:lineRule="auto" w:after="120"/>
      </w:pPr>
      <w:r>
        <w:rPr>
          <w:b w:val="0"/>
          <w:i w:val="0"/>
        </w:rPr>
        <w:t>Because some dataset versions may share source images, leakage-safe subset checks were used to validate whether gains persist after excluding overlapping train/validation references from expanded dataset variants.</w:t>
      </w:r>
    </w:p>
    <w:p>
      <w:pPr>
        <w:pStyle w:val="Heading2"/>
      </w:pPr>
      <w:r>
        <w:rPr>
          <w:sz w:val="24"/>
        </w:rPr>
        <w:t>2.2 Experimental Protocol</w:t>
      </w:r>
    </w:p>
    <w:p>
      <w:pPr>
        <w:pStyle w:val="ListBullet"/>
        <w:spacing w:line="288" w:lineRule="auto" w:after="60"/>
      </w:pPr>
      <w:r>
        <w:t>Train multiple ViT checkpoints with varied augmentation and regularization profiles.</w:t>
      </w:r>
    </w:p>
    <w:p>
      <w:pPr>
        <w:pStyle w:val="ListBullet"/>
        <w:spacing w:line="288" w:lineRule="auto" w:after="60"/>
      </w:pPr>
      <w:r>
        <w:t>Evaluate checkpoints on common split for comparability.</w:t>
      </w:r>
    </w:p>
    <w:p>
      <w:pPr>
        <w:pStyle w:val="ListBullet"/>
        <w:spacing w:line="288" w:lineRule="auto" w:after="60"/>
      </w:pPr>
      <w:r>
        <w:t>Search ensemble weights for improved accuracy and stability.</w:t>
      </w:r>
    </w:p>
    <w:p>
      <w:pPr>
        <w:pStyle w:val="ListBullet"/>
        <w:spacing w:line="288" w:lineRule="auto" w:after="60"/>
      </w:pPr>
      <w:r>
        <w:t>Promote best-performing ensemble into runtime config.</w:t>
      </w:r>
    </w:p>
    <w:p>
      <w:pPr>
        <w:pStyle w:val="Heading1"/>
      </w:pPr>
      <w:r>
        <w:rPr>
          <w:sz w:val="30"/>
        </w:rPr>
        <w:t>3. Model Architecture and Pipeline</w:t>
      </w:r>
    </w:p>
    <w:p>
      <w:pPr>
        <w:spacing w:line="300" w:lineRule="auto" w:after="120"/>
      </w:pPr>
      <w:r>
        <w:rPr>
          <w:b w:val="0"/>
          <w:i w:val="0"/>
        </w:rPr>
        <w:t>The final predictor is a weighted softmax ensemble over four ViT checkpoints. Each member contributes probabilities according to fixed weights, and the class with maximum weighted probability is selected.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Ensemble Member</w:t>
            </w:r>
          </w:p>
        </w:tc>
        <w:tc>
          <w:tcPr>
            <w:tcW w:type="dxa" w:w="2880"/>
          </w:tcPr>
          <w:p>
            <w:r>
              <w:t>Model Path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strict80_tiny160</w:t>
            </w:r>
          </w:p>
        </w:tc>
        <w:tc>
          <w:tcPr>
            <w:tcW w:type="dxa" w:w="2880"/>
          </w:tcPr>
          <w:p>
            <w:r>
              <w:t>artifacts/vit_strict80_tiny160/best_model.pt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220_tiny224_lowaug</w:t>
            </w:r>
          </w:p>
        </w:tc>
        <w:tc>
          <w:tcPr>
            <w:tcW w:type="dxa" w:w="2880"/>
          </w:tcPr>
          <w:p>
            <w:r>
              <w:t>artifacts/vit_220_tiny224_lowaug/best_model.pt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</w:tr>
      <w:tr>
        <w:tc>
          <w:tcPr>
            <w:tcW w:type="dxa" w:w="2880"/>
          </w:tcPr>
          <w:p>
            <w:r>
              <w:t>150_tiny224_lowaug</w:t>
            </w:r>
          </w:p>
        </w:tc>
        <w:tc>
          <w:tcPr>
            <w:tcW w:type="dxa" w:w="2880"/>
          </w:tcPr>
          <w:p>
            <w:r>
              <w:t>artifacts/vit_150_tiny224_lowaug/best_model.pt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</w:tr>
      <w:tr>
        <w:tc>
          <w:tcPr>
            <w:tcW w:type="dxa" w:w="2880"/>
          </w:tcPr>
          <w:p>
            <w:r>
              <w:t>150_tiny160</w:t>
            </w:r>
          </w:p>
        </w:tc>
        <w:tc>
          <w:tcPr>
            <w:tcW w:type="dxa" w:w="2880"/>
          </w:tcPr>
          <w:p>
            <w:r>
              <w:t>artifacts/vit_150_tiny160/best_model.pt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emble_weights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Figure 1: Final ensemble member weight distribution.</w:t>
      </w:r>
    </w:p>
    <w:p>
      <w:pPr>
        <w:pStyle w:val="Heading2"/>
      </w:pPr>
      <w:r>
        <w:rPr>
          <w:sz w:val="24"/>
        </w:rPr>
        <w:t>3.1 Deployment Path</w:t>
      </w:r>
    </w:p>
    <w:p>
      <w:pPr>
        <w:pStyle w:val="ListBullet"/>
        <w:spacing w:line="288" w:lineRule="auto" w:after="60"/>
      </w:pPr>
      <w:r>
        <w:t>Runtime config: website/models/vit_ensemble.json</w:t>
      </w:r>
    </w:p>
    <w:p>
      <w:pPr>
        <w:pStyle w:val="ListBullet"/>
        <w:spacing w:line="288" w:lineRule="auto" w:after="60"/>
      </w:pPr>
      <w:r>
        <w:t>Metrics export: website/models/vit_ensemble_metrics.json</w:t>
      </w:r>
    </w:p>
    <w:p>
      <w:pPr>
        <w:pStyle w:val="ListBullet"/>
        <w:spacing w:line="288" w:lineRule="auto" w:after="60"/>
      </w:pPr>
      <w:r>
        <w:t>Confusion export: website/models/vit_ensemble_confusion.csv</w:t>
      </w:r>
    </w:p>
    <w:p>
      <w:pPr>
        <w:pStyle w:val="ListBullet"/>
        <w:spacing w:line="288" w:lineRule="auto" w:after="60"/>
      </w:pPr>
      <w:r>
        <w:t>Serving interface: Flask application inference route</w:t>
      </w:r>
    </w:p>
    <w:p>
      <w:pPr>
        <w:pStyle w:val="Heading1"/>
      </w:pPr>
      <w:r>
        <w:rPr>
          <w:sz w:val="30"/>
        </w:rPr>
        <w:t>4. Final Quantitative Results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Figure 2: KPI summary of final ensemble.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Final Ensemble</w:t>
            </w:r>
          </w:p>
        </w:tc>
        <w:tc>
          <w:tcPr>
            <w:tcW w:type="dxa" w:w="2160"/>
          </w:tcPr>
          <w:p>
            <w:r>
              <w:t>Single ViT Baseline</w:t>
            </w:r>
          </w:p>
        </w:tc>
        <w:tc>
          <w:tcPr>
            <w:tcW w:type="dxa" w:w="2160"/>
          </w:tcPr>
          <w:p>
            <w:r>
              <w:t>Absolute Gain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0.8533</w:t>
            </w:r>
          </w:p>
        </w:tc>
        <w:tc>
          <w:tcPr>
            <w:tcW w:type="dxa" w:w="2160"/>
          </w:tcPr>
          <w:p>
            <w:r>
              <w:t>0.7120</w:t>
            </w:r>
          </w:p>
        </w:tc>
        <w:tc>
          <w:tcPr>
            <w:tcW w:type="dxa" w:w="2160"/>
          </w:tcPr>
          <w:p>
            <w:r>
              <w:t>+0.1413</w:t>
            </w:r>
          </w:p>
        </w:tc>
      </w:tr>
      <w:tr>
        <w:tc>
          <w:tcPr>
            <w:tcW w:type="dxa" w:w="2160"/>
          </w:tcPr>
          <w:p>
            <w:r>
              <w:t>Macro Precision</w:t>
            </w:r>
          </w:p>
        </w:tc>
        <w:tc>
          <w:tcPr>
            <w:tcW w:type="dxa" w:w="2160"/>
          </w:tcPr>
          <w:p>
            <w:r>
              <w:t>0.8610</w:t>
            </w:r>
          </w:p>
        </w:tc>
        <w:tc>
          <w:tcPr>
            <w:tcW w:type="dxa" w:w="2160"/>
          </w:tcPr>
          <w:p>
            <w:r>
              <w:t>0.7036</w:t>
            </w:r>
          </w:p>
        </w:tc>
        <w:tc>
          <w:tcPr>
            <w:tcW w:type="dxa" w:w="2160"/>
          </w:tcPr>
          <w:p>
            <w:r>
              <w:t>+0.1575</w:t>
            </w:r>
          </w:p>
        </w:tc>
      </w:tr>
      <w:tr>
        <w:tc>
          <w:tcPr>
            <w:tcW w:type="dxa" w:w="2160"/>
          </w:tcPr>
          <w:p>
            <w:r>
              <w:t>Macro Recall</w:t>
            </w:r>
          </w:p>
        </w:tc>
        <w:tc>
          <w:tcPr>
            <w:tcW w:type="dxa" w:w="2160"/>
          </w:tcPr>
          <w:p>
            <w:r>
              <w:t>0.8533</w:t>
            </w:r>
          </w:p>
        </w:tc>
        <w:tc>
          <w:tcPr>
            <w:tcW w:type="dxa" w:w="2160"/>
          </w:tcPr>
          <w:p>
            <w:r>
              <w:t>0.7120</w:t>
            </w:r>
          </w:p>
        </w:tc>
        <w:tc>
          <w:tcPr>
            <w:tcW w:type="dxa" w:w="2160"/>
          </w:tcPr>
          <w:p>
            <w:r>
              <w:t>+0.1413</w:t>
            </w:r>
          </w:p>
        </w:tc>
      </w:tr>
    </w:tbl>
    <w:p>
      <w:pPr>
        <w:spacing w:line="300" w:lineRule="auto" w:after="120"/>
      </w:pPr>
      <w:r>
        <w:rPr>
          <w:b w:val="0"/>
          <w:i w:val="0"/>
        </w:rPr>
        <w:t>The ensemble gives a clear and consistent improvement over the single baseline model across all primary aggregate metrics.</w:t>
      </w:r>
    </w:p>
    <w:p>
      <w:pPr>
        <w:pStyle w:val="Heading2"/>
      </w:pPr>
      <w:r>
        <w:rPr>
          <w:sz w:val="24"/>
        </w:rPr>
        <w:t>4.1 Class-wise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</w:tr>
      <w:tr>
        <w:tc>
          <w:tcPr>
            <w:tcW w:type="dxa" w:w="2160"/>
          </w:tcPr>
          <w:p>
            <w:r>
              <w:t>acne</w:t>
            </w:r>
          </w:p>
        </w:tc>
        <w:tc>
          <w:tcPr>
            <w:tcW w:type="dxa" w:w="2160"/>
          </w:tcPr>
          <w:p>
            <w:r>
              <w:t>0.7931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bcc</w:t>
            </w:r>
          </w:p>
        </w:tc>
        <w:tc>
          <w:tcPr>
            <w:tcW w:type="dxa" w:w="2160"/>
          </w:tcPr>
          <w:p>
            <w:r>
              <w:t>0.8800</w:t>
            </w:r>
          </w:p>
        </w:tc>
        <w:tc>
          <w:tcPr>
            <w:tcW w:type="dxa" w:w="2160"/>
          </w:tcPr>
          <w:p>
            <w:r>
              <w:t>0.9565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bkl</w:t>
            </w:r>
          </w:p>
        </w:tc>
        <w:tc>
          <w:tcPr>
            <w:tcW w:type="dxa" w:w="2160"/>
          </w:tcPr>
          <w:p>
            <w:r>
              <w:t>0.9091</w:t>
            </w:r>
          </w:p>
        </w:tc>
        <w:tc>
          <w:tcPr>
            <w:tcW w:type="dxa" w:w="2160"/>
          </w:tcPr>
          <w:p>
            <w:r>
              <w:t>0.8696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eczema</w:t>
            </w:r>
          </w:p>
        </w:tc>
        <w:tc>
          <w:tcPr>
            <w:tcW w:type="dxa" w:w="2160"/>
          </w:tcPr>
          <w:p>
            <w:r>
              <w:t>0.8750</w:t>
            </w:r>
          </w:p>
        </w:tc>
        <w:tc>
          <w:tcPr>
            <w:tcW w:type="dxa" w:w="2160"/>
          </w:tcPr>
          <w:p>
            <w:r>
              <w:t>0.6087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ak</w:t>
            </w:r>
          </w:p>
        </w:tc>
        <w:tc>
          <w:tcPr>
            <w:tcW w:type="dxa" w:w="2160"/>
          </w:tcPr>
          <w:p>
            <w:r>
              <w:t>0.9130</w:t>
            </w:r>
          </w:p>
        </w:tc>
        <w:tc>
          <w:tcPr>
            <w:tcW w:type="dxa" w:w="2160"/>
          </w:tcPr>
          <w:p>
            <w:r>
              <w:t>0.9130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melanoma</w:t>
            </w:r>
          </w:p>
        </w:tc>
        <w:tc>
          <w:tcPr>
            <w:tcW w:type="dxa" w:w="2160"/>
          </w:tcPr>
          <w:p>
            <w:r>
              <w:t>0.9091</w:t>
            </w:r>
          </w:p>
        </w:tc>
        <w:tc>
          <w:tcPr>
            <w:tcW w:type="dxa" w:w="2160"/>
          </w:tcPr>
          <w:p>
            <w:r>
              <w:t>0.8696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psoriasis</w:t>
            </w:r>
          </w:p>
        </w:tc>
        <w:tc>
          <w:tcPr>
            <w:tcW w:type="dxa" w:w="2160"/>
          </w:tcPr>
          <w:p>
            <w:r>
              <w:t>0.7143</w:t>
            </w:r>
          </w:p>
        </w:tc>
        <w:tc>
          <w:tcPr>
            <w:tcW w:type="dxa" w:w="2160"/>
          </w:tcPr>
          <w:p>
            <w:r>
              <w:t>0.8696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tinea</w:t>
            </w:r>
          </w:p>
        </w:tc>
        <w:tc>
          <w:tcPr>
            <w:tcW w:type="dxa" w:w="2160"/>
          </w:tcPr>
          <w:p>
            <w:r>
              <w:t>0.8947</w:t>
            </w:r>
          </w:p>
        </w:tc>
        <w:tc>
          <w:tcPr>
            <w:tcW w:type="dxa" w:w="2160"/>
          </w:tcPr>
          <w:p>
            <w:r>
              <w:t>0.7391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</w:tbl>
    <w:p>
      <w:pPr>
        <w:pStyle w:val="Heading1"/>
      </w:pPr>
      <w:r>
        <w:rPr>
          <w:sz w:val="30"/>
        </w:rPr>
        <w:t>5. Diagnostic Analysis</w:t>
      </w:r>
    </w:p>
    <w:p>
      <w:r>
        <w:drawing>
          <wp:inline xmlns:a="http://schemas.openxmlformats.org/drawingml/2006/main" xmlns:pic="http://schemas.openxmlformats.org/drawingml/2006/picture">
            <wp:extent cx="5669280" cy="2576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_by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Figure 3: Precision and recall by class.</w:t>
      </w:r>
    </w:p>
    <w:p>
      <w:r>
        <w:drawing>
          <wp:inline xmlns:a="http://schemas.openxmlformats.org/drawingml/2006/main" xmlns:pic="http://schemas.openxmlformats.org/drawingml/2006/picture">
            <wp:extent cx="5669280" cy="2591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by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Figure 4: Per-class F1 score.</w:t>
      </w:r>
    </w:p>
    <w:p>
      <w:pPr>
        <w:pStyle w:val="Heading2"/>
      </w:pPr>
      <w:r>
        <w:rPr>
          <w:sz w:val="24"/>
        </w:rPr>
        <w:t>5.1 Key Findings</w:t>
      </w:r>
    </w:p>
    <w:p>
      <w:pPr>
        <w:pStyle w:val="ListBullet"/>
        <w:spacing w:line="288" w:lineRule="auto" w:after="60"/>
      </w:pPr>
      <w:r>
        <w:t>Acne and BCC show strong recall and stable precision.</w:t>
      </w:r>
    </w:p>
    <w:p>
      <w:pPr>
        <w:pStyle w:val="ListBullet"/>
        <w:spacing w:line="288" w:lineRule="auto" w:after="60"/>
      </w:pPr>
      <w:r>
        <w:t>AK and Melanoma maintain balanced performance.</w:t>
      </w:r>
    </w:p>
    <w:p>
      <w:pPr>
        <w:pStyle w:val="ListBullet"/>
        <w:spacing w:line="288" w:lineRule="auto" w:after="60"/>
      </w:pPr>
      <w:r>
        <w:t>Eczema remains the most difficult class in recall.</w:t>
      </w:r>
    </w:p>
    <w:p>
      <w:pPr>
        <w:pStyle w:val="ListBullet"/>
        <w:spacing w:line="288" w:lineRule="auto" w:after="60"/>
      </w:pPr>
      <w:r>
        <w:t>Tinea has high precision but lower recall, suggesting conservative prediction behavior.</w:t>
      </w:r>
    </w:p>
    <w:p>
      <w:pPr>
        <w:pStyle w:val="Heading1"/>
      </w:pPr>
      <w:r>
        <w:rPr>
          <w:sz w:val="30"/>
        </w:rPr>
        <w:t>6. Confusion and Prediction Distribution</w:t>
      </w:r>
    </w:p>
    <w:p>
      <w:r>
        <w:drawing>
          <wp:inline xmlns:a="http://schemas.openxmlformats.org/drawingml/2006/main" xmlns:pic="http://schemas.openxmlformats.org/drawingml/2006/picture">
            <wp:extent cx="5669280" cy="4960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Figure 5: Confusion matrix heatmap.</w:t>
      </w:r>
    </w:p>
    <w:p>
      <w:r>
        <w:drawing>
          <wp:inline xmlns:a="http://schemas.openxmlformats.org/drawingml/2006/main" xmlns:pic="http://schemas.openxmlformats.org/drawingml/2006/picture">
            <wp:extent cx="5669280" cy="25769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e_vs_predicted_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Figure 6: True vs predicted class counts.</w:t>
      </w:r>
    </w:p>
    <w:p>
      <w:pPr>
        <w:pStyle w:val="Heading2"/>
      </w:pPr>
      <w:r>
        <w:rPr>
          <w:sz w:val="24"/>
        </w:rPr>
        <w:t>6.1 Confusion Patterns</w:t>
      </w:r>
    </w:p>
    <w:p>
      <w:pPr>
        <w:pStyle w:val="ListBullet"/>
        <w:spacing w:line="288" w:lineRule="auto" w:after="60"/>
      </w:pPr>
      <w:r>
        <w:t>Eczema has notable confusion with Psoriasis and Acne.</w:t>
      </w:r>
    </w:p>
    <w:p>
      <w:pPr>
        <w:pStyle w:val="ListBullet"/>
        <w:spacing w:line="288" w:lineRule="auto" w:after="60"/>
      </w:pPr>
      <w:r>
        <w:t>AK occasionally overlaps with BCC.</w:t>
      </w:r>
    </w:p>
    <w:p>
      <w:pPr>
        <w:pStyle w:val="ListBullet"/>
        <w:spacing w:line="288" w:lineRule="auto" w:after="60"/>
      </w:pPr>
      <w:r>
        <w:t>Tinea has occasional confusion with Psoriasis and Acne.</w:t>
      </w:r>
    </w:p>
    <w:p>
      <w:pPr>
        <w:pStyle w:val="ListBullet"/>
        <w:spacing w:line="288" w:lineRule="auto" w:after="60"/>
      </w:pPr>
      <w:r>
        <w:t>Acne reached perfect recall in the final run.</w:t>
      </w:r>
    </w:p>
    <w:p>
      <w:pPr>
        <w:pStyle w:val="Heading2"/>
      </w:pPr>
      <w:r>
        <w:rPr>
          <w:sz w:val="24"/>
        </w:rPr>
        <w:t>6.2 Raw Confusion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true/pred</w:t>
            </w:r>
          </w:p>
        </w:tc>
        <w:tc>
          <w:tcPr>
            <w:tcW w:type="dxa" w:w="960"/>
          </w:tcPr>
          <w:p>
            <w:r>
              <w:t>acne</w:t>
            </w:r>
          </w:p>
        </w:tc>
        <w:tc>
          <w:tcPr>
            <w:tcW w:type="dxa" w:w="960"/>
          </w:tcPr>
          <w:p>
            <w:r>
              <w:t>bcc</w:t>
            </w:r>
          </w:p>
        </w:tc>
        <w:tc>
          <w:tcPr>
            <w:tcW w:type="dxa" w:w="960"/>
          </w:tcPr>
          <w:p>
            <w:r>
              <w:t>bkl</w:t>
            </w:r>
          </w:p>
        </w:tc>
        <w:tc>
          <w:tcPr>
            <w:tcW w:type="dxa" w:w="960"/>
          </w:tcPr>
          <w:p>
            <w:r>
              <w:t>eczema</w:t>
            </w:r>
          </w:p>
        </w:tc>
        <w:tc>
          <w:tcPr>
            <w:tcW w:type="dxa" w:w="960"/>
          </w:tcPr>
          <w:p>
            <w:r>
              <w:t>ak</w:t>
            </w:r>
          </w:p>
        </w:tc>
        <w:tc>
          <w:tcPr>
            <w:tcW w:type="dxa" w:w="960"/>
          </w:tcPr>
          <w:p>
            <w:r>
              <w:t>melanoma</w:t>
            </w:r>
          </w:p>
        </w:tc>
        <w:tc>
          <w:tcPr>
            <w:tcW w:type="dxa" w:w="960"/>
          </w:tcPr>
          <w:p>
            <w:r>
              <w:t>psoriasis</w:t>
            </w:r>
          </w:p>
        </w:tc>
        <w:tc>
          <w:tcPr>
            <w:tcW w:type="dxa" w:w="960"/>
          </w:tcPr>
          <w:p>
            <w:r>
              <w:t>tinea</w:t>
            </w:r>
          </w:p>
        </w:tc>
      </w:tr>
      <w:tr>
        <w:tc>
          <w:tcPr>
            <w:tcW w:type="dxa" w:w="960"/>
          </w:tcPr>
          <w:p>
            <w:r>
              <w:t>acne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bcc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bkl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eczema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ak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melanoma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psoriasis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tinea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17</w:t>
            </w:r>
          </w:p>
        </w:tc>
      </w:tr>
    </w:tbl>
    <w:p>
      <w:pPr>
        <w:pStyle w:val="Heading1"/>
      </w:pPr>
      <w:r>
        <w:rPr>
          <w:sz w:val="30"/>
        </w:rPr>
        <w:t>7. Risks, Ethics, and Limitations</w:t>
      </w:r>
    </w:p>
    <w:p>
      <w:pPr>
        <w:pStyle w:val="ListBullet"/>
        <w:spacing w:line="288" w:lineRule="auto" w:after="60"/>
      </w:pPr>
      <w:r>
        <w:t>Performance remains below 90% target under CPU constraints.</w:t>
      </w:r>
    </w:p>
    <w:p>
      <w:pPr>
        <w:pStyle w:val="ListBullet"/>
        <w:spacing w:line="288" w:lineRule="auto" w:after="60"/>
      </w:pPr>
      <w:r>
        <w:t>Visually similar classes can still produce boundary errors.</w:t>
      </w:r>
    </w:p>
    <w:p>
      <w:pPr>
        <w:pStyle w:val="ListBullet"/>
        <w:spacing w:line="288" w:lineRule="auto" w:after="60"/>
      </w:pPr>
      <w:r>
        <w:t>Dataset overlap management remains critical for fair benchmarking.</w:t>
      </w:r>
    </w:p>
    <w:p>
      <w:pPr>
        <w:pStyle w:val="ListBullet"/>
        <w:spacing w:line="288" w:lineRule="auto" w:after="60"/>
      </w:pPr>
      <w:r>
        <w:t>Uncertainty calibration and abstention are not yet implemented.</w:t>
      </w:r>
    </w:p>
    <w:p>
      <w:pPr>
        <w:pStyle w:val="Heading2"/>
      </w:pPr>
      <w:r>
        <w:rPr>
          <w:sz w:val="24"/>
        </w:rPr>
        <w:t>7.1 Ethical Note</w:t>
      </w:r>
    </w:p>
    <w:p>
      <w:pPr>
        <w:spacing w:line="300" w:lineRule="auto" w:after="120"/>
      </w:pPr>
      <w:r>
        <w:rPr>
          <w:b w:val="0"/>
          <w:i w:val="0"/>
        </w:rPr>
        <w:t>This model is intended for educational and research use only. It is not a medical device and should not be used as a standalone diagnostic tool.</w:t>
      </w:r>
    </w:p>
    <w:p>
      <w:pPr>
        <w:pStyle w:val="Heading1"/>
      </w:pPr>
      <w:r>
        <w:rPr>
          <w:sz w:val="30"/>
        </w:rPr>
        <w:t>8. Conclusion and Future Work</w:t>
      </w:r>
    </w:p>
    <w:p>
      <w:pPr>
        <w:spacing w:line="300" w:lineRule="auto" w:after="120"/>
      </w:pPr>
      <w:r>
        <w:rPr>
          <w:b w:val="0"/>
          <w:i w:val="0"/>
        </w:rPr>
        <w:t>The project successfully delivered an integrated ViT ensemble pipeline with strong improvements over baseline. The generated artifacts include deployable configuration files, quantitative reports, confusion diagnostics, and reproducible scripts.</w:t>
      </w:r>
    </w:p>
    <w:p>
      <w:pPr>
        <w:pStyle w:val="ListBullet"/>
        <w:spacing w:line="288" w:lineRule="auto" w:after="60"/>
      </w:pPr>
      <w:r>
        <w:t>Train higher-capacity ViT backbones on strict non-overlap datasets.</w:t>
      </w:r>
    </w:p>
    <w:p>
      <w:pPr>
        <w:pStyle w:val="ListBullet"/>
        <w:spacing w:line="288" w:lineRule="auto" w:after="60"/>
      </w:pPr>
      <w:r>
        <w:t>Introduce confidence calibration for safer prediction handling.</w:t>
      </w:r>
    </w:p>
    <w:p>
      <w:pPr>
        <w:pStyle w:val="ListBullet"/>
        <w:spacing w:line="288" w:lineRule="auto" w:after="60"/>
      </w:pPr>
      <w:r>
        <w:t>Perform external benchmark validation for robustness estimation.</w:t>
      </w:r>
    </w:p>
    <w:p>
      <w:pPr>
        <w:pStyle w:val="ListBullet"/>
        <w:spacing w:line="288" w:lineRule="auto" w:after="60"/>
      </w:pPr>
      <w:r>
        <w:t>Add monitoring hooks for model drift in deployment.</w:t>
      </w:r>
    </w:p>
    <w:p>
      <w:pPr>
        <w:pStyle w:val="Heading2"/>
      </w:pPr>
      <w:r>
        <w:rPr>
          <w:sz w:val="24"/>
        </w:rPr>
        <w:t>Appendix A: Artifact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website/models/vit_ensemble.json</w:t>
            </w:r>
          </w:p>
        </w:tc>
        <w:tc>
          <w:tcPr>
            <w:tcW w:type="dxa" w:w="4320"/>
          </w:tcPr>
          <w:p>
            <w:r>
              <w:t>Final runtime ensemble configuration</w:t>
            </w:r>
          </w:p>
        </w:tc>
      </w:tr>
      <w:tr>
        <w:tc>
          <w:tcPr>
            <w:tcW w:type="dxa" w:w="4320"/>
          </w:tcPr>
          <w:p>
            <w:r>
              <w:t>website/models/vit_ensemble_metrics.json</w:t>
            </w:r>
          </w:p>
        </w:tc>
        <w:tc>
          <w:tcPr>
            <w:tcW w:type="dxa" w:w="4320"/>
          </w:tcPr>
          <w:p>
            <w:r>
              <w:t>Primary final metrics</w:t>
            </w:r>
          </w:p>
        </w:tc>
      </w:tr>
      <w:tr>
        <w:tc>
          <w:tcPr>
            <w:tcW w:type="dxa" w:w="4320"/>
          </w:tcPr>
          <w:p>
            <w:r>
              <w:t>website/models/vit_ensemble_confusion.csv</w:t>
            </w:r>
          </w:p>
        </w:tc>
        <w:tc>
          <w:tcPr>
            <w:tcW w:type="dxa" w:w="4320"/>
          </w:tcPr>
          <w:p>
            <w:r>
              <w:t>Confusion matrix values</w:t>
            </w:r>
          </w:p>
        </w:tc>
      </w:tr>
      <w:tr>
        <w:tc>
          <w:tcPr>
            <w:tcW w:type="dxa" w:w="4320"/>
          </w:tcPr>
          <w:p>
            <w:r>
              <w:t>docs/report_assets/*.png</w:t>
            </w:r>
          </w:p>
        </w:tc>
        <w:tc>
          <w:tcPr>
            <w:tcW w:type="dxa" w:w="4320"/>
          </w:tcPr>
          <w:p>
            <w:r>
              <w:t>Figures used in report and presentation</w:t>
            </w:r>
          </w:p>
        </w:tc>
      </w:tr>
      <w:tr>
        <w:tc>
          <w:tcPr>
            <w:tcW w:type="dxa" w:w="4320"/>
          </w:tcPr>
          <w:p>
            <w:r>
              <w:t>scripts/generate_project_report_docx.py</w:t>
            </w:r>
          </w:p>
        </w:tc>
        <w:tc>
          <w:tcPr>
            <w:tcW w:type="dxa" w:w="4320"/>
          </w:tcPr>
          <w:p>
            <w:r>
              <w:t>DOCX report generator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