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bidiVisual w:val="1"/>
      </w:tblPr>
      <w:tblGrid>
        <w:gridCol w:w="5298"/>
        <w:gridCol w:w="5298"/>
      </w:tblGrid>
      <w:tr>
        <w:trPr>
          <w:trHeight w:val="13380" w:hRule="exact"/>
        </w:trPr>
        <w:tc>
          <w:tcPr>
            <w:tcW w:type="dxa" w:w="7200"/>
            <w:tcBorders>
              <w:top w:val="nil" w:sz="6" w:color="D9CDD3"/>
              <w:bottom w:val="nil" w:sz="6" w:color="D9CDD3"/>
              <w:start w:val="nil" w:sz="6" w:color="D9CDD3"/>
              <w:end w:val="nil" w:sz="6" w:color="D9CDD3"/>
              <w:insideH w:val="nil" w:sz="6" w:color="D9CDD3"/>
              <w:insideV w:val="nil" w:sz="6" w:color="D9CDD3"/>
            </w:tcBorders>
            <w:tcMar>
              <w:top w:w="350" w:type="dxa"/>
              <w:start w:w="260" w:type="dxa"/>
              <w:bottom w:w="280" w:type="dxa"/>
              <w:end w:w="260" w:type="dxa"/>
            </w:tcMar>
          </w:tcPr>
          <w:p>
            <w:pPr>
              <w:spacing w:after="0"/>
              <w:jc w:val="right"/>
              <w:bidi w:val="1"/>
            </w:pPr>
            <w:r/>
            <w:r>
              <w:rPr>
                <w:rFonts w:ascii="Noto Kufi Arabic" w:hAnsi="Noto Kufi Arabic" w:eastAsia="Noto Kufi Arabic" w:cs="Noto Kufi Arabic"/>
                <w:b/>
                <w:color w:val="941E3D"/>
                <w:sz w:val="52"/>
                <w:rtl w:val="1"/>
              </w:rPr>
              <w:t>التقرير النصف السنوي</w:t>
            </w:r>
          </w:p>
          <w:p>
            <w:pPr>
              <w:spacing w:after="0"/>
              <w:jc w:val="right"/>
              <w:bidi w:val="1"/>
            </w:pPr>
            <w:r>
              <w:rPr>
                <w:rFonts w:ascii="Noto Kufi Arabic" w:hAnsi="Noto Kufi Arabic" w:eastAsia="Noto Kufi Arabic" w:cs="Noto Kufi Arabic"/>
                <w:b/>
                <w:color w:val="14253D"/>
                <w:sz w:val="36"/>
                <w:rtl w:val="1"/>
              </w:rPr>
              <w:t>لجمعية طبيبي الأهلية</w:t>
            </w:r>
          </w:p>
          <w:p>
            <w:pPr>
              <w:spacing w:after="0"/>
              <w:jc w:val="right"/>
              <w:bidi w:val="1"/>
            </w:pPr>
            <w:r>
              <w:rPr>
                <w:rFonts w:ascii="Noto Sans Arabic" w:hAnsi="Noto Sans Arabic" w:eastAsia="Noto Sans Arabic" w:cs="Noto Sans Arabic"/>
                <w:b w:val="0"/>
                <w:color w:val="6F7480"/>
                <w:sz w:val="24"/>
                <w:rtl w:val="1"/>
              </w:rPr>
              <w:t>المدينة المنورة</w:t>
            </w:r>
          </w:p>
          <w:p>
            <w:pPr>
              <w:spacing w:before="360" w:after="0"/>
              <w:jc w:val="right"/>
              <w:bidi w:val="1"/>
            </w:pPr>
            <w:r>
              <w:rPr>
                <w:rFonts w:ascii="Noto Kufi Arabic" w:hAnsi="Noto Kufi Arabic" w:eastAsia="Noto Kufi Arabic" w:cs="Noto Kufi Arabic"/>
                <w:b/>
                <w:color w:val="D51B52"/>
                <w:sz w:val="18"/>
                <w:rtl w:val="1"/>
              </w:rPr>
              <w:t>الفترة</w:t>
            </w:r>
          </w:p>
          <w:p>
            <w:pPr>
              <w:spacing w:after="0"/>
              <w:jc w:val="right"/>
              <w:bidi w:val="1"/>
            </w:pPr>
            <w:r>
              <w:rPr>
                <w:rFonts w:ascii="Noto Kufi Arabic" w:hAnsi="Noto Kufi Arabic" w:eastAsia="Noto Kufi Arabic" w:cs="Noto Kufi Arabic"/>
                <w:b/>
                <w:color w:val="243044"/>
                <w:sz w:val="30"/>
                <w:rtl w:val="1"/>
              </w:rPr>
              <w:t>من ١ يناير إلى ٣٠ يونيو ٢٠٢٦م</w:t>
            </w:r>
          </w:p>
          <w:p>
            <w:pPr>
              <w:spacing w:before="560" w:after="0"/>
              <w:jc w:val="right"/>
              <w:bidi w:val="1"/>
            </w:pPr>
            <w:r>
              <w:rPr>
                <w:rFonts w:ascii="Noto Kufi Arabic" w:hAnsi="Noto Kufi Arabic" w:eastAsia="Noto Kufi Arabic" w:cs="Noto Kufi Arabic"/>
                <w:b/>
                <w:color w:val="D51B52"/>
                <w:sz w:val="18"/>
                <w:rtl w:val="1"/>
              </w:rPr>
              <w:t>إعداد</w:t>
            </w:r>
          </w:p>
          <w:p>
            <w:pPr>
              <w:spacing w:after="0"/>
              <w:jc w:val="right"/>
              <w:bidi w:val="1"/>
            </w:pPr>
            <w:r>
              <w:rPr>
                <w:rFonts w:ascii="Noto Kufi Arabic" w:hAnsi="Noto Kufi Arabic" w:eastAsia="Noto Kufi Arabic" w:cs="Noto Kufi Arabic"/>
                <w:b/>
                <w:color w:val="243044"/>
                <w:sz w:val="24"/>
                <w:rtl w:val="1"/>
              </w:rPr>
              <w:t>أ. بيان بن سعد المحمدي</w:t>
            </w:r>
          </w:p>
          <w:p>
            <w:pPr>
              <w:spacing w:after="0"/>
              <w:jc w:val="right"/>
              <w:bidi w:val="1"/>
            </w:pPr>
            <w:r>
              <w:rPr>
                <w:rFonts w:ascii="Noto Sans Arabic" w:hAnsi="Noto Sans Arabic" w:eastAsia="Noto Sans Arabic" w:cs="Noto Sans Arabic"/>
                <w:b w:val="0"/>
                <w:color w:val="6F7480"/>
                <w:sz w:val="20"/>
                <w:rtl w:val="1"/>
              </w:rPr>
              <w:t>المدير التنفيذي</w:t>
            </w:r>
          </w:p>
          <w:p>
            <w:pPr>
              <w:spacing w:before="440" w:after="0"/>
              <w:jc w:val="right"/>
              <w:bidi w:val="1"/>
            </w:pPr>
            <w:r>
              <w:rPr>
                <w:rFonts w:ascii="Noto Sans Arabic" w:hAnsi="Noto Sans Arabic" w:eastAsia="Noto Sans Arabic" w:cs="Noto Sans Arabic"/>
                <w:b w:val="0"/>
                <w:color w:val="6F7480"/>
                <w:sz w:val="18"/>
                <w:rtl w:val="1"/>
              </w:rPr>
              <w:t>نسخة إعادة إخراج وتحرير مؤسسي</w:t>
            </w:r>
          </w:p>
          <w:p>
            <w:pPr>
              <w:spacing w:before="360" w:after="0"/>
              <w:jc w:val="right"/>
              <w:bidi w:val="1"/>
            </w:pPr>
            <w:r>
              <w:drawing>
                <wp:inline xmlns:a="http://schemas.openxmlformats.org/drawingml/2006/main" xmlns:pic="http://schemas.openxmlformats.org/drawingml/2006/picture">
                  <wp:extent cx="792000" cy="620757"/>
                  <wp:docPr id="1" name="Picture 1"/>
                  <wp:cNvGraphicFramePr>
                    <a:graphicFrameLocks noChangeAspect="1"/>
                  </wp:cNvGraphicFramePr>
                  <a:graphic>
                    <a:graphicData uri="http://schemas.openxmlformats.org/drawingml/2006/picture">
                      <pic:pic>
                        <pic:nvPicPr>
                          <pic:cNvPr id="0" name="qr.png"/>
                          <pic:cNvPicPr/>
                        </pic:nvPicPr>
                        <pic:blipFill>
                          <a:blip r:embed="rId11"/>
                          <a:stretch>
                            <a:fillRect/>
                          </a:stretch>
                        </pic:blipFill>
                        <pic:spPr>
                          <a:xfrm>
                            <a:off x="0" y="0"/>
                            <a:ext cx="792000" cy="620757"/>
                          </a:xfrm>
                          <a:prstGeom prst="rect"/>
                        </pic:spPr>
                      </pic:pic>
                    </a:graphicData>
                  </a:graphic>
                </wp:inline>
              </w:drawing>
            </w:r>
          </w:p>
        </w:tc>
        <w:tc>
          <w:tcPr>
            <w:tcW w:type="dxa" w:w="2835"/>
            <w:tcBorders>
              <w:top w:val="nil" w:sz="6" w:color="D9CDD3"/>
              <w:bottom w:val="nil" w:sz="6" w:color="D9CDD3"/>
              <w:start w:val="nil" w:sz="6" w:color="D9CDD3"/>
              <w:end w:val="nil" w:sz="6" w:color="D9CDD3"/>
              <w:insideH w:val="nil" w:sz="6" w:color="D9CDD3"/>
              <w:insideV w:val="nil" w:sz="6" w:color="D9CDD3"/>
            </w:tcBorders>
            <w:tcMar>
              <w:top w:w="350" w:type="dxa"/>
              <w:start w:w="150" w:type="dxa"/>
              <w:bottom w:w="280" w:type="dxa"/>
              <w:end w:w="150" w:type="dxa"/>
            </w:tcMar>
            <w:shd w:fill="941E3D"/>
          </w:tcPr>
          <w:p>
            <w:pPr>
              <w:spacing w:after="0"/>
              <w:jc w:val="center"/>
              <w:bidi w:val="1"/>
            </w:pPr>
            <w:r/>
            <w:r>
              <w:drawing>
                <wp:inline xmlns:a="http://schemas.openxmlformats.org/drawingml/2006/main" xmlns:pic="http://schemas.openxmlformats.org/drawingml/2006/picture">
                  <wp:extent cx="1332000" cy="1287276"/>
                  <wp:docPr id="2" name="Picture 2"/>
                  <wp:cNvGraphicFramePr>
                    <a:graphicFrameLocks noChangeAspect="1"/>
                  </wp:cNvGraphicFramePr>
                  <a:graphic>
                    <a:graphicData uri="http://schemas.openxmlformats.org/drawingml/2006/picture">
                      <pic:pic>
                        <pic:nvPicPr>
                          <pic:cNvPr id="0" name="logo_clean.png"/>
                          <pic:cNvPicPr/>
                        </pic:nvPicPr>
                        <pic:blipFill>
                          <a:blip r:embed="rId12"/>
                          <a:stretch>
                            <a:fillRect/>
                          </a:stretch>
                        </pic:blipFill>
                        <pic:spPr>
                          <a:xfrm>
                            <a:off x="0" y="0"/>
                            <a:ext cx="1332000" cy="1287276"/>
                          </a:xfrm>
                          <a:prstGeom prst="rect"/>
                        </pic:spPr>
                      </pic:pic>
                    </a:graphicData>
                  </a:graphic>
                </wp:inline>
              </w:drawing>
            </w:r>
          </w:p>
          <w:p>
            <w:pPr>
              <w:spacing w:before="560" w:after="0"/>
              <w:jc w:val="center"/>
              <w:bidi w:val="1"/>
            </w:pPr>
            <w:r>
              <w:rPr>
                <w:rFonts w:ascii="Noto Kufi Arabic" w:hAnsi="Noto Kufi Arabic" w:eastAsia="Noto Kufi Arabic" w:cs="Noto Kufi Arabic"/>
                <w:b/>
                <w:color w:val="FFFFFF"/>
                <w:sz w:val="72"/>
                <w:rtl w:val="1"/>
              </w:rPr>
              <w:t>٢٠٢٦</w:t>
            </w:r>
          </w:p>
          <w:p>
            <w:pPr>
              <w:spacing w:after="0"/>
              <w:jc w:val="center"/>
              <w:bidi w:val="1"/>
            </w:pPr>
            <w:r>
              <w:rPr>
                <w:rFonts w:ascii="Noto Kufi Arabic" w:hAnsi="Noto Kufi Arabic" w:eastAsia="Noto Kufi Arabic" w:cs="Noto Kufi Arabic"/>
                <w:b/>
                <w:color w:val="FFFFFF"/>
                <w:sz w:val="28"/>
                <w:rtl w:val="1"/>
              </w:rPr>
              <w:t>نصف سنوي</w:t>
            </w:r>
          </w:p>
          <w:p>
            <w:pPr>
              <w:spacing w:before="1000" w:after="0"/>
              <w:jc w:val="center"/>
              <w:bidi w:val="1"/>
            </w:pPr>
            <w:r>
              <w:rPr>
                <w:rFonts w:ascii="Noto Kufi Arabic" w:hAnsi="Noto Kufi Arabic" w:eastAsia="Noto Kufi Arabic" w:cs="Noto Kufi Arabic"/>
                <w:b w:val="0"/>
                <w:color w:val="FFFFFF"/>
                <w:sz w:val="20"/>
                <w:rtl w:val="1"/>
              </w:rPr>
              <w:t>ثقة • أثر • استدامة</w:t>
            </w:r>
          </w:p>
          <w:p>
            <w:pPr>
              <w:spacing w:before="1200" w:after="0"/>
              <w:jc w:val="center"/>
              <w:bidi w:val="1"/>
            </w:pPr>
            <w:r>
              <w:rPr>
                <w:rFonts w:ascii="Noto Kufi Arabic" w:hAnsi="Noto Kufi Arabic" w:eastAsia="Noto Kufi Arabic" w:cs="Noto Kufi Arabic"/>
                <w:b/>
                <w:color w:val="FFFFFF"/>
                <w:sz w:val="20"/>
                <w:rtl w:val="1"/>
              </w:rPr>
              <w:t>جمعية طبيبي الأهلية</w:t>
            </w:r>
          </w:p>
          <w:p>
            <w:pPr>
              <w:spacing w:after="0"/>
              <w:jc w:val="center"/>
              <w:bidi w:val="1"/>
            </w:pPr>
            <w:r>
              <w:rPr>
                <w:rFonts w:ascii="Noto Sans Arabic" w:hAnsi="Noto Sans Arabic" w:eastAsia="Noto Sans Arabic" w:cs="Noto Sans Arabic"/>
                <w:b w:val="0"/>
                <w:color w:val="EBDDE3"/>
                <w:sz w:val="15"/>
                <w:rtl w:val="1"/>
              </w:rPr>
              <w:t>ترخيص المركز الوطني لتنمية القطاع غير الربحي رقم ١٠٠٠٧٣٠٧٠٠</w:t>
            </w:r>
          </w:p>
        </w:tc>
      </w:tr>
    </w:tbl>
    <w:p>
      <w:pPr>
        <w:sectPr>
          <w:headerReference w:type="default" r:id="rId9"/>
          <w:footerReference w:type="default" r:id="rId10"/>
          <w:pgSz w:w="12240" w:h="15840"/>
          <w:pgMar w:top="680" w:right="822" w:bottom="567" w:left="822" w:header="113" w:footer="113" w:gutter="0"/>
          <w:cols w:space="720"/>
          <w:docGrid w:linePitch="360"/>
        </w:sectPr>
      </w:pPr>
    </w:p>
    <w:tbl>
      <w:tblPr>
        <w:tblW w:type="auto" w:w="0"/>
        <w:jc w:val="center"/>
        <w:tblLook w:firstColumn="1" w:firstRow="1" w:lastColumn="0" w:lastRow="0" w:noHBand="0" w:noVBand="1" w:val="04A0"/>
        <w:bidiVisual w:val="1"/>
      </w:tblPr>
      <w:tblGrid>
        <w:gridCol w:w="10596"/>
      </w:tblGrid>
      <w:tr>
        <w:trPr>
          <w:cantSplit/>
        </w:trPr>
        <w:tc>
          <w:tcPr>
            <w:tcW w:type="dxa" w:w="10035"/>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القيادة الرشيدة</w:t>
            </w:r>
          </w:p>
        </w:tc>
      </w:tr>
    </w:tbl>
    <w:p>
      <w:pPr>
        <w:spacing w:after="200" w:line="293" w:lineRule="auto"/>
        <w:jc w:val="right"/>
        <w:bidi w:val="1"/>
      </w:pPr>
      <w:r>
        <w:rPr>
          <w:rFonts w:ascii="Noto Sans Arabic" w:hAnsi="Noto Sans Arabic" w:eastAsia="Noto Sans Arabic" w:cs="Noto Sans Arabic"/>
          <w:b w:val="0"/>
          <w:color w:val="6F7480"/>
          <w:sz w:val="20"/>
          <w:rtl w:val="1"/>
        </w:rPr>
        <w:t>تقديرًا لدور القيادة الرشيدة في تمكين القطاع غير الربحي وتعزيز أثره التنموي والمجتمعي.</w:t>
      </w:r>
    </w:p>
    <w:tbl>
      <w:tblPr>
        <w:tblW w:type="auto" w:w="0"/>
        <w:jc w:val="center"/>
        <w:tblLook w:firstColumn="1" w:firstRow="1" w:lastColumn="0" w:lastRow="0" w:noHBand="0" w:noVBand="1" w:val="04A0"/>
        <w:bidiVisual w:val="1"/>
      </w:tblPr>
      <w:tblGrid>
        <w:gridCol w:w="3532"/>
        <w:gridCol w:w="3532"/>
        <w:gridCol w:w="3532"/>
      </w:tblGrid>
      <w:tr>
        <w:tc>
          <w:tcPr>
            <w:tcW w:type="dxa" w:w="3288"/>
            <w:tcBorders>
              <w:top w:val="single" w:sz="14" w:color="941E3D"/>
              <w:bottom w:val="single" w:sz="4" w:color="DDD5DA"/>
              <w:start w:val="single" w:sz="4" w:color="DDD5DA"/>
              <w:end w:val="single" w:sz="4" w:color="DDD5DA"/>
              <w:insideH w:val="nil" w:sz="6" w:color="D9CDD3"/>
              <w:insideV w:val="nil" w:sz="6" w:color="D9CDD3"/>
            </w:tcBorders>
            <w:tcMar>
              <w:top w:w="120" w:type="dxa"/>
              <w:start w:w="100" w:type="dxa"/>
              <w:bottom w:w="120" w:type="dxa"/>
              <w:end w:w="100" w:type="dxa"/>
            </w:tcMar>
            <w:shd w:fill="FBFAFB"/>
          </w:tcPr>
          <w:p>
            <w:pPr>
              <w:spacing w:after="0"/>
              <w:jc w:val="center"/>
              <w:bidi w:val="1"/>
            </w:pPr>
            <w:r/>
            <w:r>
              <w:drawing>
                <wp:inline xmlns:a="http://schemas.openxmlformats.org/drawingml/2006/main" xmlns:pic="http://schemas.openxmlformats.org/drawingml/2006/picture">
                  <wp:extent cx="1655999" cy="1783384"/>
                  <wp:docPr id="3" name="Picture 3"/>
                  <wp:cNvGraphicFramePr>
                    <a:graphicFrameLocks noChangeAspect="1"/>
                  </wp:cNvGraphicFramePr>
                  <a:graphic>
                    <a:graphicData uri="http://schemas.openxmlformats.org/drawingml/2006/picture">
                      <pic:pic>
                        <pic:nvPicPr>
                          <pic:cNvPr id="0" name="king.jpg"/>
                          <pic:cNvPicPr/>
                        </pic:nvPicPr>
                        <pic:blipFill>
                          <a:blip r:embed="rId15"/>
                          <a:stretch>
                            <a:fillRect/>
                          </a:stretch>
                        </pic:blipFill>
                        <pic:spPr>
                          <a:xfrm>
                            <a:off x="0" y="0"/>
                            <a:ext cx="1655999" cy="1783384"/>
                          </a:xfrm>
                          <a:prstGeom prst="rect"/>
                        </pic:spPr>
                      </pic:pic>
                    </a:graphicData>
                  </a:graphic>
                </wp:inline>
              </w:drawing>
            </w:r>
          </w:p>
          <w:p>
            <w:pPr>
              <w:spacing w:after="0"/>
              <w:jc w:val="center"/>
              <w:bidi w:val="1"/>
            </w:pPr>
            <w:r>
              <w:rPr>
                <w:rFonts w:ascii="Noto Kufi Arabic" w:hAnsi="Noto Kufi Arabic" w:eastAsia="Noto Kufi Arabic" w:cs="Noto Kufi Arabic"/>
                <w:b w:val="0"/>
                <w:color w:val="941E3D"/>
                <w:sz w:val="17"/>
                <w:rtl w:val="1"/>
              </w:rPr>
              <w:t>خادم الحرمين الشريفين</w:t>
            </w:r>
          </w:p>
          <w:p>
            <w:pPr>
              <w:spacing w:after="0"/>
              <w:jc w:val="center"/>
              <w:bidi w:val="1"/>
            </w:pPr>
            <w:r>
              <w:rPr>
                <w:rFonts w:ascii="Noto Kufi Arabic" w:hAnsi="Noto Kufi Arabic" w:eastAsia="Noto Kufi Arabic" w:cs="Noto Kufi Arabic"/>
                <w:b/>
                <w:color w:val="14253D"/>
                <w:sz w:val="19"/>
                <w:rtl w:val="1"/>
              </w:rPr>
              <w:t>الملك سلمان بن عبدالعزيز آل سعود</w:t>
            </w:r>
          </w:p>
          <w:p>
            <w:pPr>
              <w:spacing w:before="120" w:after="0" w:line="276" w:lineRule="auto"/>
              <w:jc w:val="center"/>
              <w:bidi w:val="1"/>
            </w:pPr>
            <w:r>
              <w:rPr>
                <w:rFonts w:ascii="Noto Sans Arabic" w:hAnsi="Noto Sans Arabic" w:eastAsia="Noto Sans Arabic" w:cs="Noto Sans Arabic"/>
                <w:b w:val="0"/>
                <w:color w:val="243044"/>
                <w:sz w:val="16"/>
                <w:rtl w:val="1"/>
              </w:rPr>
              <w:t>«ما يميز هذه البلاد هو حرص قادتها على الخير والتشجيع عليه، وما نراه من مؤسسات خيرية في مختلف المجالات… إلا جانبًا من الجوانب المشرقة لبلادنا.»</w:t>
            </w:r>
          </w:p>
        </w:tc>
        <w:tc>
          <w:tcPr>
            <w:tcW w:type="dxa" w:w="3288"/>
            <w:tcBorders>
              <w:top w:val="single" w:sz="14" w:color="941E3D"/>
              <w:bottom w:val="single" w:sz="4" w:color="DDD5DA"/>
              <w:start w:val="single" w:sz="4" w:color="DDD5DA"/>
              <w:end w:val="single" w:sz="4" w:color="DDD5DA"/>
              <w:insideH w:val="nil" w:sz="6" w:color="D9CDD3"/>
              <w:insideV w:val="nil" w:sz="6" w:color="D9CDD3"/>
            </w:tcBorders>
            <w:tcMar>
              <w:top w:w="120" w:type="dxa"/>
              <w:start w:w="100" w:type="dxa"/>
              <w:bottom w:w="120" w:type="dxa"/>
              <w:end w:w="100" w:type="dxa"/>
            </w:tcMar>
            <w:shd w:fill="FBFAFB"/>
          </w:tcPr>
          <w:p>
            <w:pPr>
              <w:spacing w:after="0"/>
              <w:jc w:val="center"/>
              <w:bidi w:val="1"/>
            </w:pPr>
            <w:r/>
            <w:r>
              <w:drawing>
                <wp:inline xmlns:a="http://schemas.openxmlformats.org/drawingml/2006/main" xmlns:pic="http://schemas.openxmlformats.org/drawingml/2006/picture">
                  <wp:extent cx="1655999" cy="1780199"/>
                  <wp:docPr id="4" name="Picture 4"/>
                  <wp:cNvGraphicFramePr>
                    <a:graphicFrameLocks noChangeAspect="1"/>
                  </wp:cNvGraphicFramePr>
                  <a:graphic>
                    <a:graphicData uri="http://schemas.openxmlformats.org/drawingml/2006/picture">
                      <pic:pic>
                        <pic:nvPicPr>
                          <pic:cNvPr id="0" name="crown.jpg"/>
                          <pic:cNvPicPr/>
                        </pic:nvPicPr>
                        <pic:blipFill>
                          <a:blip r:embed="rId16"/>
                          <a:stretch>
                            <a:fillRect/>
                          </a:stretch>
                        </pic:blipFill>
                        <pic:spPr>
                          <a:xfrm>
                            <a:off x="0" y="0"/>
                            <a:ext cx="1655999" cy="1780199"/>
                          </a:xfrm>
                          <a:prstGeom prst="rect"/>
                        </pic:spPr>
                      </pic:pic>
                    </a:graphicData>
                  </a:graphic>
                </wp:inline>
              </w:drawing>
            </w:r>
          </w:p>
          <w:p>
            <w:pPr>
              <w:spacing w:after="0"/>
              <w:jc w:val="center"/>
              <w:bidi w:val="1"/>
            </w:pPr>
            <w:r>
              <w:rPr>
                <w:rFonts w:ascii="Noto Kufi Arabic" w:hAnsi="Noto Kufi Arabic" w:eastAsia="Noto Kufi Arabic" w:cs="Noto Kufi Arabic"/>
                <w:b w:val="0"/>
                <w:color w:val="941E3D"/>
                <w:sz w:val="17"/>
                <w:rtl w:val="1"/>
              </w:rPr>
              <w:t>صاحب السمو الملكي</w:t>
            </w:r>
          </w:p>
          <w:p>
            <w:pPr>
              <w:spacing w:after="0"/>
              <w:jc w:val="center"/>
              <w:bidi w:val="1"/>
            </w:pPr>
            <w:r>
              <w:rPr>
                <w:rFonts w:ascii="Noto Kufi Arabic" w:hAnsi="Noto Kufi Arabic" w:eastAsia="Noto Kufi Arabic" w:cs="Noto Kufi Arabic"/>
                <w:b/>
                <w:color w:val="14253D"/>
                <w:sz w:val="19"/>
                <w:rtl w:val="1"/>
              </w:rPr>
              <w:t>الأمير محمد بن سلمان بن عبدالعزيز آل سعود</w:t>
            </w:r>
          </w:p>
          <w:p>
            <w:pPr>
              <w:spacing w:before="120" w:after="0" w:line="276" w:lineRule="auto"/>
              <w:jc w:val="center"/>
              <w:bidi w:val="1"/>
            </w:pPr>
            <w:r>
              <w:rPr>
                <w:rFonts w:ascii="Noto Sans Arabic" w:hAnsi="Noto Sans Arabic" w:eastAsia="Noto Sans Arabic" w:cs="Noto Sans Arabic"/>
                <w:b w:val="0"/>
                <w:color w:val="243044"/>
                <w:sz w:val="16"/>
                <w:rtl w:val="1"/>
              </w:rPr>
              <w:t>«نهدف للوصول إلى قطاع غير ربحي مهم، مبادر وداعم ومؤثر في التعليم والصحة والثقافة والمجالات البحثية، وسنعتمد عليه بشكل رئيسي.»</w:t>
            </w:r>
          </w:p>
        </w:tc>
        <w:tc>
          <w:tcPr>
            <w:tcW w:type="dxa" w:w="3288"/>
            <w:tcBorders>
              <w:top w:val="single" w:sz="14" w:color="941E3D"/>
              <w:bottom w:val="single" w:sz="4" w:color="DDD5DA"/>
              <w:start w:val="single" w:sz="4" w:color="DDD5DA"/>
              <w:end w:val="single" w:sz="4" w:color="DDD5DA"/>
              <w:insideH w:val="nil" w:sz="6" w:color="D9CDD3"/>
              <w:insideV w:val="nil" w:sz="6" w:color="D9CDD3"/>
            </w:tcBorders>
            <w:tcMar>
              <w:top w:w="120" w:type="dxa"/>
              <w:start w:w="100" w:type="dxa"/>
              <w:bottom w:w="120" w:type="dxa"/>
              <w:end w:w="100" w:type="dxa"/>
            </w:tcMar>
            <w:shd w:fill="FBFAFB"/>
          </w:tcPr>
          <w:p>
            <w:pPr>
              <w:spacing w:after="0"/>
              <w:jc w:val="center"/>
              <w:bidi w:val="1"/>
            </w:pPr>
            <w:r/>
            <w:r>
              <w:drawing>
                <wp:inline xmlns:a="http://schemas.openxmlformats.org/drawingml/2006/main" xmlns:pic="http://schemas.openxmlformats.org/drawingml/2006/picture">
                  <wp:extent cx="1655999" cy="1839999"/>
                  <wp:docPr id="5" name="Picture 5"/>
                  <wp:cNvGraphicFramePr>
                    <a:graphicFrameLocks noChangeAspect="1"/>
                  </wp:cNvGraphicFramePr>
                  <a:graphic>
                    <a:graphicData uri="http://schemas.openxmlformats.org/drawingml/2006/picture">
                      <pic:pic>
                        <pic:nvPicPr>
                          <pic:cNvPr id="0" name="emir.jpg"/>
                          <pic:cNvPicPr/>
                        </pic:nvPicPr>
                        <pic:blipFill>
                          <a:blip r:embed="rId17"/>
                          <a:stretch>
                            <a:fillRect/>
                          </a:stretch>
                        </pic:blipFill>
                        <pic:spPr>
                          <a:xfrm>
                            <a:off x="0" y="0"/>
                            <a:ext cx="1655999" cy="1839999"/>
                          </a:xfrm>
                          <a:prstGeom prst="rect"/>
                        </pic:spPr>
                      </pic:pic>
                    </a:graphicData>
                  </a:graphic>
                </wp:inline>
              </w:drawing>
            </w:r>
          </w:p>
          <w:p>
            <w:pPr>
              <w:spacing w:after="0"/>
              <w:jc w:val="center"/>
              <w:bidi w:val="1"/>
            </w:pPr>
            <w:r>
              <w:rPr>
                <w:rFonts w:ascii="Noto Kufi Arabic" w:hAnsi="Noto Kufi Arabic" w:eastAsia="Noto Kufi Arabic" w:cs="Noto Kufi Arabic"/>
                <w:b w:val="0"/>
                <w:color w:val="941E3D"/>
                <w:sz w:val="17"/>
                <w:rtl w:val="1"/>
              </w:rPr>
              <w:t>صاحب السمو الملكي</w:t>
            </w:r>
          </w:p>
          <w:p>
            <w:pPr>
              <w:spacing w:after="0"/>
              <w:jc w:val="center"/>
              <w:bidi w:val="1"/>
            </w:pPr>
            <w:r>
              <w:rPr>
                <w:rFonts w:ascii="Noto Kufi Arabic" w:hAnsi="Noto Kufi Arabic" w:eastAsia="Noto Kufi Arabic" w:cs="Noto Kufi Arabic"/>
                <w:b/>
                <w:color w:val="14253D"/>
                <w:sz w:val="19"/>
                <w:rtl w:val="1"/>
              </w:rPr>
              <w:t>الأمير سلمان بن سلطان بن عبدالعزيز آل سعود</w:t>
              <w:br/>
              <w:t>أمير منطقة المدينة المنورة</w:t>
            </w:r>
          </w:p>
          <w:p>
            <w:pPr>
              <w:spacing w:before="120" w:after="0" w:line="276" w:lineRule="auto"/>
              <w:jc w:val="center"/>
              <w:bidi w:val="1"/>
            </w:pPr>
            <w:r>
              <w:rPr>
                <w:rFonts w:ascii="Noto Sans Arabic" w:hAnsi="Noto Sans Arabic" w:eastAsia="Noto Sans Arabic" w:cs="Noto Sans Arabic"/>
                <w:b w:val="0"/>
                <w:color w:val="243044"/>
                <w:sz w:val="16"/>
                <w:rtl w:val="1"/>
              </w:rPr>
              <w:t>«نسعد بالإنجازات التي حققتها الجمعيات الأهلية على مستوى المنطقة باعتبارها شريكًا استراتيجيًا للقطاعين العام والخاص في تحسين جودة الحياة وتعزيز الاستقرار الاجتماعي والاقتصادي.»</w:t>
            </w:r>
          </w:p>
        </w:tc>
      </w:tr>
    </w:tbl>
    <w:p>
      <w:r>
        <w:br w:type="page"/>
      </w:r>
    </w:p>
    <w:tbl>
      <w:tblPr>
        <w:tblW w:type="auto" w:w="0"/>
        <w:jc w:val="center"/>
        <w:tblLook w:firstColumn="1" w:firstRow="1" w:lastColumn="0" w:lastRow="0" w:noHBand="0" w:noVBand="1" w:val="04A0"/>
        <w:bidiVisual w:val="1"/>
      </w:tblPr>
      <w:tblGrid>
        <w:gridCol w:w="10596"/>
      </w:tblGrid>
      <w:tr>
        <w:trPr>
          <w:cantSplit/>
        </w:trPr>
        <w:tc>
          <w:tcPr>
            <w:tcW w:type="dxa" w:w="10035"/>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كلمة رئيس مجلس الإدارة</w:t>
            </w:r>
          </w:p>
        </w:tc>
      </w:tr>
    </w:tbl>
    <w:tbl>
      <w:tblPr>
        <w:tblW w:type="auto" w:w="0"/>
        <w:jc w:val="center"/>
        <w:tblLook w:firstColumn="1" w:firstRow="1" w:lastColumn="0" w:lastRow="0" w:noHBand="0" w:noVBand="1" w:val="04A0"/>
        <w:bidiVisual w:val="1"/>
      </w:tblPr>
      <w:tblGrid>
        <w:gridCol w:w="5298"/>
        <w:gridCol w:w="5298"/>
      </w:tblGrid>
      <w:tr>
        <w:trPr>
          <w:cantSplit/>
        </w:trPr>
        <w:tc>
          <w:tcPr>
            <w:tcW w:type="dxa" w:w="7200"/>
            <w:tcBorders>
              <w:top w:val="nil" w:sz="6" w:color="D9CDD3"/>
              <w:bottom w:val="nil" w:sz="6" w:color="D9CDD3"/>
              <w:start w:val="nil" w:sz="6" w:color="D9CDD3"/>
              <w:end w:val="nil" w:sz="6" w:color="D9CDD3"/>
              <w:insideH w:val="nil" w:sz="6" w:color="D9CDD3"/>
              <w:insideV w:val="nil" w:sz="6" w:color="D9CDD3"/>
            </w:tcBorders>
            <w:tcMar>
              <w:top w:w="90" w:type="dxa"/>
              <w:start w:w="90" w:type="dxa"/>
              <w:bottom w:w="90" w:type="dxa"/>
              <w:end w:w="90" w:type="dxa"/>
            </w:tcMar>
          </w:tcPr>
          <w:p>
            <w:r/>
          </w:p>
          <w:p>
            <w:pPr>
              <w:spacing w:after="140" w:line="307" w:lineRule="auto"/>
              <w:jc w:val="right"/>
              <w:bidi w:val="1"/>
            </w:pPr>
            <w:r>
              <w:rPr>
                <w:rFonts w:ascii="Noto Sans Arabic" w:hAnsi="Noto Sans Arabic" w:eastAsia="Noto Sans Arabic" w:cs="Noto Sans Arabic"/>
                <w:b w:val="0"/>
                <w:color w:val="243044"/>
                <w:sz w:val="19"/>
                <w:rtl w:val="1"/>
              </w:rPr>
              <w:t>الحمد لله رب العالمين، والصلاة والسلام على نبينا محمد وعلى آله وصحبه أجمعين.</w:t>
            </w:r>
          </w:p>
          <w:p>
            <w:pPr>
              <w:spacing w:after="140" w:line="307" w:lineRule="auto"/>
              <w:jc w:val="right"/>
              <w:bidi w:val="1"/>
            </w:pPr>
            <w:r>
              <w:rPr>
                <w:rFonts w:ascii="Noto Sans Arabic" w:hAnsi="Noto Sans Arabic" w:eastAsia="Noto Sans Arabic" w:cs="Noto Sans Arabic"/>
                <w:b w:val="0"/>
                <w:color w:val="243044"/>
                <w:sz w:val="19"/>
                <w:rtl w:val="1"/>
              </w:rPr>
              <w:t>يسرني أن أضع بين أيديكم التقرير النصف السنوي لجمعية طبيبي الأهلية، والذي يعكس ما تحقق خلال النصف الأول من عام ٢٠٢٦م من نمو مالي وتشغيلي، وتطور في البنية المؤسسية والحوكمة، وتوسع في الخدمات المقدمة للمستفيدين.</w:t>
            </w:r>
          </w:p>
          <w:p>
            <w:pPr>
              <w:spacing w:after="140" w:line="307" w:lineRule="auto"/>
              <w:jc w:val="right"/>
              <w:bidi w:val="1"/>
            </w:pPr>
            <w:r>
              <w:rPr>
                <w:rFonts w:ascii="Noto Sans Arabic" w:hAnsi="Noto Sans Arabic" w:eastAsia="Noto Sans Arabic" w:cs="Noto Sans Arabic"/>
                <w:b w:val="0"/>
                <w:color w:val="243044"/>
                <w:sz w:val="19"/>
                <w:rtl w:val="1"/>
              </w:rPr>
              <w:t>وما تحقق من إنجازات - بعد توفيق الله - هو ثمرة تكامل جهود مجلس الإدارة والجمعية العمومية والإدارة التنفيذية والعاملين والمتطوعين، ودعم الشركاء والمانحين الذين نعتز بثقتهم وإسهامهم في رسالة الجمعية.</w:t>
            </w:r>
          </w:p>
          <w:p>
            <w:pPr>
              <w:spacing w:after="140" w:line="307" w:lineRule="auto"/>
              <w:jc w:val="right"/>
              <w:bidi w:val="1"/>
            </w:pPr>
            <w:r>
              <w:rPr>
                <w:rFonts w:ascii="Noto Sans Arabic" w:hAnsi="Noto Sans Arabic" w:eastAsia="Noto Sans Arabic" w:cs="Noto Sans Arabic"/>
                <w:b w:val="0"/>
                <w:color w:val="243044"/>
                <w:sz w:val="19"/>
                <w:rtl w:val="1"/>
              </w:rPr>
              <w:t>وننظر إلى هذا التقرير بوصفه أداة للتقييم والتطوير، لا مجرد عرض للمنجزات؛ بما يساعد على تحديد أولويات المرحلة القادمة وتعزيز الاستدامة ورفع الأثر الصحي والاجتماعي للجمعية.</w:t>
            </w:r>
          </w:p>
          <w:p>
            <w:pPr>
              <w:spacing w:after="140" w:line="307" w:lineRule="auto"/>
              <w:jc w:val="right"/>
              <w:bidi w:val="1"/>
            </w:pPr>
            <w:r>
              <w:rPr>
                <w:rFonts w:ascii="Noto Sans Arabic" w:hAnsi="Noto Sans Arabic" w:eastAsia="Noto Sans Arabic" w:cs="Noto Sans Arabic"/>
                <w:b w:val="0"/>
                <w:color w:val="243044"/>
                <w:sz w:val="19"/>
                <w:rtl w:val="1"/>
              </w:rPr>
              <w:t>وفي الختام، أتقدم بالشكر والتقدير لكل من أسهم في هذه المسيرة، سائلين الله أن يبارك في الجهود ويوفقنا لخدمة المجتمع وتحقيق رسالة جمعية طبيبي الأهلية.</w:t>
            </w:r>
          </w:p>
        </w:tc>
        <w:tc>
          <w:tcPr>
            <w:tcW w:type="dxa" w:w="2721"/>
            <w:tcBorders>
              <w:top w:val="single" w:sz="14" w:color="941E3D"/>
              <w:bottom w:val="single" w:sz="4" w:color="DDD5DA"/>
              <w:start w:val="single" w:sz="4" w:color="DDD5DA"/>
              <w:end w:val="single" w:sz="4" w:color="DDD5DA"/>
              <w:insideH w:val="nil" w:sz="6" w:color="D9CDD3"/>
              <w:insideV w:val="nil" w:sz="6" w:color="D9CDD3"/>
            </w:tcBorders>
            <w:tcMar>
              <w:top w:w="90" w:type="dxa"/>
              <w:start w:w="90" w:type="dxa"/>
              <w:bottom w:w="90" w:type="dxa"/>
              <w:end w:w="90" w:type="dxa"/>
            </w:tcMar>
            <w:shd w:fill="F7F4F6"/>
          </w:tcPr>
          <w:p>
            <w:pPr>
              <w:spacing w:after="0"/>
              <w:jc w:val="center"/>
              <w:bidi w:val="1"/>
            </w:pPr>
            <w:r/>
            <w:r>
              <w:drawing>
                <wp:inline xmlns:a="http://schemas.openxmlformats.org/drawingml/2006/main" xmlns:pic="http://schemas.openxmlformats.org/drawingml/2006/picture">
                  <wp:extent cx="1494000" cy="1910930"/>
                  <wp:docPr id="6" name="Picture 6"/>
                  <wp:cNvGraphicFramePr>
                    <a:graphicFrameLocks noChangeAspect="1"/>
                  </wp:cNvGraphicFramePr>
                  <a:graphic>
                    <a:graphicData uri="http://schemas.openxmlformats.org/drawingml/2006/picture">
                      <pic:pic>
                        <pic:nvPicPr>
                          <pic:cNvPr id="0" name="chairman.jpg"/>
                          <pic:cNvPicPr/>
                        </pic:nvPicPr>
                        <pic:blipFill>
                          <a:blip r:embed="rId18"/>
                          <a:stretch>
                            <a:fillRect/>
                          </a:stretch>
                        </pic:blipFill>
                        <pic:spPr>
                          <a:xfrm>
                            <a:off x="0" y="0"/>
                            <a:ext cx="1494000" cy="1910930"/>
                          </a:xfrm>
                          <a:prstGeom prst="rect"/>
                        </pic:spPr>
                      </pic:pic>
                    </a:graphicData>
                  </a:graphic>
                </wp:inline>
              </w:drawing>
            </w:r>
          </w:p>
          <w:p>
            <w:pPr>
              <w:spacing w:after="0"/>
              <w:jc w:val="center"/>
              <w:bidi w:val="1"/>
            </w:pPr>
            <w:r>
              <w:rPr>
                <w:rFonts w:ascii="Noto Kufi Arabic" w:hAnsi="Noto Kufi Arabic" w:eastAsia="Noto Kufi Arabic" w:cs="Noto Kufi Arabic"/>
                <w:b/>
                <w:color w:val="14253D"/>
                <w:sz w:val="21"/>
                <w:rtl w:val="1"/>
              </w:rPr>
              <w:t>أ.د. منصور محمد النزهة</w:t>
            </w:r>
          </w:p>
          <w:p>
            <w:pPr>
              <w:spacing w:after="0"/>
              <w:jc w:val="center"/>
              <w:bidi w:val="1"/>
            </w:pPr>
            <w:r>
              <w:rPr>
                <w:rFonts w:ascii="Noto Kufi Arabic" w:hAnsi="Noto Kufi Arabic" w:eastAsia="Noto Kufi Arabic" w:cs="Noto Kufi Arabic"/>
                <w:b w:val="0"/>
                <w:color w:val="941E3D"/>
                <w:sz w:val="18"/>
                <w:rtl w:val="1"/>
              </w:rPr>
              <w:t>رئيس مجلس الإدارة</w:t>
            </w:r>
          </w:p>
        </w:tc>
      </w:tr>
    </w:tbl>
    <w:p>
      <w:r>
        <w:br w:type="page"/>
      </w:r>
    </w:p>
    <w:tbl>
      <w:tblPr>
        <w:tblW w:type="auto" w:w="0"/>
        <w:jc w:val="center"/>
        <w:tblLook w:firstColumn="1" w:firstRow="1" w:lastColumn="0" w:lastRow="0" w:noHBand="0" w:noVBand="1" w:val="04A0"/>
        <w:bidiVisual w:val="1"/>
      </w:tblPr>
      <w:tblGrid>
        <w:gridCol w:w="10596"/>
      </w:tblGrid>
      <w:tr>
        <w:trPr>
          <w:cantSplit/>
        </w:trPr>
        <w:tc>
          <w:tcPr>
            <w:tcW w:type="dxa" w:w="10035"/>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مجلس الإدارة</w:t>
            </w:r>
          </w:p>
        </w:tc>
      </w:tr>
    </w:tbl>
    <w:p>
      <w:pPr>
        <w:spacing w:after="160" w:line="293" w:lineRule="auto"/>
        <w:jc w:val="right"/>
        <w:bidi w:val="1"/>
      </w:pPr>
      <w:r>
        <w:rPr>
          <w:rFonts w:ascii="Noto Sans Arabic" w:hAnsi="Noto Sans Arabic" w:eastAsia="Noto Sans Arabic" w:cs="Noto Sans Arabic"/>
          <w:b w:val="0"/>
          <w:color w:val="6F7480"/>
          <w:sz w:val="19"/>
          <w:rtl w:val="1"/>
        </w:rPr>
        <w:t>صفحة مخصصة لأعضاء مجلس الإدارة وعددهم ٩ أعضاء. تُضاف الصور والأسماء والصفات لاحقًا مع الحفاظ على القالب نفسه.</w:t>
      </w:r>
    </w:p>
    <w:tbl>
      <w:tblPr>
        <w:tblW w:type="auto" w:w="0"/>
        <w:jc w:val="center"/>
        <w:tblLook w:firstColumn="1" w:firstRow="1" w:lastColumn="0" w:lastRow="0" w:noHBand="0" w:noVBand="1" w:val="04A0"/>
        <w:bidiVisual w:val="1"/>
      </w:tblPr>
      <w:tblGrid>
        <w:gridCol w:w="3532"/>
        <w:gridCol w:w="3532"/>
        <w:gridCol w:w="3532"/>
      </w:tblGrid>
      <w:tr>
        <w:tc>
          <w:tcPr>
            <w:tcW w:type="dxa" w:w="3288"/>
            <w:tcBorders>
              <w:top w:val="single" w:sz="10" w:color="941E3D"/>
              <w:bottom w:val="single" w:sz="4" w:color="E1D9DD"/>
              <w:start w:val="single" w:sz="4" w:color="E1D9DD"/>
              <w:end w:val="single" w:sz="4" w:color="E1D9DD"/>
              <w:insideH w:val="nil" w:sz="6" w:color="D9CDD3"/>
              <w:insideV w:val="nil" w:sz="6" w:color="D9CDD3"/>
            </w:tcBorders>
            <w:tcMar>
              <w:top w:w="65" w:type="dxa"/>
              <w:start w:w="55" w:type="dxa"/>
              <w:bottom w:w="65" w:type="dxa"/>
              <w:end w:w="55" w:type="dxa"/>
            </w:tcMar>
          </w:tcPr>
          <w:p>
            <w:pPr>
              <w:spacing w:after="0"/>
              <w:jc w:val="center"/>
              <w:bidi w:val="1"/>
            </w:pPr>
            <w:r/>
            <w:r>
              <w:drawing>
                <wp:inline xmlns:a="http://schemas.openxmlformats.org/drawingml/2006/main" xmlns:pic="http://schemas.openxmlformats.org/drawingml/2006/picture">
                  <wp:extent cx="1565999" cy="1746691"/>
                  <wp:docPr id="7" name="Picture 7"/>
                  <wp:cNvGraphicFramePr>
                    <a:graphicFrameLocks noChangeAspect="1"/>
                  </wp:cNvGraphicFramePr>
                  <a:graphic>
                    <a:graphicData uri="http://schemas.openxmlformats.org/drawingml/2006/picture">
                      <pic:pic>
                        <pic:nvPicPr>
                          <pic:cNvPr id="0" name="board_placeholder.png"/>
                          <pic:cNvPicPr/>
                        </pic:nvPicPr>
                        <pic:blipFill>
                          <a:blip r:embed="rId19"/>
                          <a:stretch>
                            <a:fillRect/>
                          </a:stretch>
                        </pic:blipFill>
                        <pic:spPr>
                          <a:xfrm>
                            <a:off x="0" y="0"/>
                            <a:ext cx="1565999" cy="1746691"/>
                          </a:xfrm>
                          <a:prstGeom prst="rect"/>
                        </pic:spPr>
                      </pic:pic>
                    </a:graphicData>
                  </a:graphic>
                </wp:inline>
              </w:drawing>
            </w:r>
          </w:p>
          <w:p>
            <w:pPr>
              <w:spacing w:after="0"/>
              <w:jc w:val="center"/>
              <w:bidi w:val="1"/>
            </w:pPr>
            <w:r>
              <w:rPr>
                <w:rFonts w:ascii="Noto Kufi Arabic" w:hAnsi="Noto Kufi Arabic" w:eastAsia="Noto Kufi Arabic" w:cs="Noto Kufi Arabic"/>
                <w:b/>
                <w:color w:val="941E3D"/>
                <w:sz w:val="17"/>
                <w:rtl w:val="1"/>
              </w:rPr>
              <w:t>عضو ١</w:t>
            </w:r>
          </w:p>
        </w:tc>
        <w:tc>
          <w:tcPr>
            <w:tcW w:type="dxa" w:w="3288"/>
            <w:tcBorders>
              <w:top w:val="single" w:sz="10" w:color="941E3D"/>
              <w:bottom w:val="single" w:sz="4" w:color="E1D9DD"/>
              <w:start w:val="single" w:sz="4" w:color="E1D9DD"/>
              <w:end w:val="single" w:sz="4" w:color="E1D9DD"/>
              <w:insideH w:val="nil" w:sz="6" w:color="D9CDD3"/>
              <w:insideV w:val="nil" w:sz="6" w:color="D9CDD3"/>
            </w:tcBorders>
            <w:tcMar>
              <w:top w:w="65" w:type="dxa"/>
              <w:start w:w="55" w:type="dxa"/>
              <w:bottom w:w="65" w:type="dxa"/>
              <w:end w:w="55" w:type="dxa"/>
            </w:tcMar>
          </w:tcPr>
          <w:p>
            <w:pPr>
              <w:spacing w:after="0"/>
              <w:jc w:val="center"/>
              <w:bidi w:val="1"/>
            </w:pPr>
            <w:r/>
            <w:r>
              <w:drawing>
                <wp:inline xmlns:a="http://schemas.openxmlformats.org/drawingml/2006/main" xmlns:pic="http://schemas.openxmlformats.org/drawingml/2006/picture">
                  <wp:extent cx="1565999" cy="1746691"/>
                  <wp:docPr id="8" name="Picture 8"/>
                  <wp:cNvGraphicFramePr>
                    <a:graphicFrameLocks noChangeAspect="1"/>
                  </wp:cNvGraphicFramePr>
                  <a:graphic>
                    <a:graphicData uri="http://schemas.openxmlformats.org/drawingml/2006/picture">
                      <pic:pic>
                        <pic:nvPicPr>
                          <pic:cNvPr id="0" name="board_placeholder.png"/>
                          <pic:cNvPicPr/>
                        </pic:nvPicPr>
                        <pic:blipFill>
                          <a:blip r:embed="rId19"/>
                          <a:stretch>
                            <a:fillRect/>
                          </a:stretch>
                        </pic:blipFill>
                        <pic:spPr>
                          <a:xfrm>
                            <a:off x="0" y="0"/>
                            <a:ext cx="1565999" cy="1746691"/>
                          </a:xfrm>
                          <a:prstGeom prst="rect"/>
                        </pic:spPr>
                      </pic:pic>
                    </a:graphicData>
                  </a:graphic>
                </wp:inline>
              </w:drawing>
            </w:r>
          </w:p>
          <w:p>
            <w:pPr>
              <w:spacing w:after="0"/>
              <w:jc w:val="center"/>
              <w:bidi w:val="1"/>
            </w:pPr>
            <w:r>
              <w:rPr>
                <w:rFonts w:ascii="Noto Kufi Arabic" w:hAnsi="Noto Kufi Arabic" w:eastAsia="Noto Kufi Arabic" w:cs="Noto Kufi Arabic"/>
                <w:b/>
                <w:color w:val="941E3D"/>
                <w:sz w:val="17"/>
                <w:rtl w:val="1"/>
              </w:rPr>
              <w:t>عضو ٢</w:t>
            </w:r>
          </w:p>
        </w:tc>
        <w:tc>
          <w:tcPr>
            <w:tcW w:type="dxa" w:w="3288"/>
            <w:tcBorders>
              <w:top w:val="single" w:sz="10" w:color="941E3D"/>
              <w:bottom w:val="single" w:sz="4" w:color="E1D9DD"/>
              <w:start w:val="single" w:sz="4" w:color="E1D9DD"/>
              <w:end w:val="single" w:sz="4" w:color="E1D9DD"/>
              <w:insideH w:val="nil" w:sz="6" w:color="D9CDD3"/>
              <w:insideV w:val="nil" w:sz="6" w:color="D9CDD3"/>
            </w:tcBorders>
            <w:tcMar>
              <w:top w:w="65" w:type="dxa"/>
              <w:start w:w="55" w:type="dxa"/>
              <w:bottom w:w="65" w:type="dxa"/>
              <w:end w:w="55" w:type="dxa"/>
            </w:tcMar>
          </w:tcPr>
          <w:p>
            <w:pPr>
              <w:spacing w:after="0"/>
              <w:jc w:val="center"/>
              <w:bidi w:val="1"/>
            </w:pPr>
            <w:r/>
            <w:r>
              <w:drawing>
                <wp:inline xmlns:a="http://schemas.openxmlformats.org/drawingml/2006/main" xmlns:pic="http://schemas.openxmlformats.org/drawingml/2006/picture">
                  <wp:extent cx="1565999" cy="1746691"/>
                  <wp:docPr id="9" name="Picture 9"/>
                  <wp:cNvGraphicFramePr>
                    <a:graphicFrameLocks noChangeAspect="1"/>
                  </wp:cNvGraphicFramePr>
                  <a:graphic>
                    <a:graphicData uri="http://schemas.openxmlformats.org/drawingml/2006/picture">
                      <pic:pic>
                        <pic:nvPicPr>
                          <pic:cNvPr id="0" name="board_placeholder.png"/>
                          <pic:cNvPicPr/>
                        </pic:nvPicPr>
                        <pic:blipFill>
                          <a:blip r:embed="rId19"/>
                          <a:stretch>
                            <a:fillRect/>
                          </a:stretch>
                        </pic:blipFill>
                        <pic:spPr>
                          <a:xfrm>
                            <a:off x="0" y="0"/>
                            <a:ext cx="1565999" cy="1746691"/>
                          </a:xfrm>
                          <a:prstGeom prst="rect"/>
                        </pic:spPr>
                      </pic:pic>
                    </a:graphicData>
                  </a:graphic>
                </wp:inline>
              </w:drawing>
            </w:r>
          </w:p>
          <w:p>
            <w:pPr>
              <w:spacing w:after="0"/>
              <w:jc w:val="center"/>
              <w:bidi w:val="1"/>
            </w:pPr>
            <w:r>
              <w:rPr>
                <w:rFonts w:ascii="Noto Kufi Arabic" w:hAnsi="Noto Kufi Arabic" w:eastAsia="Noto Kufi Arabic" w:cs="Noto Kufi Arabic"/>
                <w:b/>
                <w:color w:val="941E3D"/>
                <w:sz w:val="17"/>
                <w:rtl w:val="1"/>
              </w:rPr>
              <w:t>عضو ٣</w:t>
            </w:r>
          </w:p>
        </w:tc>
      </w:tr>
      <w:tr>
        <w:tc>
          <w:tcPr>
            <w:tcW w:type="dxa" w:w="3288"/>
            <w:tcBorders>
              <w:top w:val="single" w:sz="10" w:color="941E3D"/>
              <w:bottom w:val="single" w:sz="4" w:color="E1D9DD"/>
              <w:start w:val="single" w:sz="4" w:color="E1D9DD"/>
              <w:end w:val="single" w:sz="4" w:color="E1D9DD"/>
              <w:insideH w:val="nil" w:sz="6" w:color="D9CDD3"/>
              <w:insideV w:val="nil" w:sz="6" w:color="D9CDD3"/>
            </w:tcBorders>
            <w:tcMar>
              <w:top w:w="65" w:type="dxa"/>
              <w:start w:w="55" w:type="dxa"/>
              <w:bottom w:w="65" w:type="dxa"/>
              <w:end w:w="55" w:type="dxa"/>
            </w:tcMar>
          </w:tcPr>
          <w:p>
            <w:pPr>
              <w:spacing w:after="0"/>
              <w:jc w:val="center"/>
              <w:bidi w:val="1"/>
            </w:pPr>
            <w:r/>
            <w:r>
              <w:drawing>
                <wp:inline xmlns:a="http://schemas.openxmlformats.org/drawingml/2006/main" xmlns:pic="http://schemas.openxmlformats.org/drawingml/2006/picture">
                  <wp:extent cx="1565999" cy="1746691"/>
                  <wp:docPr id="10" name="Picture 10"/>
                  <wp:cNvGraphicFramePr>
                    <a:graphicFrameLocks noChangeAspect="1"/>
                  </wp:cNvGraphicFramePr>
                  <a:graphic>
                    <a:graphicData uri="http://schemas.openxmlformats.org/drawingml/2006/picture">
                      <pic:pic>
                        <pic:nvPicPr>
                          <pic:cNvPr id="0" name="board_placeholder.png"/>
                          <pic:cNvPicPr/>
                        </pic:nvPicPr>
                        <pic:blipFill>
                          <a:blip r:embed="rId19"/>
                          <a:stretch>
                            <a:fillRect/>
                          </a:stretch>
                        </pic:blipFill>
                        <pic:spPr>
                          <a:xfrm>
                            <a:off x="0" y="0"/>
                            <a:ext cx="1565999" cy="1746691"/>
                          </a:xfrm>
                          <a:prstGeom prst="rect"/>
                        </pic:spPr>
                      </pic:pic>
                    </a:graphicData>
                  </a:graphic>
                </wp:inline>
              </w:drawing>
            </w:r>
          </w:p>
          <w:p>
            <w:pPr>
              <w:spacing w:after="0"/>
              <w:jc w:val="center"/>
              <w:bidi w:val="1"/>
            </w:pPr>
            <w:r>
              <w:rPr>
                <w:rFonts w:ascii="Noto Kufi Arabic" w:hAnsi="Noto Kufi Arabic" w:eastAsia="Noto Kufi Arabic" w:cs="Noto Kufi Arabic"/>
                <w:b/>
                <w:color w:val="941E3D"/>
                <w:sz w:val="17"/>
                <w:rtl w:val="1"/>
              </w:rPr>
              <w:t>عضو ٤</w:t>
            </w:r>
          </w:p>
        </w:tc>
        <w:tc>
          <w:tcPr>
            <w:tcW w:type="dxa" w:w="3288"/>
            <w:tcBorders>
              <w:top w:val="single" w:sz="10" w:color="941E3D"/>
              <w:bottom w:val="single" w:sz="4" w:color="E1D9DD"/>
              <w:start w:val="single" w:sz="4" w:color="E1D9DD"/>
              <w:end w:val="single" w:sz="4" w:color="E1D9DD"/>
              <w:insideH w:val="nil" w:sz="6" w:color="D9CDD3"/>
              <w:insideV w:val="nil" w:sz="6" w:color="D9CDD3"/>
            </w:tcBorders>
            <w:tcMar>
              <w:top w:w="65" w:type="dxa"/>
              <w:start w:w="55" w:type="dxa"/>
              <w:bottom w:w="65" w:type="dxa"/>
              <w:end w:w="55" w:type="dxa"/>
            </w:tcMar>
          </w:tcPr>
          <w:p>
            <w:pPr>
              <w:spacing w:after="0"/>
              <w:jc w:val="center"/>
              <w:bidi w:val="1"/>
            </w:pPr>
            <w:r/>
            <w:r>
              <w:drawing>
                <wp:inline xmlns:a="http://schemas.openxmlformats.org/drawingml/2006/main" xmlns:pic="http://schemas.openxmlformats.org/drawingml/2006/picture">
                  <wp:extent cx="1565999" cy="1746691"/>
                  <wp:docPr id="11" name="Picture 11"/>
                  <wp:cNvGraphicFramePr>
                    <a:graphicFrameLocks noChangeAspect="1"/>
                  </wp:cNvGraphicFramePr>
                  <a:graphic>
                    <a:graphicData uri="http://schemas.openxmlformats.org/drawingml/2006/picture">
                      <pic:pic>
                        <pic:nvPicPr>
                          <pic:cNvPr id="0" name="board_placeholder.png"/>
                          <pic:cNvPicPr/>
                        </pic:nvPicPr>
                        <pic:blipFill>
                          <a:blip r:embed="rId19"/>
                          <a:stretch>
                            <a:fillRect/>
                          </a:stretch>
                        </pic:blipFill>
                        <pic:spPr>
                          <a:xfrm>
                            <a:off x="0" y="0"/>
                            <a:ext cx="1565999" cy="1746691"/>
                          </a:xfrm>
                          <a:prstGeom prst="rect"/>
                        </pic:spPr>
                      </pic:pic>
                    </a:graphicData>
                  </a:graphic>
                </wp:inline>
              </w:drawing>
            </w:r>
          </w:p>
          <w:p>
            <w:pPr>
              <w:spacing w:after="0"/>
              <w:jc w:val="center"/>
              <w:bidi w:val="1"/>
            </w:pPr>
            <w:r>
              <w:rPr>
                <w:rFonts w:ascii="Noto Kufi Arabic" w:hAnsi="Noto Kufi Arabic" w:eastAsia="Noto Kufi Arabic" w:cs="Noto Kufi Arabic"/>
                <w:b/>
                <w:color w:val="941E3D"/>
                <w:sz w:val="17"/>
                <w:rtl w:val="1"/>
              </w:rPr>
              <w:t>عضو ٥</w:t>
            </w:r>
          </w:p>
        </w:tc>
        <w:tc>
          <w:tcPr>
            <w:tcW w:type="dxa" w:w="3288"/>
            <w:tcBorders>
              <w:top w:val="single" w:sz="10" w:color="941E3D"/>
              <w:bottom w:val="single" w:sz="4" w:color="E1D9DD"/>
              <w:start w:val="single" w:sz="4" w:color="E1D9DD"/>
              <w:end w:val="single" w:sz="4" w:color="E1D9DD"/>
              <w:insideH w:val="nil" w:sz="6" w:color="D9CDD3"/>
              <w:insideV w:val="nil" w:sz="6" w:color="D9CDD3"/>
            </w:tcBorders>
            <w:tcMar>
              <w:top w:w="65" w:type="dxa"/>
              <w:start w:w="55" w:type="dxa"/>
              <w:bottom w:w="65" w:type="dxa"/>
              <w:end w:w="55" w:type="dxa"/>
            </w:tcMar>
          </w:tcPr>
          <w:p>
            <w:pPr>
              <w:spacing w:after="0"/>
              <w:jc w:val="center"/>
              <w:bidi w:val="1"/>
            </w:pPr>
            <w:r/>
            <w:r>
              <w:drawing>
                <wp:inline xmlns:a="http://schemas.openxmlformats.org/drawingml/2006/main" xmlns:pic="http://schemas.openxmlformats.org/drawingml/2006/picture">
                  <wp:extent cx="1565999" cy="1746691"/>
                  <wp:docPr id="12" name="Picture 12"/>
                  <wp:cNvGraphicFramePr>
                    <a:graphicFrameLocks noChangeAspect="1"/>
                  </wp:cNvGraphicFramePr>
                  <a:graphic>
                    <a:graphicData uri="http://schemas.openxmlformats.org/drawingml/2006/picture">
                      <pic:pic>
                        <pic:nvPicPr>
                          <pic:cNvPr id="0" name="board_placeholder.png"/>
                          <pic:cNvPicPr/>
                        </pic:nvPicPr>
                        <pic:blipFill>
                          <a:blip r:embed="rId19"/>
                          <a:stretch>
                            <a:fillRect/>
                          </a:stretch>
                        </pic:blipFill>
                        <pic:spPr>
                          <a:xfrm>
                            <a:off x="0" y="0"/>
                            <a:ext cx="1565999" cy="1746691"/>
                          </a:xfrm>
                          <a:prstGeom prst="rect"/>
                        </pic:spPr>
                      </pic:pic>
                    </a:graphicData>
                  </a:graphic>
                </wp:inline>
              </w:drawing>
            </w:r>
          </w:p>
          <w:p>
            <w:pPr>
              <w:spacing w:after="0"/>
              <w:jc w:val="center"/>
              <w:bidi w:val="1"/>
            </w:pPr>
            <w:r>
              <w:rPr>
                <w:rFonts w:ascii="Noto Kufi Arabic" w:hAnsi="Noto Kufi Arabic" w:eastAsia="Noto Kufi Arabic" w:cs="Noto Kufi Arabic"/>
                <w:b/>
                <w:color w:val="941E3D"/>
                <w:sz w:val="17"/>
                <w:rtl w:val="1"/>
              </w:rPr>
              <w:t>عضو ٦</w:t>
            </w:r>
          </w:p>
        </w:tc>
      </w:tr>
      <w:tr>
        <w:tc>
          <w:tcPr>
            <w:tcW w:type="dxa" w:w="3288"/>
            <w:tcBorders>
              <w:top w:val="single" w:sz="10" w:color="941E3D"/>
              <w:bottom w:val="single" w:sz="4" w:color="E1D9DD"/>
              <w:start w:val="single" w:sz="4" w:color="E1D9DD"/>
              <w:end w:val="single" w:sz="4" w:color="E1D9DD"/>
              <w:insideH w:val="nil" w:sz="6" w:color="D9CDD3"/>
              <w:insideV w:val="nil" w:sz="6" w:color="D9CDD3"/>
            </w:tcBorders>
            <w:tcMar>
              <w:top w:w="65" w:type="dxa"/>
              <w:start w:w="55" w:type="dxa"/>
              <w:bottom w:w="65" w:type="dxa"/>
              <w:end w:w="55" w:type="dxa"/>
            </w:tcMar>
          </w:tcPr>
          <w:p>
            <w:pPr>
              <w:spacing w:after="0"/>
              <w:jc w:val="center"/>
              <w:bidi w:val="1"/>
            </w:pPr>
            <w:r/>
            <w:r>
              <w:drawing>
                <wp:inline xmlns:a="http://schemas.openxmlformats.org/drawingml/2006/main" xmlns:pic="http://schemas.openxmlformats.org/drawingml/2006/picture">
                  <wp:extent cx="1565999" cy="1746691"/>
                  <wp:docPr id="13" name="Picture 13"/>
                  <wp:cNvGraphicFramePr>
                    <a:graphicFrameLocks noChangeAspect="1"/>
                  </wp:cNvGraphicFramePr>
                  <a:graphic>
                    <a:graphicData uri="http://schemas.openxmlformats.org/drawingml/2006/picture">
                      <pic:pic>
                        <pic:nvPicPr>
                          <pic:cNvPr id="0" name="board_placeholder.png"/>
                          <pic:cNvPicPr/>
                        </pic:nvPicPr>
                        <pic:blipFill>
                          <a:blip r:embed="rId19"/>
                          <a:stretch>
                            <a:fillRect/>
                          </a:stretch>
                        </pic:blipFill>
                        <pic:spPr>
                          <a:xfrm>
                            <a:off x="0" y="0"/>
                            <a:ext cx="1565999" cy="1746691"/>
                          </a:xfrm>
                          <a:prstGeom prst="rect"/>
                        </pic:spPr>
                      </pic:pic>
                    </a:graphicData>
                  </a:graphic>
                </wp:inline>
              </w:drawing>
            </w:r>
          </w:p>
          <w:p>
            <w:pPr>
              <w:spacing w:after="0"/>
              <w:jc w:val="center"/>
              <w:bidi w:val="1"/>
            </w:pPr>
            <w:r>
              <w:rPr>
                <w:rFonts w:ascii="Noto Kufi Arabic" w:hAnsi="Noto Kufi Arabic" w:eastAsia="Noto Kufi Arabic" w:cs="Noto Kufi Arabic"/>
                <w:b/>
                <w:color w:val="941E3D"/>
                <w:sz w:val="17"/>
                <w:rtl w:val="1"/>
              </w:rPr>
              <w:t>عضو ٧</w:t>
            </w:r>
          </w:p>
        </w:tc>
        <w:tc>
          <w:tcPr>
            <w:tcW w:type="dxa" w:w="3288"/>
            <w:tcBorders>
              <w:top w:val="single" w:sz="10" w:color="941E3D"/>
              <w:bottom w:val="single" w:sz="4" w:color="E1D9DD"/>
              <w:start w:val="single" w:sz="4" w:color="E1D9DD"/>
              <w:end w:val="single" w:sz="4" w:color="E1D9DD"/>
              <w:insideH w:val="nil" w:sz="6" w:color="D9CDD3"/>
              <w:insideV w:val="nil" w:sz="6" w:color="D9CDD3"/>
            </w:tcBorders>
            <w:tcMar>
              <w:top w:w="65" w:type="dxa"/>
              <w:start w:w="55" w:type="dxa"/>
              <w:bottom w:w="65" w:type="dxa"/>
              <w:end w:w="55" w:type="dxa"/>
            </w:tcMar>
          </w:tcPr>
          <w:p>
            <w:pPr>
              <w:spacing w:after="0"/>
              <w:jc w:val="center"/>
              <w:bidi w:val="1"/>
            </w:pPr>
            <w:r/>
            <w:r>
              <w:drawing>
                <wp:inline xmlns:a="http://schemas.openxmlformats.org/drawingml/2006/main" xmlns:pic="http://schemas.openxmlformats.org/drawingml/2006/picture">
                  <wp:extent cx="1565999" cy="1746691"/>
                  <wp:docPr id="14" name="Picture 14"/>
                  <wp:cNvGraphicFramePr>
                    <a:graphicFrameLocks noChangeAspect="1"/>
                  </wp:cNvGraphicFramePr>
                  <a:graphic>
                    <a:graphicData uri="http://schemas.openxmlformats.org/drawingml/2006/picture">
                      <pic:pic>
                        <pic:nvPicPr>
                          <pic:cNvPr id="0" name="board_placeholder.png"/>
                          <pic:cNvPicPr/>
                        </pic:nvPicPr>
                        <pic:blipFill>
                          <a:blip r:embed="rId19"/>
                          <a:stretch>
                            <a:fillRect/>
                          </a:stretch>
                        </pic:blipFill>
                        <pic:spPr>
                          <a:xfrm>
                            <a:off x="0" y="0"/>
                            <a:ext cx="1565999" cy="1746691"/>
                          </a:xfrm>
                          <a:prstGeom prst="rect"/>
                        </pic:spPr>
                      </pic:pic>
                    </a:graphicData>
                  </a:graphic>
                </wp:inline>
              </w:drawing>
            </w:r>
          </w:p>
          <w:p>
            <w:pPr>
              <w:spacing w:after="0"/>
              <w:jc w:val="center"/>
              <w:bidi w:val="1"/>
            </w:pPr>
            <w:r>
              <w:rPr>
                <w:rFonts w:ascii="Noto Kufi Arabic" w:hAnsi="Noto Kufi Arabic" w:eastAsia="Noto Kufi Arabic" w:cs="Noto Kufi Arabic"/>
                <w:b/>
                <w:color w:val="941E3D"/>
                <w:sz w:val="17"/>
                <w:rtl w:val="1"/>
              </w:rPr>
              <w:t>عضو ٨</w:t>
            </w:r>
          </w:p>
        </w:tc>
        <w:tc>
          <w:tcPr>
            <w:tcW w:type="dxa" w:w="3288"/>
            <w:tcBorders>
              <w:top w:val="single" w:sz="10" w:color="941E3D"/>
              <w:bottom w:val="single" w:sz="4" w:color="E1D9DD"/>
              <w:start w:val="single" w:sz="4" w:color="E1D9DD"/>
              <w:end w:val="single" w:sz="4" w:color="E1D9DD"/>
              <w:insideH w:val="nil" w:sz="6" w:color="D9CDD3"/>
              <w:insideV w:val="nil" w:sz="6" w:color="D9CDD3"/>
            </w:tcBorders>
            <w:tcMar>
              <w:top w:w="65" w:type="dxa"/>
              <w:start w:w="55" w:type="dxa"/>
              <w:bottom w:w="65" w:type="dxa"/>
              <w:end w:w="55" w:type="dxa"/>
            </w:tcMar>
          </w:tcPr>
          <w:p>
            <w:pPr>
              <w:spacing w:after="0"/>
              <w:jc w:val="center"/>
              <w:bidi w:val="1"/>
            </w:pPr>
            <w:r/>
            <w:r>
              <w:drawing>
                <wp:inline xmlns:a="http://schemas.openxmlformats.org/drawingml/2006/main" xmlns:pic="http://schemas.openxmlformats.org/drawingml/2006/picture">
                  <wp:extent cx="1565999" cy="1746691"/>
                  <wp:docPr id="15" name="Picture 15"/>
                  <wp:cNvGraphicFramePr>
                    <a:graphicFrameLocks noChangeAspect="1"/>
                  </wp:cNvGraphicFramePr>
                  <a:graphic>
                    <a:graphicData uri="http://schemas.openxmlformats.org/drawingml/2006/picture">
                      <pic:pic>
                        <pic:nvPicPr>
                          <pic:cNvPr id="0" name="board_placeholder.png"/>
                          <pic:cNvPicPr/>
                        </pic:nvPicPr>
                        <pic:blipFill>
                          <a:blip r:embed="rId19"/>
                          <a:stretch>
                            <a:fillRect/>
                          </a:stretch>
                        </pic:blipFill>
                        <pic:spPr>
                          <a:xfrm>
                            <a:off x="0" y="0"/>
                            <a:ext cx="1565999" cy="1746691"/>
                          </a:xfrm>
                          <a:prstGeom prst="rect"/>
                        </pic:spPr>
                      </pic:pic>
                    </a:graphicData>
                  </a:graphic>
                </wp:inline>
              </w:drawing>
            </w:r>
          </w:p>
          <w:p>
            <w:pPr>
              <w:spacing w:after="0"/>
              <w:jc w:val="center"/>
              <w:bidi w:val="1"/>
            </w:pPr>
            <w:r>
              <w:rPr>
                <w:rFonts w:ascii="Noto Kufi Arabic" w:hAnsi="Noto Kufi Arabic" w:eastAsia="Noto Kufi Arabic" w:cs="Noto Kufi Arabic"/>
                <w:b/>
                <w:color w:val="941E3D"/>
                <w:sz w:val="17"/>
                <w:rtl w:val="1"/>
              </w:rPr>
              <w:t>عضو ٩</w:t>
            </w:r>
          </w:p>
        </w:tc>
      </w:tr>
    </w:tbl>
    <w:p>
      <w:r>
        <w:br w:type="page"/>
      </w:r>
    </w:p>
    <w:tbl>
      <w:tblPr>
        <w:tblW w:type="auto" w:w="0"/>
        <w:jc w:val="center"/>
        <w:tblLook w:firstColumn="1" w:firstRow="1" w:lastColumn="0" w:lastRow="0" w:noHBand="0" w:noVBand="1" w:val="04A0"/>
        <w:bidiVisual w:val="1"/>
      </w:tblPr>
      <w:tblGrid>
        <w:gridCol w:w="10596"/>
      </w:tblGrid>
      <w:tr>
        <w:trPr>
          <w:cantSplit/>
        </w:trPr>
        <w:tc>
          <w:tcPr>
            <w:tcW w:type="dxa" w:w="10035"/>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محتويات التقرير</w:t>
            </w:r>
          </w:p>
        </w:tc>
      </w:tr>
    </w:tbl>
    <w:tbl>
      <w:tblPr>
        <w:tblW w:type="auto" w:w="0"/>
        <w:jc w:val="center"/>
        <w:tblLook w:firstColumn="1" w:firstRow="1" w:lastColumn="0" w:lastRow="0" w:noHBand="0" w:noVBand="1" w:val="04A0"/>
        <w:bidiVisual w:val="1"/>
      </w:tblPr>
      <w:tblGrid>
        <w:gridCol w:w="5298"/>
        <w:gridCol w:w="5298"/>
      </w:tblGrid>
      <w:tr>
        <w:tc>
          <w:tcPr>
            <w:tcW w:type="dxa" w:w="8391"/>
            <w:tcBorders>
              <w:top w:val="nil" w:sz="6" w:color="D9CDD3"/>
              <w:bottom w:val="single" w:sz="4" w:color="E5DEE1"/>
              <w:start w:val="nil" w:sz="6" w:color="D9CDD3"/>
              <w:end w:val="nil" w:sz="6" w:color="D9CDD3"/>
              <w:insideH w:val="nil" w:sz="6" w:color="D9CDD3"/>
              <w:insideV w:val="nil" w:sz="6" w:color="D9CDD3"/>
            </w:tcBorders>
            <w:tcMar>
              <w:top w:w="110" w:type="dxa"/>
              <w:start w:w="130" w:type="dxa"/>
              <w:bottom w:w="110" w:type="dxa"/>
              <w:end w:w="130" w:type="dxa"/>
            </w:tcMar>
            <w:shd w:fill="FBFAFB"/>
            <w:vAlign w:val="center"/>
          </w:tcPr>
          <w:p>
            <w:pPr>
              <w:spacing w:after="0"/>
              <w:jc w:val="right"/>
              <w:bidi w:val="1"/>
            </w:pPr>
            <w:r/>
            <w:r>
              <w:rPr>
                <w:rFonts w:ascii="Noto Kufi Arabic" w:hAnsi="Noto Kufi Arabic" w:eastAsia="Noto Kufi Arabic" w:cs="Noto Kufi Arabic"/>
                <w:b/>
                <w:color w:val="14253D"/>
                <w:sz w:val="24"/>
                <w:rtl w:val="1"/>
              </w:rPr>
              <w:t>الملخص التنفيذي</w:t>
            </w:r>
          </w:p>
        </w:tc>
        <w:tc>
          <w:tcPr>
            <w:tcW w:type="dxa" w:w="1531"/>
            <w:tcBorders>
              <w:top w:val="nil" w:sz="6" w:color="D9CDD3"/>
              <w:bottom w:val="single" w:sz="4" w:color="E5DEE1"/>
              <w:start w:val="nil" w:sz="6" w:color="D9CDD3"/>
              <w:end w:val="nil" w:sz="6" w:color="D9CDD3"/>
              <w:insideH w:val="nil" w:sz="6" w:color="D9CDD3"/>
              <w:insideV w:val="nil" w:sz="6" w:color="D9CDD3"/>
            </w:tcBorders>
            <w:tcMar>
              <w:top w:w="110" w:type="dxa"/>
              <w:start w:w="130" w:type="dxa"/>
              <w:bottom w:w="110" w:type="dxa"/>
              <w:end w:w="130" w:type="dxa"/>
            </w:tcMar>
            <w:shd w:fill="F1E7EB"/>
            <w:vAlign w:val="center"/>
          </w:tcPr>
          <w:p>
            <w:pPr>
              <w:spacing w:after="0"/>
              <w:jc w:val="center"/>
              <w:bidi w:val="1"/>
            </w:pPr>
            <w:r/>
            <w:r>
              <w:rPr>
                <w:rFonts w:ascii="Noto Kufi Arabic" w:hAnsi="Noto Kufi Arabic" w:eastAsia="Noto Kufi Arabic" w:cs="Noto Kufi Arabic"/>
                <w:b/>
                <w:color w:val="941E3D"/>
                <w:sz w:val="26"/>
                <w:rtl w:val="1"/>
              </w:rPr>
              <w:t>٠١</w:t>
            </w:r>
          </w:p>
        </w:tc>
      </w:tr>
      <w:tr>
        <w:tc>
          <w:tcPr>
            <w:tcW w:type="dxa" w:w="8391"/>
            <w:tcBorders>
              <w:top w:val="nil" w:sz="6" w:color="D9CDD3"/>
              <w:bottom w:val="single" w:sz="4" w:color="E5DEE1"/>
              <w:start w:val="nil" w:sz="6" w:color="D9CDD3"/>
              <w:end w:val="nil" w:sz="6" w:color="D9CDD3"/>
              <w:insideH w:val="nil" w:sz="6" w:color="D9CDD3"/>
              <w:insideV w:val="nil" w:sz="6" w:color="D9CDD3"/>
            </w:tcBorders>
            <w:tcMar>
              <w:top w:w="110" w:type="dxa"/>
              <w:start w:w="130" w:type="dxa"/>
              <w:bottom w:w="110" w:type="dxa"/>
              <w:end w:w="130" w:type="dxa"/>
            </w:tcMar>
            <w:shd w:fill="FBFAFB"/>
            <w:vAlign w:val="center"/>
          </w:tcPr>
          <w:p>
            <w:pPr>
              <w:spacing w:after="0"/>
              <w:jc w:val="right"/>
              <w:bidi w:val="1"/>
            </w:pPr>
            <w:r/>
            <w:r>
              <w:rPr>
                <w:rFonts w:ascii="Noto Kufi Arabic" w:hAnsi="Noto Kufi Arabic" w:eastAsia="Noto Kufi Arabic" w:cs="Noto Kufi Arabic"/>
                <w:b/>
                <w:color w:val="14253D"/>
                <w:sz w:val="24"/>
                <w:rtl w:val="1"/>
              </w:rPr>
              <w:t>الأداء المالي</w:t>
            </w:r>
          </w:p>
        </w:tc>
        <w:tc>
          <w:tcPr>
            <w:tcW w:type="dxa" w:w="1531"/>
            <w:tcBorders>
              <w:top w:val="nil" w:sz="6" w:color="D9CDD3"/>
              <w:bottom w:val="single" w:sz="4" w:color="E5DEE1"/>
              <w:start w:val="nil" w:sz="6" w:color="D9CDD3"/>
              <w:end w:val="nil" w:sz="6" w:color="D9CDD3"/>
              <w:insideH w:val="nil" w:sz="6" w:color="D9CDD3"/>
              <w:insideV w:val="nil" w:sz="6" w:color="D9CDD3"/>
            </w:tcBorders>
            <w:tcMar>
              <w:top w:w="110" w:type="dxa"/>
              <w:start w:w="130" w:type="dxa"/>
              <w:bottom w:w="110" w:type="dxa"/>
              <w:end w:w="130" w:type="dxa"/>
            </w:tcMar>
            <w:shd w:fill="F1E7EB"/>
            <w:vAlign w:val="center"/>
          </w:tcPr>
          <w:p>
            <w:pPr>
              <w:spacing w:after="0"/>
              <w:jc w:val="center"/>
              <w:bidi w:val="1"/>
            </w:pPr>
            <w:r/>
            <w:r>
              <w:rPr>
                <w:rFonts w:ascii="Noto Kufi Arabic" w:hAnsi="Noto Kufi Arabic" w:eastAsia="Noto Kufi Arabic" w:cs="Noto Kufi Arabic"/>
                <w:b/>
                <w:color w:val="941E3D"/>
                <w:sz w:val="26"/>
                <w:rtl w:val="1"/>
              </w:rPr>
              <w:t>٠٢</w:t>
            </w:r>
          </w:p>
        </w:tc>
      </w:tr>
      <w:tr>
        <w:tc>
          <w:tcPr>
            <w:tcW w:type="dxa" w:w="8391"/>
            <w:tcBorders>
              <w:top w:val="nil" w:sz="6" w:color="D9CDD3"/>
              <w:bottom w:val="single" w:sz="4" w:color="E5DEE1"/>
              <w:start w:val="nil" w:sz="6" w:color="D9CDD3"/>
              <w:end w:val="nil" w:sz="6" w:color="D9CDD3"/>
              <w:insideH w:val="nil" w:sz="6" w:color="D9CDD3"/>
              <w:insideV w:val="nil" w:sz="6" w:color="D9CDD3"/>
            </w:tcBorders>
            <w:tcMar>
              <w:top w:w="110" w:type="dxa"/>
              <w:start w:w="130" w:type="dxa"/>
              <w:bottom w:w="110" w:type="dxa"/>
              <w:end w:w="130" w:type="dxa"/>
            </w:tcMar>
            <w:shd w:fill="FBFAFB"/>
            <w:vAlign w:val="center"/>
          </w:tcPr>
          <w:p>
            <w:pPr>
              <w:spacing w:after="0"/>
              <w:jc w:val="right"/>
              <w:bidi w:val="1"/>
            </w:pPr>
            <w:r/>
            <w:r>
              <w:rPr>
                <w:rFonts w:ascii="Noto Kufi Arabic" w:hAnsi="Noto Kufi Arabic" w:eastAsia="Noto Kufi Arabic" w:cs="Noto Kufi Arabic"/>
                <w:b/>
                <w:color w:val="14253D"/>
                <w:sz w:val="24"/>
                <w:rtl w:val="1"/>
              </w:rPr>
              <w:t>البرامج والخدمات الطبية</w:t>
            </w:r>
          </w:p>
        </w:tc>
        <w:tc>
          <w:tcPr>
            <w:tcW w:type="dxa" w:w="1531"/>
            <w:tcBorders>
              <w:top w:val="nil" w:sz="6" w:color="D9CDD3"/>
              <w:bottom w:val="single" w:sz="4" w:color="E5DEE1"/>
              <w:start w:val="nil" w:sz="6" w:color="D9CDD3"/>
              <w:end w:val="nil" w:sz="6" w:color="D9CDD3"/>
              <w:insideH w:val="nil" w:sz="6" w:color="D9CDD3"/>
              <w:insideV w:val="nil" w:sz="6" w:color="D9CDD3"/>
            </w:tcBorders>
            <w:tcMar>
              <w:top w:w="110" w:type="dxa"/>
              <w:start w:w="130" w:type="dxa"/>
              <w:bottom w:w="110" w:type="dxa"/>
              <w:end w:w="130" w:type="dxa"/>
            </w:tcMar>
            <w:shd w:fill="F1E7EB"/>
            <w:vAlign w:val="center"/>
          </w:tcPr>
          <w:p>
            <w:pPr>
              <w:spacing w:after="0"/>
              <w:jc w:val="center"/>
              <w:bidi w:val="1"/>
            </w:pPr>
            <w:r/>
            <w:r>
              <w:rPr>
                <w:rFonts w:ascii="Noto Kufi Arabic" w:hAnsi="Noto Kufi Arabic" w:eastAsia="Noto Kufi Arabic" w:cs="Noto Kufi Arabic"/>
                <w:b/>
                <w:color w:val="941E3D"/>
                <w:sz w:val="26"/>
                <w:rtl w:val="1"/>
              </w:rPr>
              <w:t>٠٣</w:t>
            </w:r>
          </w:p>
        </w:tc>
      </w:tr>
      <w:tr>
        <w:tc>
          <w:tcPr>
            <w:tcW w:type="dxa" w:w="8391"/>
            <w:tcBorders>
              <w:top w:val="nil" w:sz="6" w:color="D9CDD3"/>
              <w:bottom w:val="single" w:sz="4" w:color="E5DEE1"/>
              <w:start w:val="nil" w:sz="6" w:color="D9CDD3"/>
              <w:end w:val="nil" w:sz="6" w:color="D9CDD3"/>
              <w:insideH w:val="nil" w:sz="6" w:color="D9CDD3"/>
              <w:insideV w:val="nil" w:sz="6" w:color="D9CDD3"/>
            </w:tcBorders>
            <w:tcMar>
              <w:top w:w="110" w:type="dxa"/>
              <w:start w:w="130" w:type="dxa"/>
              <w:bottom w:w="110" w:type="dxa"/>
              <w:end w:w="130" w:type="dxa"/>
            </w:tcMar>
            <w:shd w:fill="FBFAFB"/>
            <w:vAlign w:val="center"/>
          </w:tcPr>
          <w:p>
            <w:pPr>
              <w:spacing w:after="0"/>
              <w:jc w:val="right"/>
              <w:bidi w:val="1"/>
            </w:pPr>
            <w:r/>
            <w:r>
              <w:rPr>
                <w:rFonts w:ascii="Noto Kufi Arabic" w:hAnsi="Noto Kufi Arabic" w:eastAsia="Noto Kufi Arabic" w:cs="Noto Kufi Arabic"/>
                <w:b/>
                <w:color w:val="14253D"/>
                <w:sz w:val="24"/>
                <w:rtl w:val="1"/>
              </w:rPr>
              <w:t>الشراكات الصحية</w:t>
            </w:r>
          </w:p>
        </w:tc>
        <w:tc>
          <w:tcPr>
            <w:tcW w:type="dxa" w:w="1531"/>
            <w:tcBorders>
              <w:top w:val="nil" w:sz="6" w:color="D9CDD3"/>
              <w:bottom w:val="single" w:sz="4" w:color="E5DEE1"/>
              <w:start w:val="nil" w:sz="6" w:color="D9CDD3"/>
              <w:end w:val="nil" w:sz="6" w:color="D9CDD3"/>
              <w:insideH w:val="nil" w:sz="6" w:color="D9CDD3"/>
              <w:insideV w:val="nil" w:sz="6" w:color="D9CDD3"/>
            </w:tcBorders>
            <w:tcMar>
              <w:top w:w="110" w:type="dxa"/>
              <w:start w:w="130" w:type="dxa"/>
              <w:bottom w:w="110" w:type="dxa"/>
              <w:end w:w="130" w:type="dxa"/>
            </w:tcMar>
            <w:shd w:fill="F1E7EB"/>
            <w:vAlign w:val="center"/>
          </w:tcPr>
          <w:p>
            <w:pPr>
              <w:spacing w:after="0"/>
              <w:jc w:val="center"/>
              <w:bidi w:val="1"/>
            </w:pPr>
            <w:r/>
            <w:r>
              <w:rPr>
                <w:rFonts w:ascii="Noto Kufi Arabic" w:hAnsi="Noto Kufi Arabic" w:eastAsia="Noto Kufi Arabic" w:cs="Noto Kufi Arabic"/>
                <w:b/>
                <w:color w:val="941E3D"/>
                <w:sz w:val="26"/>
                <w:rtl w:val="1"/>
              </w:rPr>
              <w:t>٠٤</w:t>
            </w:r>
          </w:p>
        </w:tc>
      </w:tr>
      <w:tr>
        <w:tc>
          <w:tcPr>
            <w:tcW w:type="dxa" w:w="8391"/>
            <w:tcBorders>
              <w:top w:val="nil" w:sz="6" w:color="D9CDD3"/>
              <w:bottom w:val="single" w:sz="4" w:color="E5DEE1"/>
              <w:start w:val="nil" w:sz="6" w:color="D9CDD3"/>
              <w:end w:val="nil" w:sz="6" w:color="D9CDD3"/>
              <w:insideH w:val="nil" w:sz="6" w:color="D9CDD3"/>
              <w:insideV w:val="nil" w:sz="6" w:color="D9CDD3"/>
            </w:tcBorders>
            <w:tcMar>
              <w:top w:w="110" w:type="dxa"/>
              <w:start w:w="130" w:type="dxa"/>
              <w:bottom w:w="110" w:type="dxa"/>
              <w:end w:w="130" w:type="dxa"/>
            </w:tcMar>
            <w:shd w:fill="FBFAFB"/>
            <w:vAlign w:val="center"/>
          </w:tcPr>
          <w:p>
            <w:pPr>
              <w:spacing w:after="0"/>
              <w:jc w:val="right"/>
              <w:bidi w:val="1"/>
            </w:pPr>
            <w:r/>
            <w:r>
              <w:rPr>
                <w:rFonts w:ascii="Noto Kufi Arabic" w:hAnsi="Noto Kufi Arabic" w:eastAsia="Noto Kufi Arabic" w:cs="Noto Kufi Arabic"/>
                <w:b/>
                <w:color w:val="14253D"/>
                <w:sz w:val="24"/>
                <w:rtl w:val="1"/>
              </w:rPr>
              <w:t>النمو المؤسسي والموارد البشرية</w:t>
            </w:r>
          </w:p>
        </w:tc>
        <w:tc>
          <w:tcPr>
            <w:tcW w:type="dxa" w:w="1531"/>
            <w:tcBorders>
              <w:top w:val="nil" w:sz="6" w:color="D9CDD3"/>
              <w:bottom w:val="single" w:sz="4" w:color="E5DEE1"/>
              <w:start w:val="nil" w:sz="6" w:color="D9CDD3"/>
              <w:end w:val="nil" w:sz="6" w:color="D9CDD3"/>
              <w:insideH w:val="nil" w:sz="6" w:color="D9CDD3"/>
              <w:insideV w:val="nil" w:sz="6" w:color="D9CDD3"/>
            </w:tcBorders>
            <w:tcMar>
              <w:top w:w="110" w:type="dxa"/>
              <w:start w:w="130" w:type="dxa"/>
              <w:bottom w:w="110" w:type="dxa"/>
              <w:end w:w="130" w:type="dxa"/>
            </w:tcMar>
            <w:shd w:fill="F1E7EB"/>
            <w:vAlign w:val="center"/>
          </w:tcPr>
          <w:p>
            <w:pPr>
              <w:spacing w:after="0"/>
              <w:jc w:val="center"/>
              <w:bidi w:val="1"/>
            </w:pPr>
            <w:r/>
            <w:r>
              <w:rPr>
                <w:rFonts w:ascii="Noto Kufi Arabic" w:hAnsi="Noto Kufi Arabic" w:eastAsia="Noto Kufi Arabic" w:cs="Noto Kufi Arabic"/>
                <w:b/>
                <w:color w:val="941E3D"/>
                <w:sz w:val="26"/>
                <w:rtl w:val="1"/>
              </w:rPr>
              <w:t>٠٥</w:t>
            </w:r>
          </w:p>
        </w:tc>
      </w:tr>
      <w:tr>
        <w:tc>
          <w:tcPr>
            <w:tcW w:type="dxa" w:w="8391"/>
            <w:tcBorders>
              <w:top w:val="nil" w:sz="6" w:color="D9CDD3"/>
              <w:bottom w:val="single" w:sz="4" w:color="E5DEE1"/>
              <w:start w:val="nil" w:sz="6" w:color="D9CDD3"/>
              <w:end w:val="nil" w:sz="6" w:color="D9CDD3"/>
              <w:insideH w:val="nil" w:sz="6" w:color="D9CDD3"/>
              <w:insideV w:val="nil" w:sz="6" w:color="D9CDD3"/>
            </w:tcBorders>
            <w:tcMar>
              <w:top w:w="110" w:type="dxa"/>
              <w:start w:w="130" w:type="dxa"/>
              <w:bottom w:w="110" w:type="dxa"/>
              <w:end w:w="130" w:type="dxa"/>
            </w:tcMar>
            <w:shd w:fill="FBFAFB"/>
            <w:vAlign w:val="center"/>
          </w:tcPr>
          <w:p>
            <w:pPr>
              <w:spacing w:after="0"/>
              <w:jc w:val="right"/>
              <w:bidi w:val="1"/>
            </w:pPr>
            <w:r/>
            <w:r>
              <w:rPr>
                <w:rFonts w:ascii="Noto Kufi Arabic" w:hAnsi="Noto Kufi Arabic" w:eastAsia="Noto Kufi Arabic" w:cs="Noto Kufi Arabic"/>
                <w:b/>
                <w:color w:val="14253D"/>
                <w:sz w:val="24"/>
                <w:rtl w:val="1"/>
              </w:rPr>
              <w:t>الإنجازات الإدارية والمالية</w:t>
            </w:r>
          </w:p>
        </w:tc>
        <w:tc>
          <w:tcPr>
            <w:tcW w:type="dxa" w:w="1531"/>
            <w:tcBorders>
              <w:top w:val="nil" w:sz="6" w:color="D9CDD3"/>
              <w:bottom w:val="single" w:sz="4" w:color="E5DEE1"/>
              <w:start w:val="nil" w:sz="6" w:color="D9CDD3"/>
              <w:end w:val="nil" w:sz="6" w:color="D9CDD3"/>
              <w:insideH w:val="nil" w:sz="6" w:color="D9CDD3"/>
              <w:insideV w:val="nil" w:sz="6" w:color="D9CDD3"/>
            </w:tcBorders>
            <w:tcMar>
              <w:top w:w="110" w:type="dxa"/>
              <w:start w:w="130" w:type="dxa"/>
              <w:bottom w:w="110" w:type="dxa"/>
              <w:end w:w="130" w:type="dxa"/>
            </w:tcMar>
            <w:shd w:fill="F1E7EB"/>
            <w:vAlign w:val="center"/>
          </w:tcPr>
          <w:p>
            <w:pPr>
              <w:spacing w:after="0"/>
              <w:jc w:val="center"/>
              <w:bidi w:val="1"/>
            </w:pPr>
            <w:r/>
            <w:r>
              <w:rPr>
                <w:rFonts w:ascii="Noto Kufi Arabic" w:hAnsi="Noto Kufi Arabic" w:eastAsia="Noto Kufi Arabic" w:cs="Noto Kufi Arabic"/>
                <w:b/>
                <w:color w:val="941E3D"/>
                <w:sz w:val="26"/>
                <w:rtl w:val="1"/>
              </w:rPr>
              <w:t>٠٦</w:t>
            </w:r>
          </w:p>
        </w:tc>
      </w:tr>
      <w:tr>
        <w:tc>
          <w:tcPr>
            <w:tcW w:type="dxa" w:w="8391"/>
            <w:tcBorders>
              <w:top w:val="nil" w:sz="6" w:color="D9CDD3"/>
              <w:bottom w:val="single" w:sz="4" w:color="E5DEE1"/>
              <w:start w:val="nil" w:sz="6" w:color="D9CDD3"/>
              <w:end w:val="nil" w:sz="6" w:color="D9CDD3"/>
              <w:insideH w:val="nil" w:sz="6" w:color="D9CDD3"/>
              <w:insideV w:val="nil" w:sz="6" w:color="D9CDD3"/>
            </w:tcBorders>
            <w:tcMar>
              <w:top w:w="110" w:type="dxa"/>
              <w:start w:w="130" w:type="dxa"/>
              <w:bottom w:w="110" w:type="dxa"/>
              <w:end w:w="130" w:type="dxa"/>
            </w:tcMar>
            <w:shd w:fill="FBFAFB"/>
            <w:vAlign w:val="center"/>
          </w:tcPr>
          <w:p>
            <w:pPr>
              <w:spacing w:after="0"/>
              <w:jc w:val="right"/>
              <w:bidi w:val="1"/>
            </w:pPr>
            <w:r/>
            <w:r>
              <w:rPr>
                <w:rFonts w:ascii="Noto Kufi Arabic" w:hAnsi="Noto Kufi Arabic" w:eastAsia="Noto Kufi Arabic" w:cs="Noto Kufi Arabic"/>
                <w:b/>
                <w:color w:val="14253D"/>
                <w:sz w:val="24"/>
                <w:rtl w:val="1"/>
              </w:rPr>
              <w:t>تنمية الموارد والاستدامة</w:t>
            </w:r>
          </w:p>
        </w:tc>
        <w:tc>
          <w:tcPr>
            <w:tcW w:type="dxa" w:w="1531"/>
            <w:tcBorders>
              <w:top w:val="nil" w:sz="6" w:color="D9CDD3"/>
              <w:bottom w:val="single" w:sz="4" w:color="E5DEE1"/>
              <w:start w:val="nil" w:sz="6" w:color="D9CDD3"/>
              <w:end w:val="nil" w:sz="6" w:color="D9CDD3"/>
              <w:insideH w:val="nil" w:sz="6" w:color="D9CDD3"/>
              <w:insideV w:val="nil" w:sz="6" w:color="D9CDD3"/>
            </w:tcBorders>
            <w:tcMar>
              <w:top w:w="110" w:type="dxa"/>
              <w:start w:w="130" w:type="dxa"/>
              <w:bottom w:w="110" w:type="dxa"/>
              <w:end w:w="130" w:type="dxa"/>
            </w:tcMar>
            <w:shd w:fill="F1E7EB"/>
            <w:vAlign w:val="center"/>
          </w:tcPr>
          <w:p>
            <w:pPr>
              <w:spacing w:after="0"/>
              <w:jc w:val="center"/>
              <w:bidi w:val="1"/>
            </w:pPr>
            <w:r/>
            <w:r>
              <w:rPr>
                <w:rFonts w:ascii="Noto Kufi Arabic" w:hAnsi="Noto Kufi Arabic" w:eastAsia="Noto Kufi Arabic" w:cs="Noto Kufi Arabic"/>
                <w:b/>
                <w:color w:val="941E3D"/>
                <w:sz w:val="26"/>
                <w:rtl w:val="1"/>
              </w:rPr>
              <w:t>٠٧</w:t>
            </w:r>
          </w:p>
        </w:tc>
      </w:tr>
      <w:tr>
        <w:tc>
          <w:tcPr>
            <w:tcW w:type="dxa" w:w="8391"/>
            <w:tcBorders>
              <w:top w:val="nil" w:sz="6" w:color="D9CDD3"/>
              <w:bottom w:val="single" w:sz="4" w:color="E5DEE1"/>
              <w:start w:val="nil" w:sz="6" w:color="D9CDD3"/>
              <w:end w:val="nil" w:sz="6" w:color="D9CDD3"/>
              <w:insideH w:val="nil" w:sz="6" w:color="D9CDD3"/>
              <w:insideV w:val="nil" w:sz="6" w:color="D9CDD3"/>
            </w:tcBorders>
            <w:tcMar>
              <w:top w:w="110" w:type="dxa"/>
              <w:start w:w="130" w:type="dxa"/>
              <w:bottom w:w="110" w:type="dxa"/>
              <w:end w:w="130" w:type="dxa"/>
            </w:tcMar>
            <w:shd w:fill="FBFAFB"/>
            <w:vAlign w:val="center"/>
          </w:tcPr>
          <w:p>
            <w:pPr>
              <w:spacing w:after="0"/>
              <w:jc w:val="right"/>
              <w:bidi w:val="1"/>
            </w:pPr>
            <w:r/>
            <w:r>
              <w:rPr>
                <w:rFonts w:ascii="Noto Kufi Arabic" w:hAnsi="Noto Kufi Arabic" w:eastAsia="Noto Kufi Arabic" w:cs="Noto Kufi Arabic"/>
                <w:b/>
                <w:color w:val="14253D"/>
                <w:sz w:val="24"/>
                <w:rtl w:val="1"/>
              </w:rPr>
              <w:t>التطلعات للنصف الثاني من ٢٠٢٦م</w:t>
            </w:r>
          </w:p>
        </w:tc>
        <w:tc>
          <w:tcPr>
            <w:tcW w:type="dxa" w:w="1531"/>
            <w:tcBorders>
              <w:top w:val="nil" w:sz="6" w:color="D9CDD3"/>
              <w:bottom w:val="single" w:sz="4" w:color="E5DEE1"/>
              <w:start w:val="nil" w:sz="6" w:color="D9CDD3"/>
              <w:end w:val="nil" w:sz="6" w:color="D9CDD3"/>
              <w:insideH w:val="nil" w:sz="6" w:color="D9CDD3"/>
              <w:insideV w:val="nil" w:sz="6" w:color="D9CDD3"/>
            </w:tcBorders>
            <w:tcMar>
              <w:top w:w="110" w:type="dxa"/>
              <w:start w:w="130" w:type="dxa"/>
              <w:bottom w:w="110" w:type="dxa"/>
              <w:end w:w="130" w:type="dxa"/>
            </w:tcMar>
            <w:shd w:fill="F1E7EB"/>
            <w:vAlign w:val="center"/>
          </w:tcPr>
          <w:p>
            <w:pPr>
              <w:spacing w:after="0"/>
              <w:jc w:val="center"/>
              <w:bidi w:val="1"/>
            </w:pPr>
            <w:r/>
            <w:r>
              <w:rPr>
                <w:rFonts w:ascii="Noto Kufi Arabic" w:hAnsi="Noto Kufi Arabic" w:eastAsia="Noto Kufi Arabic" w:cs="Noto Kufi Arabic"/>
                <w:b/>
                <w:color w:val="941E3D"/>
                <w:sz w:val="26"/>
                <w:rtl w:val="1"/>
              </w:rPr>
              <w:t>٠٨</w:t>
            </w:r>
          </w:p>
        </w:tc>
      </w:tr>
      <w:tr>
        <w:tc>
          <w:tcPr>
            <w:tcW w:type="dxa" w:w="8391"/>
            <w:tcBorders>
              <w:top w:val="nil" w:sz="6" w:color="D9CDD3"/>
              <w:bottom w:val="single" w:sz="4" w:color="E5DEE1"/>
              <w:start w:val="nil" w:sz="6" w:color="D9CDD3"/>
              <w:end w:val="nil" w:sz="6" w:color="D9CDD3"/>
              <w:insideH w:val="nil" w:sz="6" w:color="D9CDD3"/>
              <w:insideV w:val="nil" w:sz="6" w:color="D9CDD3"/>
            </w:tcBorders>
            <w:tcMar>
              <w:top w:w="110" w:type="dxa"/>
              <w:start w:w="130" w:type="dxa"/>
              <w:bottom w:w="110" w:type="dxa"/>
              <w:end w:w="130" w:type="dxa"/>
            </w:tcMar>
            <w:shd w:fill="FBFAFB"/>
            <w:vAlign w:val="center"/>
          </w:tcPr>
          <w:p>
            <w:pPr>
              <w:spacing w:after="0"/>
              <w:jc w:val="right"/>
              <w:bidi w:val="1"/>
            </w:pPr>
            <w:r/>
            <w:r>
              <w:rPr>
                <w:rFonts w:ascii="Noto Kufi Arabic" w:hAnsi="Noto Kufi Arabic" w:eastAsia="Noto Kufi Arabic" w:cs="Noto Kufi Arabic"/>
                <w:b/>
                <w:color w:val="14253D"/>
                <w:sz w:val="24"/>
                <w:rtl w:val="1"/>
              </w:rPr>
              <w:t>تجارب المستفيدين</w:t>
            </w:r>
          </w:p>
        </w:tc>
        <w:tc>
          <w:tcPr>
            <w:tcW w:type="dxa" w:w="1531"/>
            <w:tcBorders>
              <w:top w:val="nil" w:sz="6" w:color="D9CDD3"/>
              <w:bottom w:val="single" w:sz="4" w:color="E5DEE1"/>
              <w:start w:val="nil" w:sz="6" w:color="D9CDD3"/>
              <w:end w:val="nil" w:sz="6" w:color="D9CDD3"/>
              <w:insideH w:val="nil" w:sz="6" w:color="D9CDD3"/>
              <w:insideV w:val="nil" w:sz="6" w:color="D9CDD3"/>
            </w:tcBorders>
            <w:tcMar>
              <w:top w:w="110" w:type="dxa"/>
              <w:start w:w="130" w:type="dxa"/>
              <w:bottom w:w="110" w:type="dxa"/>
              <w:end w:w="130" w:type="dxa"/>
            </w:tcMar>
            <w:shd w:fill="F1E7EB"/>
            <w:vAlign w:val="center"/>
          </w:tcPr>
          <w:p>
            <w:pPr>
              <w:spacing w:after="0"/>
              <w:jc w:val="center"/>
              <w:bidi w:val="1"/>
            </w:pPr>
            <w:r/>
            <w:r>
              <w:rPr>
                <w:rFonts w:ascii="Noto Kufi Arabic" w:hAnsi="Noto Kufi Arabic" w:eastAsia="Noto Kufi Arabic" w:cs="Noto Kufi Arabic"/>
                <w:b/>
                <w:color w:val="941E3D"/>
                <w:sz w:val="26"/>
                <w:rtl w:val="1"/>
              </w:rPr>
              <w:t>٠٩</w:t>
            </w:r>
          </w:p>
        </w:tc>
      </w:tr>
      <w:tr>
        <w:tc>
          <w:tcPr>
            <w:tcW w:type="dxa" w:w="8391"/>
            <w:tcBorders>
              <w:top w:val="nil" w:sz="6" w:color="D9CDD3"/>
              <w:bottom w:val="single" w:sz="4" w:color="E5DEE1"/>
              <w:start w:val="nil" w:sz="6" w:color="D9CDD3"/>
              <w:end w:val="nil" w:sz="6" w:color="D9CDD3"/>
              <w:insideH w:val="nil" w:sz="6" w:color="D9CDD3"/>
              <w:insideV w:val="nil" w:sz="6" w:color="D9CDD3"/>
            </w:tcBorders>
            <w:tcMar>
              <w:top w:w="110" w:type="dxa"/>
              <w:start w:w="130" w:type="dxa"/>
              <w:bottom w:w="110" w:type="dxa"/>
              <w:end w:w="130" w:type="dxa"/>
            </w:tcMar>
            <w:shd w:fill="FBFAFB"/>
            <w:vAlign w:val="center"/>
          </w:tcPr>
          <w:p>
            <w:pPr>
              <w:spacing w:after="0"/>
              <w:jc w:val="right"/>
              <w:bidi w:val="1"/>
            </w:pPr>
            <w:r/>
            <w:r>
              <w:rPr>
                <w:rFonts w:ascii="Noto Kufi Arabic" w:hAnsi="Noto Kufi Arabic" w:eastAsia="Noto Kufi Arabic" w:cs="Noto Kufi Arabic"/>
                <w:b/>
                <w:color w:val="14253D"/>
                <w:sz w:val="24"/>
                <w:rtl w:val="1"/>
              </w:rPr>
              <w:t>الجهات الإشرافية وشركاء العطاء</w:t>
            </w:r>
          </w:p>
        </w:tc>
        <w:tc>
          <w:tcPr>
            <w:tcW w:type="dxa" w:w="1531"/>
            <w:tcBorders>
              <w:top w:val="nil" w:sz="6" w:color="D9CDD3"/>
              <w:bottom w:val="single" w:sz="4" w:color="E5DEE1"/>
              <w:start w:val="nil" w:sz="6" w:color="D9CDD3"/>
              <w:end w:val="nil" w:sz="6" w:color="D9CDD3"/>
              <w:insideH w:val="nil" w:sz="6" w:color="D9CDD3"/>
              <w:insideV w:val="nil" w:sz="6" w:color="D9CDD3"/>
            </w:tcBorders>
            <w:tcMar>
              <w:top w:w="110" w:type="dxa"/>
              <w:start w:w="130" w:type="dxa"/>
              <w:bottom w:w="110" w:type="dxa"/>
              <w:end w:w="130" w:type="dxa"/>
            </w:tcMar>
            <w:shd w:fill="F1E7EB"/>
            <w:vAlign w:val="center"/>
          </w:tcPr>
          <w:p>
            <w:pPr>
              <w:spacing w:after="0"/>
              <w:jc w:val="center"/>
              <w:bidi w:val="1"/>
            </w:pPr>
            <w:r/>
            <w:r>
              <w:rPr>
                <w:rFonts w:ascii="Noto Kufi Arabic" w:hAnsi="Noto Kufi Arabic" w:eastAsia="Noto Kufi Arabic" w:cs="Noto Kufi Arabic"/>
                <w:b/>
                <w:color w:val="941E3D"/>
                <w:sz w:val="26"/>
                <w:rtl w:val="1"/>
              </w:rPr>
              <w:t>١٠</w:t>
            </w:r>
          </w:p>
        </w:tc>
      </w:tr>
      <w:tr>
        <w:tc>
          <w:tcPr>
            <w:tcW w:type="dxa" w:w="8391"/>
            <w:tcBorders>
              <w:top w:val="nil" w:sz="6" w:color="D9CDD3"/>
              <w:bottom w:val="single" w:sz="4" w:color="E5DEE1"/>
              <w:start w:val="nil" w:sz="6" w:color="D9CDD3"/>
              <w:end w:val="nil" w:sz="6" w:color="D9CDD3"/>
              <w:insideH w:val="nil" w:sz="6" w:color="D9CDD3"/>
              <w:insideV w:val="nil" w:sz="6" w:color="D9CDD3"/>
            </w:tcBorders>
            <w:tcMar>
              <w:top w:w="110" w:type="dxa"/>
              <w:start w:w="130" w:type="dxa"/>
              <w:bottom w:w="110" w:type="dxa"/>
              <w:end w:w="130" w:type="dxa"/>
            </w:tcMar>
            <w:shd w:fill="FBFAFB"/>
            <w:vAlign w:val="center"/>
          </w:tcPr>
          <w:p>
            <w:pPr>
              <w:spacing w:after="0"/>
              <w:jc w:val="right"/>
              <w:bidi w:val="1"/>
            </w:pPr>
            <w:r/>
            <w:r>
              <w:rPr>
                <w:rFonts w:ascii="Noto Kufi Arabic" w:hAnsi="Noto Kufi Arabic" w:eastAsia="Noto Kufi Arabic" w:cs="Noto Kufi Arabic"/>
                <w:b/>
                <w:color w:val="14253D"/>
                <w:sz w:val="24"/>
                <w:rtl w:val="1"/>
              </w:rPr>
              <w:t>الملاحظات التدقيقية</w:t>
            </w:r>
          </w:p>
        </w:tc>
        <w:tc>
          <w:tcPr>
            <w:tcW w:type="dxa" w:w="1531"/>
            <w:tcBorders>
              <w:top w:val="nil" w:sz="6" w:color="D9CDD3"/>
              <w:bottom w:val="single" w:sz="4" w:color="E5DEE1"/>
              <w:start w:val="nil" w:sz="6" w:color="D9CDD3"/>
              <w:end w:val="nil" w:sz="6" w:color="D9CDD3"/>
              <w:insideH w:val="nil" w:sz="6" w:color="D9CDD3"/>
              <w:insideV w:val="nil" w:sz="6" w:color="D9CDD3"/>
            </w:tcBorders>
            <w:tcMar>
              <w:top w:w="110" w:type="dxa"/>
              <w:start w:w="130" w:type="dxa"/>
              <w:bottom w:w="110" w:type="dxa"/>
              <w:end w:w="130" w:type="dxa"/>
            </w:tcMar>
            <w:shd w:fill="F1E7EB"/>
            <w:vAlign w:val="center"/>
          </w:tcPr>
          <w:p>
            <w:pPr>
              <w:spacing w:after="0"/>
              <w:jc w:val="center"/>
              <w:bidi w:val="1"/>
            </w:pPr>
            <w:r/>
            <w:r>
              <w:rPr>
                <w:rFonts w:ascii="Noto Kufi Arabic" w:hAnsi="Noto Kufi Arabic" w:eastAsia="Noto Kufi Arabic" w:cs="Noto Kufi Arabic"/>
                <w:b/>
                <w:color w:val="941E3D"/>
                <w:sz w:val="26"/>
                <w:rtl w:val="1"/>
              </w:rPr>
              <w:t>١١</w:t>
            </w:r>
          </w:p>
        </w:tc>
      </w:tr>
      <w:tr>
        <w:tc>
          <w:tcPr>
            <w:tcW w:type="dxa" w:w="8391"/>
            <w:tcBorders>
              <w:top w:val="nil" w:sz="6" w:color="D9CDD3"/>
              <w:bottom w:val="single" w:sz="4" w:color="E5DEE1"/>
              <w:start w:val="nil" w:sz="6" w:color="D9CDD3"/>
              <w:end w:val="nil" w:sz="6" w:color="D9CDD3"/>
              <w:insideH w:val="nil" w:sz="6" w:color="D9CDD3"/>
              <w:insideV w:val="nil" w:sz="6" w:color="D9CDD3"/>
            </w:tcBorders>
            <w:tcMar>
              <w:top w:w="110" w:type="dxa"/>
              <w:start w:w="130" w:type="dxa"/>
              <w:bottom w:w="110" w:type="dxa"/>
              <w:end w:w="130" w:type="dxa"/>
            </w:tcMar>
            <w:shd w:fill="FBFAFB"/>
            <w:vAlign w:val="center"/>
          </w:tcPr>
          <w:p>
            <w:pPr>
              <w:spacing w:after="0"/>
              <w:jc w:val="right"/>
              <w:bidi w:val="1"/>
            </w:pPr>
            <w:r/>
            <w:r>
              <w:rPr>
                <w:rFonts w:ascii="Noto Kufi Arabic" w:hAnsi="Noto Kufi Arabic" w:eastAsia="Noto Kufi Arabic" w:cs="Noto Kufi Arabic"/>
                <w:b/>
                <w:color w:val="14253D"/>
                <w:sz w:val="24"/>
                <w:rtl w:val="1"/>
              </w:rPr>
              <w:t>الملاحق التفصيلية</w:t>
            </w:r>
          </w:p>
        </w:tc>
        <w:tc>
          <w:tcPr>
            <w:tcW w:type="dxa" w:w="1531"/>
            <w:tcBorders>
              <w:top w:val="nil" w:sz="6" w:color="D9CDD3"/>
              <w:bottom w:val="single" w:sz="4" w:color="E5DEE1"/>
              <w:start w:val="nil" w:sz="6" w:color="D9CDD3"/>
              <w:end w:val="nil" w:sz="6" w:color="D9CDD3"/>
              <w:insideH w:val="nil" w:sz="6" w:color="D9CDD3"/>
              <w:insideV w:val="nil" w:sz="6" w:color="D9CDD3"/>
            </w:tcBorders>
            <w:tcMar>
              <w:top w:w="110" w:type="dxa"/>
              <w:start w:w="130" w:type="dxa"/>
              <w:bottom w:w="110" w:type="dxa"/>
              <w:end w:w="130" w:type="dxa"/>
            </w:tcMar>
            <w:shd w:fill="F1E7EB"/>
            <w:vAlign w:val="center"/>
          </w:tcPr>
          <w:p>
            <w:pPr>
              <w:spacing w:after="0"/>
              <w:jc w:val="center"/>
              <w:bidi w:val="1"/>
            </w:pPr>
            <w:r/>
            <w:r>
              <w:rPr>
                <w:rFonts w:ascii="Noto Kufi Arabic" w:hAnsi="Noto Kufi Arabic" w:eastAsia="Noto Kufi Arabic" w:cs="Noto Kufi Arabic"/>
                <w:b/>
                <w:color w:val="941E3D"/>
                <w:sz w:val="26"/>
                <w:rtl w:val="1"/>
              </w:rPr>
              <w:t>١٢</w:t>
            </w:r>
          </w:p>
        </w:tc>
      </w:tr>
    </w:tbl>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الملخص التنفيذي</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٠١</w:t>
            </w:r>
          </w:p>
        </w:tc>
      </w:tr>
    </w:tbl>
    <w:p>
      <w:pPr>
        <w:spacing w:after="160" w:line="293" w:lineRule="auto"/>
        <w:jc w:val="right"/>
        <w:bidi w:val="1"/>
      </w:pPr>
      <w:r>
        <w:rPr>
          <w:rFonts w:ascii="Noto Sans Arabic" w:hAnsi="Noto Sans Arabic" w:eastAsia="Noto Sans Arabic" w:cs="Noto Sans Arabic"/>
          <w:b w:val="0"/>
          <w:color w:val="243044"/>
          <w:sz w:val="20"/>
          <w:rtl w:val="1"/>
        </w:rPr>
        <w:t>واصلت جمعية طبيبي الأهلية خلال النصف الأول من عام ٢٠٢٦م تنفيذ برامجها وخدماتها وفق الخطة التشغيلية والميزانية المعتمدة، مع تحسن ملحوظ في الإيرادات والدعم الطبي والبنية المؤسسية مقارنة بالفترة المماثلة من عام ٢٠٢٥م.</w:t>
      </w:r>
    </w:p>
    <w:tbl>
      <w:tblPr>
        <w:tblW w:type="auto" w:w="0"/>
        <w:jc w:val="center"/>
        <w:tblLook w:firstColumn="1" w:firstRow="1" w:lastColumn="0" w:lastRow="0" w:noHBand="0" w:noVBand="1" w:val="04A0"/>
        <w:bidiVisual w:val="1"/>
      </w:tblPr>
      <w:tblGrid>
        <w:gridCol w:w="3532"/>
        <w:gridCol w:w="3532"/>
        <w:gridCol w:w="3532"/>
      </w:tblGrid>
      <w:tr>
        <w:tc>
          <w:tcPr>
            <w:tcW w:type="dxa" w:w="3345"/>
            <w:tcBorders>
              <w:top w:val="single" w:sz="18" w:color="941E3D"/>
              <w:bottom w:val="single" w:sz="4" w:color="E4DCE0"/>
              <w:start w:val="single" w:sz="4" w:color="E4DCE0"/>
              <w:end w:val="single" w:sz="4" w:color="E4DCE0"/>
              <w:insideH w:val="nil" w:sz="6" w:color="D9CDD3"/>
              <w:insideV w:val="nil" w:sz="6" w:color="D9CDD3"/>
            </w:tcBorders>
            <w:tcMar>
              <w:top w:w="120" w:type="dxa"/>
              <w:start w:w="100" w:type="dxa"/>
              <w:bottom w:w="120" w:type="dxa"/>
              <w:end w:w="100" w:type="dxa"/>
            </w:tcMar>
            <w:shd w:fill="F7F4F6"/>
          </w:tcPr>
          <w:p>
            <w:pPr>
              <w:spacing w:after="0"/>
              <w:jc w:val="center"/>
              <w:bidi w:val="1"/>
            </w:pPr>
            <w:r/>
            <w:r>
              <w:rPr>
                <w:rFonts w:ascii="Noto Kufi Arabic" w:hAnsi="Noto Kufi Arabic" w:eastAsia="Noto Kufi Arabic" w:cs="Noto Kufi Arabic"/>
                <w:b/>
                <w:color w:val="941E3D"/>
                <w:sz w:val="34"/>
                <w:rtl w:val="1"/>
              </w:rPr>
              <w:t>٥٨٢٬١٦٧ ريال</w:t>
            </w:r>
          </w:p>
          <w:p>
            <w:pPr>
              <w:spacing w:after="0"/>
              <w:jc w:val="center"/>
              <w:bidi w:val="1"/>
            </w:pPr>
            <w:r>
              <w:rPr>
                <w:rFonts w:ascii="Noto Sans Arabic" w:hAnsi="Noto Sans Arabic" w:eastAsia="Noto Sans Arabic" w:cs="Noto Sans Arabic"/>
                <w:b w:val="0"/>
                <w:color w:val="14253D"/>
                <w:sz w:val="17"/>
                <w:rtl w:val="1"/>
              </w:rPr>
              <w:t>إجمالي الدخل</w:t>
            </w:r>
          </w:p>
        </w:tc>
        <w:tc>
          <w:tcPr>
            <w:tcW w:type="dxa" w:w="3345"/>
            <w:tcBorders>
              <w:top w:val="single" w:sz="18" w:color="941E3D"/>
              <w:bottom w:val="single" w:sz="4" w:color="E4DCE0"/>
              <w:start w:val="single" w:sz="4" w:color="E4DCE0"/>
              <w:end w:val="single" w:sz="4" w:color="E4DCE0"/>
              <w:insideH w:val="nil" w:sz="6" w:color="D9CDD3"/>
              <w:insideV w:val="nil" w:sz="6" w:color="D9CDD3"/>
            </w:tcBorders>
            <w:tcMar>
              <w:top w:w="120" w:type="dxa"/>
              <w:start w:w="100" w:type="dxa"/>
              <w:bottom w:w="120" w:type="dxa"/>
              <w:end w:w="100" w:type="dxa"/>
            </w:tcMar>
            <w:shd w:fill="F7F4F6"/>
          </w:tcPr>
          <w:p>
            <w:pPr>
              <w:spacing w:after="0"/>
              <w:jc w:val="center"/>
              <w:bidi w:val="1"/>
            </w:pPr>
            <w:r/>
            <w:r>
              <w:rPr>
                <w:rFonts w:ascii="Noto Kufi Arabic" w:hAnsi="Noto Kufi Arabic" w:eastAsia="Noto Kufi Arabic" w:cs="Noto Kufi Arabic"/>
                <w:b/>
                <w:color w:val="941E3D"/>
                <w:sz w:val="34"/>
                <w:rtl w:val="1"/>
              </w:rPr>
              <w:t>١٩٢٪</w:t>
            </w:r>
          </w:p>
          <w:p>
            <w:pPr>
              <w:spacing w:after="0"/>
              <w:jc w:val="center"/>
              <w:bidi w:val="1"/>
            </w:pPr>
            <w:r>
              <w:rPr>
                <w:rFonts w:ascii="Noto Sans Arabic" w:hAnsi="Noto Sans Arabic" w:eastAsia="Noto Sans Arabic" w:cs="Noto Sans Arabic"/>
                <w:b w:val="0"/>
                <w:color w:val="14253D"/>
                <w:sz w:val="17"/>
                <w:rtl w:val="1"/>
              </w:rPr>
              <w:t>نمو إجمالي الدخل</w:t>
            </w:r>
          </w:p>
        </w:tc>
        <w:tc>
          <w:tcPr>
            <w:tcW w:type="dxa" w:w="3345"/>
            <w:tcBorders>
              <w:top w:val="single" w:sz="18" w:color="941E3D"/>
              <w:bottom w:val="single" w:sz="4" w:color="E4DCE0"/>
              <w:start w:val="single" w:sz="4" w:color="E4DCE0"/>
              <w:end w:val="single" w:sz="4" w:color="E4DCE0"/>
              <w:insideH w:val="nil" w:sz="6" w:color="D9CDD3"/>
              <w:insideV w:val="nil" w:sz="6" w:color="D9CDD3"/>
            </w:tcBorders>
            <w:tcMar>
              <w:top w:w="120" w:type="dxa"/>
              <w:start w:w="100" w:type="dxa"/>
              <w:bottom w:w="120" w:type="dxa"/>
              <w:end w:w="100" w:type="dxa"/>
            </w:tcMar>
            <w:shd w:fill="F7F4F6"/>
          </w:tcPr>
          <w:p>
            <w:pPr>
              <w:spacing w:after="0"/>
              <w:jc w:val="center"/>
              <w:bidi w:val="1"/>
            </w:pPr>
            <w:r/>
            <w:r>
              <w:rPr>
                <w:rFonts w:ascii="Noto Kufi Arabic" w:hAnsi="Noto Kufi Arabic" w:eastAsia="Noto Kufi Arabic" w:cs="Noto Kufi Arabic"/>
                <w:b/>
                <w:color w:val="941E3D"/>
                <w:sz w:val="34"/>
                <w:rtl w:val="1"/>
              </w:rPr>
              <w:t>٢٠٨٬٦٠٥ ريال</w:t>
            </w:r>
          </w:p>
          <w:p>
            <w:pPr>
              <w:spacing w:after="0"/>
              <w:jc w:val="center"/>
              <w:bidi w:val="1"/>
            </w:pPr>
            <w:r>
              <w:rPr>
                <w:rFonts w:ascii="Noto Sans Arabic" w:hAnsi="Noto Sans Arabic" w:eastAsia="Noto Sans Arabic" w:cs="Noto Sans Arabic"/>
                <w:b w:val="0"/>
                <w:color w:val="14253D"/>
                <w:sz w:val="17"/>
                <w:rtl w:val="1"/>
              </w:rPr>
              <w:t>المساعدات الطبية</w:t>
            </w:r>
          </w:p>
        </w:tc>
      </w:tr>
      <w:tr>
        <w:tc>
          <w:tcPr>
            <w:tcW w:type="dxa" w:w="3345"/>
            <w:tcBorders>
              <w:top w:val="single" w:sz="18" w:color="941E3D"/>
              <w:bottom w:val="single" w:sz="4" w:color="E4DCE0"/>
              <w:start w:val="single" w:sz="4" w:color="E4DCE0"/>
              <w:end w:val="single" w:sz="4" w:color="E4DCE0"/>
              <w:insideH w:val="nil" w:sz="6" w:color="D9CDD3"/>
              <w:insideV w:val="nil" w:sz="6" w:color="D9CDD3"/>
            </w:tcBorders>
            <w:tcMar>
              <w:top w:w="120" w:type="dxa"/>
              <w:start w:w="100" w:type="dxa"/>
              <w:bottom w:w="120" w:type="dxa"/>
              <w:end w:w="100" w:type="dxa"/>
            </w:tcMar>
            <w:shd w:fill="F7F4F6"/>
          </w:tcPr>
          <w:p>
            <w:pPr>
              <w:spacing w:after="0"/>
              <w:jc w:val="center"/>
              <w:bidi w:val="1"/>
            </w:pPr>
            <w:r/>
            <w:r>
              <w:rPr>
                <w:rFonts w:ascii="Noto Kufi Arabic" w:hAnsi="Noto Kufi Arabic" w:eastAsia="Noto Kufi Arabic" w:cs="Noto Kufi Arabic"/>
                <w:b/>
                <w:color w:val="941E3D"/>
                <w:sz w:val="34"/>
                <w:rtl w:val="1"/>
              </w:rPr>
              <w:t>١٬٠٠١٬٧٥٤ ريال</w:t>
            </w:r>
          </w:p>
          <w:p>
            <w:pPr>
              <w:spacing w:after="0"/>
              <w:jc w:val="center"/>
              <w:bidi w:val="1"/>
            </w:pPr>
            <w:r>
              <w:rPr>
                <w:rFonts w:ascii="Noto Sans Arabic" w:hAnsi="Noto Sans Arabic" w:eastAsia="Noto Sans Arabic" w:cs="Noto Sans Arabic"/>
                <w:b w:val="0"/>
                <w:color w:val="14253D"/>
                <w:sz w:val="17"/>
                <w:rtl w:val="1"/>
              </w:rPr>
              <w:t>الأرصدة المصرفية</w:t>
            </w:r>
          </w:p>
        </w:tc>
        <w:tc>
          <w:tcPr>
            <w:tcW w:type="dxa" w:w="3345"/>
            <w:tcBorders>
              <w:top w:val="single" w:sz="18" w:color="941E3D"/>
              <w:bottom w:val="single" w:sz="4" w:color="E4DCE0"/>
              <w:start w:val="single" w:sz="4" w:color="E4DCE0"/>
              <w:end w:val="single" w:sz="4" w:color="E4DCE0"/>
              <w:insideH w:val="nil" w:sz="6" w:color="D9CDD3"/>
              <w:insideV w:val="nil" w:sz="6" w:color="D9CDD3"/>
            </w:tcBorders>
            <w:tcMar>
              <w:top w:w="120" w:type="dxa"/>
              <w:start w:w="100" w:type="dxa"/>
              <w:bottom w:w="120" w:type="dxa"/>
              <w:end w:w="100" w:type="dxa"/>
            </w:tcMar>
            <w:shd w:fill="F7F4F6"/>
          </w:tcPr>
          <w:p>
            <w:pPr>
              <w:spacing w:after="0"/>
              <w:jc w:val="center"/>
              <w:bidi w:val="1"/>
            </w:pPr>
            <w:r/>
            <w:r>
              <w:rPr>
                <w:rFonts w:ascii="Noto Kufi Arabic" w:hAnsi="Noto Kufi Arabic" w:eastAsia="Noto Kufi Arabic" w:cs="Noto Kufi Arabic"/>
                <w:b/>
                <w:color w:val="941E3D"/>
                <w:sz w:val="34"/>
                <w:rtl w:val="1"/>
              </w:rPr>
              <w:t>٩٧٢٬٧١٣ ريال</w:t>
            </w:r>
          </w:p>
          <w:p>
            <w:pPr>
              <w:spacing w:after="0"/>
              <w:jc w:val="center"/>
              <w:bidi w:val="1"/>
            </w:pPr>
            <w:r>
              <w:rPr>
                <w:rFonts w:ascii="Noto Sans Arabic" w:hAnsi="Noto Sans Arabic" w:eastAsia="Noto Sans Arabic" w:cs="Noto Sans Arabic"/>
                <w:b w:val="0"/>
                <w:color w:val="14253D"/>
                <w:sz w:val="17"/>
                <w:rtl w:val="1"/>
              </w:rPr>
              <w:t>صافي الأصول</w:t>
            </w:r>
          </w:p>
        </w:tc>
        <w:tc>
          <w:tcPr>
            <w:tcW w:type="dxa" w:w="3345"/>
            <w:tcBorders>
              <w:top w:val="single" w:sz="18" w:color="941E3D"/>
              <w:bottom w:val="single" w:sz="4" w:color="E4DCE0"/>
              <w:start w:val="single" w:sz="4" w:color="E4DCE0"/>
              <w:end w:val="single" w:sz="4" w:color="E4DCE0"/>
              <w:insideH w:val="nil" w:sz="6" w:color="D9CDD3"/>
              <w:insideV w:val="nil" w:sz="6" w:color="D9CDD3"/>
            </w:tcBorders>
            <w:tcMar>
              <w:top w:w="120" w:type="dxa"/>
              <w:start w:w="100" w:type="dxa"/>
              <w:bottom w:w="120" w:type="dxa"/>
              <w:end w:w="100" w:type="dxa"/>
            </w:tcMar>
            <w:shd w:fill="F7F4F6"/>
          </w:tcPr>
          <w:p>
            <w:pPr>
              <w:spacing w:after="0"/>
              <w:jc w:val="center"/>
              <w:bidi w:val="1"/>
            </w:pPr>
            <w:r/>
            <w:r>
              <w:rPr>
                <w:rFonts w:ascii="Noto Kufi Arabic" w:hAnsi="Noto Kufi Arabic" w:eastAsia="Noto Kufi Arabic" w:cs="Noto Kufi Arabic"/>
                <w:b/>
                <w:color w:val="941E3D"/>
                <w:sz w:val="34"/>
                <w:rtl w:val="1"/>
              </w:rPr>
              <w:t>٩ جهات</w:t>
            </w:r>
          </w:p>
          <w:p>
            <w:pPr>
              <w:spacing w:after="0"/>
              <w:jc w:val="center"/>
              <w:bidi w:val="1"/>
            </w:pPr>
            <w:r>
              <w:rPr>
                <w:rFonts w:ascii="Noto Sans Arabic" w:hAnsi="Noto Sans Arabic" w:eastAsia="Noto Sans Arabic" w:cs="Noto Sans Arabic"/>
                <w:b w:val="0"/>
                <w:color w:val="14253D"/>
                <w:sz w:val="17"/>
                <w:rtl w:val="1"/>
              </w:rPr>
              <w:t>شراكات صحية مفعلة</w:t>
            </w:r>
          </w:p>
        </w:tc>
      </w:tr>
    </w:tbl>
    <w:p>
      <w:pPr>
        <w:spacing w:after="20"/>
      </w:pPr>
    </w:p>
    <w:tbl>
      <w:tblPr>
        <w:tblW w:type="auto" w:w="0"/>
        <w:jc w:val="center"/>
        <w:tblLook w:firstColumn="1" w:firstRow="1" w:lastColumn="0" w:lastRow="0" w:noHBand="0" w:noVBand="1" w:val="04A0"/>
        <w:bidiVisual w:val="1"/>
      </w:tblPr>
      <w:tblGrid>
        <w:gridCol w:w="5298"/>
        <w:gridCol w:w="5298"/>
      </w:tblGrid>
      <w:tr>
        <w:tc>
          <w:tcPr>
            <w:tcW w:type="dxa" w:w="5216"/>
            <w:tcBorders>
              <w:top w:val="nil" w:sz="6" w:color="D9CDD3"/>
              <w:bottom w:val="nil" w:sz="6" w:color="D9CDD3"/>
              <w:start w:val="nil" w:sz="6" w:color="D9CDD3"/>
              <w:end w:val="nil" w:sz="6" w:color="D9CDD3"/>
              <w:insideH w:val="nil" w:sz="6" w:color="D9CDD3"/>
              <w:insideV w:val="nil" w:sz="6" w:color="D9CDD3"/>
            </w:tcBorders>
            <w:tcMar>
              <w:top w:w="90" w:type="dxa"/>
              <w:start w:w="90" w:type="dxa"/>
              <w:bottom w:w="90" w:type="dxa"/>
              <w:end w:w="90" w:type="dxa"/>
            </w:tcMar>
          </w:tcPr>
          <w:p>
            <w:pPr>
              <w:spacing w:after="0"/>
              <w:jc w:val="center"/>
              <w:bidi w:val="1"/>
            </w:pPr>
            <w:r/>
            <w:r>
              <w:drawing>
                <wp:inline xmlns:a="http://schemas.openxmlformats.org/drawingml/2006/main" xmlns:pic="http://schemas.openxmlformats.org/drawingml/2006/picture">
                  <wp:extent cx="3204000" cy="1434171"/>
                  <wp:docPr id="16" name="Picture 16"/>
                  <wp:cNvGraphicFramePr>
                    <a:graphicFrameLocks noChangeAspect="1"/>
                  </wp:cNvGraphicFramePr>
                  <a:graphic>
                    <a:graphicData uri="http://schemas.openxmlformats.org/drawingml/2006/picture">
                      <pic:pic>
                        <pic:nvPicPr>
                          <pic:cNvPr id="0" name="growth.png"/>
                          <pic:cNvPicPr/>
                        </pic:nvPicPr>
                        <pic:blipFill>
                          <a:blip r:embed="rId20"/>
                          <a:stretch>
                            <a:fillRect/>
                          </a:stretch>
                        </pic:blipFill>
                        <pic:spPr>
                          <a:xfrm>
                            <a:off x="0" y="0"/>
                            <a:ext cx="3204000" cy="1434171"/>
                          </a:xfrm>
                          <a:prstGeom prst="rect"/>
                        </pic:spPr>
                      </pic:pic>
                    </a:graphicData>
                  </a:graphic>
                </wp:inline>
              </w:drawing>
            </w:r>
          </w:p>
        </w:tc>
        <w:tc>
          <w:tcPr>
            <w:tcW w:type="dxa" w:w="4592"/>
            <w:tcBorders>
              <w:top w:val="nil" w:sz="6" w:color="D9CDD3"/>
              <w:bottom w:val="nil" w:sz="6" w:color="D9CDD3"/>
              <w:start w:val="nil" w:sz="6" w:color="D9CDD3"/>
              <w:end w:val="nil" w:sz="6" w:color="D9CDD3"/>
              <w:insideH w:val="nil" w:sz="6" w:color="D9CDD3"/>
              <w:insideV w:val="nil" w:sz="6" w:color="D9CDD3"/>
            </w:tcBorders>
            <w:tcMar>
              <w:top w:w="90" w:type="dxa"/>
              <w:start w:w="90" w:type="dxa"/>
              <w:bottom w:w="90" w:type="dxa"/>
              <w:end w:w="90" w:type="dxa"/>
            </w:tcMar>
          </w:tcPr>
          <w:p>
            <w:pPr>
              <w:spacing w:after="0"/>
              <w:jc w:val="center"/>
              <w:bidi w:val="1"/>
            </w:pPr>
            <w:r/>
            <w:r>
              <w:drawing>
                <wp:inline xmlns:a="http://schemas.openxmlformats.org/drawingml/2006/main" xmlns:pic="http://schemas.openxmlformats.org/drawingml/2006/picture">
                  <wp:extent cx="2808000" cy="1692000"/>
                  <wp:docPr id="17" name="Picture 17"/>
                  <wp:cNvGraphicFramePr>
                    <a:graphicFrameLocks noChangeAspect="1"/>
                  </wp:cNvGraphicFramePr>
                  <a:graphic>
                    <a:graphicData uri="http://schemas.openxmlformats.org/drawingml/2006/picture">
                      <pic:pic>
                        <pic:nvPicPr>
                          <pic:cNvPr id="0" name="mix.png"/>
                          <pic:cNvPicPr/>
                        </pic:nvPicPr>
                        <pic:blipFill>
                          <a:blip r:embed="rId21"/>
                          <a:stretch>
                            <a:fillRect/>
                          </a:stretch>
                        </pic:blipFill>
                        <pic:spPr>
                          <a:xfrm>
                            <a:off x="0" y="0"/>
                            <a:ext cx="2808000" cy="1692000"/>
                          </a:xfrm>
                          <a:prstGeom prst="rect"/>
                        </pic:spPr>
                      </pic:pic>
                    </a:graphicData>
                  </a:graphic>
                </wp:inline>
              </w:drawing>
            </w:r>
          </w:p>
        </w:tc>
      </w:tr>
    </w:tbl>
    <w:tbl>
      <w:tblPr>
        <w:tblW w:type="auto" w:w="0"/>
        <w:jc w:val="center"/>
        <w:tblLook w:firstColumn="1" w:firstRow="1" w:lastColumn="0" w:lastRow="0" w:noHBand="0" w:noVBand="1" w:val="04A0"/>
        <w:bidiVisual w:val="1"/>
      </w:tblPr>
      <w:tblGrid>
        <w:gridCol w:w="5298"/>
        <w:gridCol w:w="5298"/>
      </w:tblGrid>
      <w:tr>
        <w:trPr>
          <w:cantSplit/>
        </w:trPr>
        <w:tc>
          <w:tcPr>
            <w:tcW w:type="dxa" w:w="9581"/>
            <w:tcBorders>
              <w:top w:val="nil" w:sz="6" w:color="D9CDD3"/>
              <w:bottom w:val="nil" w:sz="6" w:color="D9CDD3"/>
              <w:start w:val="nil" w:sz="6" w:color="D9CDD3"/>
              <w:end w:val="nil" w:sz="6" w:color="D9CDD3"/>
              <w:insideH w:val="nil" w:sz="6" w:color="D9CDD3"/>
              <w:insideV w:val="nil" w:sz="6" w:color="D9CDD3"/>
            </w:tcBorders>
            <w:tcMar>
              <w:top w:w="120" w:type="dxa"/>
              <w:start w:w="160" w:type="dxa"/>
              <w:bottom w:w="120" w:type="dxa"/>
              <w:end w:w="160" w:type="dxa"/>
            </w:tcMar>
            <w:shd w:fill="F4EDF0"/>
          </w:tcPr>
          <w:p>
            <w:pPr>
              <w:spacing w:after="0"/>
              <w:jc w:val="right"/>
              <w:bidi w:val="1"/>
            </w:pPr>
            <w:r/>
            <w:r>
              <w:rPr>
                <w:rFonts w:ascii="Noto Kufi Arabic" w:hAnsi="Noto Kufi Arabic" w:eastAsia="Noto Kufi Arabic" w:cs="Noto Kufi Arabic"/>
                <w:b/>
                <w:color w:val="941E3D"/>
                <w:sz w:val="19"/>
                <w:rtl w:val="1"/>
              </w:rPr>
              <w:t>قراءة تنفيذية</w:t>
            </w:r>
          </w:p>
          <w:p>
            <w:pPr>
              <w:spacing w:after="0"/>
              <w:jc w:val="right"/>
              <w:bidi w:val="1"/>
            </w:pPr>
            <w:r>
              <w:rPr>
                <w:rFonts w:ascii="Noto Sans Arabic" w:hAnsi="Noto Sans Arabic" w:eastAsia="Noto Sans Arabic" w:cs="Noto Sans Arabic"/>
                <w:b w:val="0"/>
                <w:color w:val="243044"/>
                <w:sz w:val="19"/>
                <w:rtl w:val="1"/>
              </w:rPr>
              <w:t>الزيادة في الدخل والدعم الطبي قوية، لكن الاستدامة تتطلب تحويل هذا النمو إلى مصادر تمويل متكررة، ورفع جاهزية الحوكمة، وتحسين كفاءة تحويل طلبات الدعم إلى حالات مقبولة.</w:t>
            </w:r>
          </w:p>
        </w:tc>
        <w:tc>
          <w:tcPr>
            <w:tcW w:type="dxa" w:w="255"/>
            <w:tcBorders>
              <w:top w:val="nil" w:sz="6" w:color="D9CDD3"/>
              <w:bottom w:val="nil" w:sz="6" w:color="D9CDD3"/>
              <w:start w:val="nil" w:sz="6" w:color="D9CDD3"/>
              <w:end w:val="nil" w:sz="6" w:color="D9CDD3"/>
              <w:insideH w:val="nil" w:sz="6" w:color="D9CDD3"/>
              <w:insideV w:val="nil" w:sz="6" w:color="D9CDD3"/>
            </w:tcBorders>
            <w:tcMar>
              <w:top w:w="90" w:type="dxa"/>
              <w:start w:w="90" w:type="dxa"/>
              <w:bottom w:w="90" w:type="dxa"/>
              <w:end w:w="90" w:type="dxa"/>
            </w:tcMar>
            <w:shd w:fill="941E3D"/>
          </w:tcPr>
          <w:p>
            <w:r/>
          </w:p>
        </w:tc>
      </w:tr>
    </w:tbl>
    <w:p>
      <w:pPr>
        <w:spacing w:after="40"/>
      </w:pPr>
    </w:p>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الأداء المالي</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٠٢</w:t>
            </w:r>
          </w:p>
        </w:tc>
      </w:tr>
    </w:tbl>
    <w:p>
      <w:pPr>
        <w:spacing w:after="200" w:line="293" w:lineRule="auto"/>
        <w:jc w:val="right"/>
        <w:bidi w:val="1"/>
      </w:pPr>
      <w:r>
        <w:rPr>
          <w:rFonts w:ascii="Noto Sans Arabic" w:hAnsi="Noto Sans Arabic" w:eastAsia="Noto Sans Arabic" w:cs="Noto Sans Arabic"/>
          <w:b w:val="0"/>
          <w:color w:val="6F7480"/>
          <w:sz w:val="19"/>
          <w:rtl w:val="1"/>
        </w:rPr>
        <w:t>مقارنة النصف الأول ٢٠٢٦م بالنصف الأول ٢٠٢٥م</w:t>
      </w:r>
    </w:p>
    <w:p>
      <w:pPr>
        <w:spacing w:after="120" w:before="120"/>
        <w:jc w:val="right"/>
        <w:bidi w:val="1"/>
      </w:pPr>
      <w:r>
        <w:rPr>
          <w:rFonts w:ascii="Noto Kufi Arabic" w:hAnsi="Noto Kufi Arabic" w:eastAsia="Noto Kufi Arabic" w:cs="Noto Kufi Arabic"/>
          <w:b/>
          <w:color w:val="941E3D"/>
          <w:sz w:val="24"/>
          <w:rtl w:val="1"/>
        </w:rPr>
        <w:t>مصادر الدخل</w:t>
      </w:r>
    </w:p>
    <w:tbl>
      <w:tblPr>
        <w:tblW w:type="auto" w:w="0"/>
        <w:jc w:val="center"/>
        <w:tblLayout w:type="fixed"/>
        <w:tblLook w:firstColumn="1" w:firstRow="1" w:lastColumn="0" w:lastRow="0" w:noHBand="0" w:noVBand="1" w:val="04A0"/>
        <w:bidiVisual w:val="1"/>
      </w:tblPr>
      <w:tblGrid>
        <w:gridCol w:w="2119"/>
        <w:gridCol w:w="2119"/>
        <w:gridCol w:w="2119"/>
        <w:gridCol w:w="2119"/>
        <w:gridCol w:w="2119"/>
      </w:tblGrid>
      <w:tr>
        <w:trPr>
          <w:tblHeader w:val="true"/>
          <w:cantSplit/>
        </w:trPr>
        <w:tc>
          <w:tcPr>
            <w:tcW w:type="dxa" w:w="2835"/>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8"/>
                <w:rtl w:val="1"/>
              </w:rPr>
              <w:t>البند</w:t>
            </w:r>
          </w:p>
        </w:tc>
        <w:tc>
          <w:tcPr>
            <w:tcW w:type="dxa" w:w="1701"/>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8"/>
                <w:rtl w:val="1"/>
              </w:rPr>
              <w:t>٢٠٢٦م</w:t>
            </w:r>
          </w:p>
        </w:tc>
        <w:tc>
          <w:tcPr>
            <w:tcW w:type="dxa" w:w="1701"/>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8"/>
                <w:rtl w:val="1"/>
              </w:rPr>
              <w:t>٢٠٢٥م</w:t>
            </w:r>
          </w:p>
        </w:tc>
        <w:tc>
          <w:tcPr>
            <w:tcW w:type="dxa" w:w="1701"/>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8"/>
                <w:rtl w:val="1"/>
              </w:rPr>
              <w:t>التغير</w:t>
            </w:r>
          </w:p>
        </w:tc>
        <w:tc>
          <w:tcPr>
            <w:tcW w:type="dxa" w:w="1531"/>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8"/>
                <w:rtl w:val="1"/>
              </w:rPr>
              <w:t>النسبة</w:t>
            </w:r>
          </w:p>
        </w:tc>
      </w:tr>
      <w:tr>
        <w:trPr>
          <w:cantSplit/>
        </w:trPr>
        <w:tc>
          <w:tcPr>
            <w:tcW w:type="dxa" w:w="211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الزكاة</w:t>
            </w:r>
          </w:p>
        </w:tc>
        <w:tc>
          <w:tcPr>
            <w:tcW w:type="dxa" w:w="211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٧٠٬٠٠٠</w:t>
            </w:r>
          </w:p>
        </w:tc>
        <w:tc>
          <w:tcPr>
            <w:tcW w:type="dxa" w:w="211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٨٠٬٠٠٠</w:t>
            </w:r>
          </w:p>
        </w:tc>
        <w:tc>
          <w:tcPr>
            <w:tcW w:type="dxa" w:w="211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-١٠٬٠٠٠</w:t>
            </w:r>
          </w:p>
        </w:tc>
        <w:tc>
          <w:tcPr>
            <w:tcW w:type="dxa" w:w="211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-١٣٪</w:t>
            </w:r>
          </w:p>
        </w:tc>
      </w:tr>
      <w:tr>
        <w:trPr>
          <w:cantSplit/>
        </w:trPr>
        <w:tc>
          <w:tcPr>
            <w:tcW w:type="dxa" w:w="211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العلاج</w:t>
            </w:r>
          </w:p>
        </w:tc>
        <w:tc>
          <w:tcPr>
            <w:tcW w:type="dxa" w:w="211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٧٥٬٠٠٠</w:t>
            </w:r>
          </w:p>
        </w:tc>
        <w:tc>
          <w:tcPr>
            <w:tcW w:type="dxa" w:w="211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٢٥٬٠٠٠</w:t>
            </w:r>
          </w:p>
        </w:tc>
        <w:tc>
          <w:tcPr>
            <w:tcW w:type="dxa" w:w="211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٥٠٬٠٠٠</w:t>
            </w:r>
          </w:p>
        </w:tc>
        <w:tc>
          <w:tcPr>
            <w:tcW w:type="dxa" w:w="211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٢٠٠٪</w:t>
            </w:r>
          </w:p>
        </w:tc>
      </w:tr>
      <w:tr>
        <w:trPr>
          <w:cantSplit/>
        </w:trPr>
        <w:tc>
          <w:tcPr>
            <w:tcW w:type="dxa" w:w="211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المتجر الإلكتروني</w:t>
            </w:r>
          </w:p>
        </w:tc>
        <w:tc>
          <w:tcPr>
            <w:tcW w:type="dxa" w:w="211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١٠٬٤٦٩</w:t>
            </w:r>
          </w:p>
        </w:tc>
        <w:tc>
          <w:tcPr>
            <w:tcW w:type="dxa" w:w="211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١٢٤</w:t>
            </w:r>
          </w:p>
        </w:tc>
        <w:tc>
          <w:tcPr>
            <w:tcW w:type="dxa" w:w="211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١٠٬٣٤٥</w:t>
            </w:r>
          </w:p>
        </w:tc>
        <w:tc>
          <w:tcPr>
            <w:tcW w:type="dxa" w:w="211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٨٣٤٣٪</w:t>
            </w:r>
          </w:p>
        </w:tc>
      </w:tr>
      <w:tr>
        <w:trPr>
          <w:cantSplit/>
        </w:trPr>
        <w:tc>
          <w:tcPr>
            <w:tcW w:type="dxa" w:w="211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منصة تبرع</w:t>
            </w:r>
          </w:p>
        </w:tc>
        <w:tc>
          <w:tcPr>
            <w:tcW w:type="dxa" w:w="211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١٬٢٠٣</w:t>
            </w:r>
          </w:p>
        </w:tc>
        <w:tc>
          <w:tcPr>
            <w:tcW w:type="dxa" w:w="211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١٣٬٧٨٦</w:t>
            </w:r>
          </w:p>
        </w:tc>
        <w:tc>
          <w:tcPr>
            <w:tcW w:type="dxa" w:w="211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-١٢٬٥٨٣</w:t>
            </w:r>
          </w:p>
        </w:tc>
        <w:tc>
          <w:tcPr>
            <w:tcW w:type="dxa" w:w="211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-٩١٪</w:t>
            </w:r>
          </w:p>
        </w:tc>
      </w:tr>
      <w:tr>
        <w:trPr>
          <w:cantSplit/>
        </w:trPr>
        <w:tc>
          <w:tcPr>
            <w:tcW w:type="dxa" w:w="211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تبرعات ودعم عام</w:t>
            </w:r>
          </w:p>
        </w:tc>
        <w:tc>
          <w:tcPr>
            <w:tcW w:type="dxa" w:w="211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٤٠٧٬٤٩٥</w:t>
            </w:r>
          </w:p>
        </w:tc>
        <w:tc>
          <w:tcPr>
            <w:tcW w:type="dxa" w:w="211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٦٢٬٥٦٤</w:t>
            </w:r>
          </w:p>
        </w:tc>
        <w:tc>
          <w:tcPr>
            <w:tcW w:type="dxa" w:w="211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٣٤٤٬٩٣١</w:t>
            </w:r>
          </w:p>
        </w:tc>
        <w:tc>
          <w:tcPr>
            <w:tcW w:type="dxa" w:w="211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٥٥١٪</w:t>
            </w:r>
          </w:p>
        </w:tc>
      </w:tr>
      <w:tr>
        <w:trPr>
          <w:cantSplit/>
        </w:trPr>
        <w:tc>
          <w:tcPr>
            <w:tcW w:type="dxa" w:w="211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العضوية</w:t>
            </w:r>
          </w:p>
        </w:tc>
        <w:tc>
          <w:tcPr>
            <w:tcW w:type="dxa" w:w="211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١٨٬٠٠٠</w:t>
            </w:r>
          </w:p>
        </w:tc>
        <w:tc>
          <w:tcPr>
            <w:tcW w:type="dxa" w:w="211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١٨٬٠٠٠</w:t>
            </w:r>
          </w:p>
        </w:tc>
        <w:tc>
          <w:tcPr>
            <w:tcW w:type="dxa" w:w="211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٠</w:t>
            </w:r>
          </w:p>
        </w:tc>
        <w:tc>
          <w:tcPr>
            <w:tcW w:type="dxa" w:w="211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٠٪</w:t>
            </w:r>
          </w:p>
        </w:tc>
      </w:tr>
      <w:tr>
        <w:trPr>
          <w:cantSplit/>
        </w:trPr>
        <w:tc>
          <w:tcPr>
            <w:tcW w:type="dxa" w:w="211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الإجمالي</w:t>
            </w:r>
          </w:p>
        </w:tc>
        <w:tc>
          <w:tcPr>
            <w:tcW w:type="dxa" w:w="211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٥٨٢٬١٦٧</w:t>
            </w:r>
          </w:p>
        </w:tc>
        <w:tc>
          <w:tcPr>
            <w:tcW w:type="dxa" w:w="211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١٩٩٬٤٧٤</w:t>
            </w:r>
          </w:p>
        </w:tc>
        <w:tc>
          <w:tcPr>
            <w:tcW w:type="dxa" w:w="211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٣٨٢٬٦٩٣</w:t>
            </w:r>
          </w:p>
        </w:tc>
        <w:tc>
          <w:tcPr>
            <w:tcW w:type="dxa" w:w="211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١٩٢٪</w:t>
            </w:r>
          </w:p>
        </w:tc>
      </w:tr>
    </w:tbl>
    <w:tbl>
      <w:tblPr>
        <w:tblW w:type="auto" w:w="0"/>
        <w:jc w:val="center"/>
        <w:tblLook w:firstColumn="1" w:firstRow="1" w:lastColumn="0" w:lastRow="0" w:noHBand="0" w:noVBand="1" w:val="04A0"/>
        <w:bidiVisual w:val="1"/>
      </w:tblPr>
      <w:tblGrid>
        <w:gridCol w:w="5298"/>
        <w:gridCol w:w="5298"/>
      </w:tblGrid>
      <w:tr>
        <w:trPr>
          <w:cantSplit/>
        </w:trPr>
        <w:tc>
          <w:tcPr>
            <w:tcW w:type="dxa" w:w="9581"/>
            <w:tcBorders>
              <w:top w:val="nil" w:sz="6" w:color="D9CDD3"/>
              <w:bottom w:val="nil" w:sz="6" w:color="D9CDD3"/>
              <w:start w:val="nil" w:sz="6" w:color="D9CDD3"/>
              <w:end w:val="nil" w:sz="6" w:color="D9CDD3"/>
              <w:insideH w:val="nil" w:sz="6" w:color="D9CDD3"/>
              <w:insideV w:val="nil" w:sz="6" w:color="D9CDD3"/>
            </w:tcBorders>
            <w:tcMar>
              <w:top w:w="120" w:type="dxa"/>
              <w:start w:w="160" w:type="dxa"/>
              <w:bottom w:w="120" w:type="dxa"/>
              <w:end w:w="160" w:type="dxa"/>
            </w:tcMar>
            <w:shd w:fill="F5F7F9"/>
          </w:tcPr>
          <w:p>
            <w:pPr>
              <w:spacing w:after="0"/>
              <w:jc w:val="right"/>
              <w:bidi w:val="1"/>
            </w:pPr>
            <w:r/>
            <w:r>
              <w:rPr>
                <w:rFonts w:ascii="Noto Kufi Arabic" w:hAnsi="Noto Kufi Arabic" w:eastAsia="Noto Kufi Arabic" w:cs="Noto Kufi Arabic"/>
                <w:b/>
                <w:color w:val="14253D"/>
                <w:sz w:val="19"/>
                <w:rtl w:val="1"/>
              </w:rPr>
              <w:t>ملاحظة</w:t>
            </w:r>
          </w:p>
          <w:p>
            <w:pPr>
              <w:spacing w:after="0"/>
              <w:jc w:val="right"/>
              <w:bidi w:val="1"/>
            </w:pPr>
            <w:r>
              <w:rPr>
                <w:rFonts w:ascii="Noto Sans Arabic" w:hAnsi="Noto Sans Arabic" w:eastAsia="Noto Sans Arabic" w:cs="Noto Sans Arabic"/>
                <w:b w:val="0"/>
                <w:color w:val="243044"/>
                <w:sz w:val="19"/>
                <w:rtl w:val="1"/>
              </w:rPr>
              <w:t>توقفت منصة «تبرع» واستُبدلت بمنصة إحسان خلال ٢٠٢٦م. ووفق التقرير كانت فترة جمع التبرعات ثلاثة أشهر.</w:t>
            </w:r>
          </w:p>
        </w:tc>
        <w:tc>
          <w:tcPr>
            <w:tcW w:type="dxa" w:w="255"/>
            <w:tcBorders>
              <w:top w:val="nil" w:sz="6" w:color="D9CDD3"/>
              <w:bottom w:val="nil" w:sz="6" w:color="D9CDD3"/>
              <w:start w:val="nil" w:sz="6" w:color="D9CDD3"/>
              <w:end w:val="nil" w:sz="6" w:color="D9CDD3"/>
              <w:insideH w:val="nil" w:sz="6" w:color="D9CDD3"/>
              <w:insideV w:val="nil" w:sz="6" w:color="D9CDD3"/>
            </w:tcBorders>
            <w:tcMar>
              <w:top w:w="90" w:type="dxa"/>
              <w:start w:w="90" w:type="dxa"/>
              <w:bottom w:w="90" w:type="dxa"/>
              <w:end w:w="90" w:type="dxa"/>
            </w:tcMar>
            <w:shd w:fill="14253D"/>
          </w:tcPr>
          <w:p>
            <w:r/>
          </w:p>
        </w:tc>
      </w:tr>
    </w:tbl>
    <w:p>
      <w:pPr>
        <w:spacing w:after="40"/>
      </w:pPr>
    </w:p>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الموازنة التقديرية - مستوى التنفيذ</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٠٢</w:t>
            </w:r>
          </w:p>
        </w:tc>
      </w:tr>
    </w:tbl>
    <w:p>
      <w:pPr>
        <w:spacing w:after="120" w:line="293" w:lineRule="auto"/>
        <w:jc w:val="right"/>
        <w:bidi w:val="1"/>
      </w:pPr>
      <w:r>
        <w:rPr>
          <w:rFonts w:ascii="Noto Sans Arabic" w:hAnsi="Noto Sans Arabic" w:eastAsia="Noto Sans Arabic" w:cs="Noto Sans Arabic"/>
          <w:b w:val="0"/>
          <w:color w:val="6F7480"/>
          <w:sz w:val="19"/>
          <w:rtl w:val="1"/>
        </w:rPr>
        <w:t>مقارنة ما تحقق خلال النصف الأول ٢٠٢٦م بالمستهدف السنوي المعتمد.</w:t>
      </w:r>
    </w:p>
    <w:tbl>
      <w:tblPr>
        <w:tblW w:type="auto" w:w="0"/>
        <w:jc w:val="center"/>
        <w:tblLayout w:type="fixed"/>
        <w:tblLook w:firstColumn="1" w:firstRow="1" w:lastColumn="0" w:lastRow="0" w:noHBand="0" w:noVBand="1" w:val="04A0"/>
        <w:bidiVisual w:val="1"/>
      </w:tblPr>
      <w:tblGrid>
        <w:gridCol w:w="2649"/>
        <w:gridCol w:w="2649"/>
        <w:gridCol w:w="2649"/>
        <w:gridCol w:w="2649"/>
      </w:tblGrid>
      <w:tr>
        <w:trPr>
          <w:tblHeader w:val="true"/>
          <w:cantSplit/>
        </w:trPr>
        <w:tc>
          <w:tcPr>
            <w:tcW w:type="dxa" w:w="3515"/>
            <w:tcMar>
              <w:top w:w="55" w:type="dxa"/>
              <w:start w:w="55" w:type="dxa"/>
              <w:bottom w:w="55" w:type="dxa"/>
              <w:end w:w="55" w:type="dxa"/>
            </w:tcMar>
            <w:shd w:fill="941E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8"/>
                <w:rtl w:val="1"/>
              </w:rPr>
              <w:t>البند</w:t>
            </w:r>
          </w:p>
        </w:tc>
        <w:tc>
          <w:tcPr>
            <w:tcW w:type="dxa" w:w="2268"/>
            <w:tcMar>
              <w:top w:w="55" w:type="dxa"/>
              <w:start w:w="55" w:type="dxa"/>
              <w:bottom w:w="55" w:type="dxa"/>
              <w:end w:w="55" w:type="dxa"/>
            </w:tcMar>
            <w:shd w:fill="941E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8"/>
                <w:rtl w:val="1"/>
              </w:rPr>
              <w:t>المستهدف السنوي</w:t>
            </w:r>
          </w:p>
        </w:tc>
        <w:tc>
          <w:tcPr>
            <w:tcW w:type="dxa" w:w="2268"/>
            <w:tcMar>
              <w:top w:w="55" w:type="dxa"/>
              <w:start w:w="55" w:type="dxa"/>
              <w:bottom w:w="55" w:type="dxa"/>
              <w:end w:w="55" w:type="dxa"/>
            </w:tcMar>
            <w:shd w:fill="941E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8"/>
                <w:rtl w:val="1"/>
              </w:rPr>
              <w:t>المحقق للنصف الأول</w:t>
            </w:r>
          </w:p>
        </w:tc>
        <w:tc>
          <w:tcPr>
            <w:tcW w:type="dxa" w:w="1984"/>
            <w:tcMar>
              <w:top w:w="55" w:type="dxa"/>
              <w:start w:w="55" w:type="dxa"/>
              <w:bottom w:w="55" w:type="dxa"/>
              <w:end w:w="55" w:type="dxa"/>
            </w:tcMar>
            <w:shd w:fill="941E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8"/>
                <w:rtl w:val="1"/>
              </w:rPr>
              <w:t>نسبة المحقق</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التبرعات والدعم</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١٬٥٢٧٬٠٠٠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٥٨٢٬١٦٧</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٤٠٫٠٢٪</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الرواتب والأجور</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٤٧٢٬٠٠٠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١٤٤٬٤٠٥</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٣٠٫٥٩٪</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المصروفات التشغيلية</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١٤٢٬٣٠٠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١٠٩٬٨٦٩</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٧٧٫٢١٪</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الحملة الإعلامية وتنمية الموارد</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٣٠٬٠٠٠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٠٪</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المساعدات العلاجية</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٧٥٠٬٠٠٠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٢٠٨٬٦٠٥</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٢٧٫٨١٪</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الأصول الثابتة</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١٩٬٤٥٠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١٥٬٦٢٠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٨٠٫٣١٪</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التطوير المالي والإداري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٤١٬٠٠٠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٠٪</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الإجمالي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٢٬٩٨١٬٧٥٠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١٬٠٦٠٬٦٦٦</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٣٥٫٥٧٪</w:t>
            </w:r>
          </w:p>
        </w:tc>
      </w:tr>
    </w:tbl>
    <w:tbl>
      <w:tblPr>
        <w:tblW w:type="auto" w:w="0"/>
        <w:jc w:val="center"/>
        <w:tblLook w:firstColumn="1" w:firstRow="1" w:lastColumn="0" w:lastRow="0" w:noHBand="0" w:noVBand="1" w:val="04A0"/>
        <w:bidiVisual w:val="1"/>
      </w:tblPr>
      <w:tblGrid>
        <w:gridCol w:w="5298"/>
        <w:gridCol w:w="5298"/>
      </w:tblGrid>
      <w:tr>
        <w:trPr>
          <w:cantSplit/>
        </w:trPr>
        <w:tc>
          <w:tcPr>
            <w:tcW w:type="dxa" w:w="9581"/>
            <w:tcBorders>
              <w:top w:val="nil" w:sz="6" w:color="D9CDD3"/>
              <w:bottom w:val="nil" w:sz="6" w:color="D9CDD3"/>
              <w:start w:val="nil" w:sz="6" w:color="D9CDD3"/>
              <w:end w:val="nil" w:sz="6" w:color="D9CDD3"/>
              <w:insideH w:val="nil" w:sz="6" w:color="D9CDD3"/>
              <w:insideV w:val="nil" w:sz="6" w:color="D9CDD3"/>
            </w:tcBorders>
            <w:tcMar>
              <w:top w:w="120" w:type="dxa"/>
              <w:start w:w="160" w:type="dxa"/>
              <w:bottom w:w="120" w:type="dxa"/>
              <w:end w:w="160" w:type="dxa"/>
            </w:tcMar>
            <w:shd w:fill="F4EDF0"/>
          </w:tcPr>
          <w:p>
            <w:pPr>
              <w:spacing w:after="0"/>
              <w:jc w:val="right"/>
              <w:bidi w:val="1"/>
            </w:pPr>
            <w:r/>
            <w:r>
              <w:rPr>
                <w:rFonts w:ascii="Noto Kufi Arabic" w:hAnsi="Noto Kufi Arabic" w:eastAsia="Noto Kufi Arabic" w:cs="Noto Kufi Arabic"/>
                <w:b/>
                <w:color w:val="941E3D"/>
                <w:sz w:val="19"/>
                <w:rtl w:val="1"/>
              </w:rPr>
              <w:t>قراءة الميزانية</w:t>
            </w:r>
          </w:p>
          <w:p>
            <w:pPr>
              <w:spacing w:after="0"/>
              <w:jc w:val="right"/>
              <w:bidi w:val="1"/>
            </w:pPr>
            <w:r>
              <w:rPr>
                <w:rFonts w:ascii="Noto Sans Arabic" w:hAnsi="Noto Sans Arabic" w:eastAsia="Noto Sans Arabic" w:cs="Noto Sans Arabic"/>
                <w:b w:val="0"/>
                <w:color w:val="243044"/>
                <w:sz w:val="19"/>
                <w:rtl w:val="1"/>
              </w:rPr>
              <w:t>بلغ إجمالي المنفذ ٣٥٫٥٧٪ من الموازنة السنوية حتى نهاية يونيو. ويظهر ارتفاع التنفيذ في المصروفات التشغيلية والأصول مقارنة ببنود البرامج العلاجية والحملة الإعلامية.</w:t>
            </w:r>
          </w:p>
        </w:tc>
        <w:tc>
          <w:tcPr>
            <w:tcW w:type="dxa" w:w="255"/>
            <w:tcBorders>
              <w:top w:val="nil" w:sz="6" w:color="D9CDD3"/>
              <w:bottom w:val="nil" w:sz="6" w:color="D9CDD3"/>
              <w:start w:val="nil" w:sz="6" w:color="D9CDD3"/>
              <w:end w:val="nil" w:sz="6" w:color="D9CDD3"/>
              <w:insideH w:val="nil" w:sz="6" w:color="D9CDD3"/>
              <w:insideV w:val="nil" w:sz="6" w:color="D9CDD3"/>
            </w:tcBorders>
            <w:tcMar>
              <w:top w:w="90" w:type="dxa"/>
              <w:start w:w="90" w:type="dxa"/>
              <w:bottom w:w="90" w:type="dxa"/>
              <w:end w:w="90" w:type="dxa"/>
            </w:tcMar>
            <w:shd w:fill="941E3D"/>
          </w:tcPr>
          <w:p>
            <w:r/>
          </w:p>
        </w:tc>
      </w:tr>
    </w:tbl>
    <w:p>
      <w:pPr>
        <w:spacing w:after="40"/>
      </w:pPr>
    </w:p>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المصروفات التشغيلية</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٠٢</w:t>
            </w:r>
          </w:p>
        </w:tc>
      </w:tr>
    </w:tbl>
    <w:tbl>
      <w:tblPr>
        <w:tblW w:type="auto" w:w="0"/>
        <w:jc w:val="center"/>
        <w:tblLayout w:type="fixed"/>
        <w:tblLook w:firstColumn="1" w:firstRow="1" w:lastColumn="0" w:lastRow="0" w:noHBand="0" w:noVBand="1" w:val="04A0"/>
        <w:bidiVisual w:val="1"/>
      </w:tblPr>
      <w:tblGrid>
        <w:gridCol w:w="2649"/>
        <w:gridCol w:w="2649"/>
        <w:gridCol w:w="2649"/>
        <w:gridCol w:w="2649"/>
      </w:tblGrid>
      <w:tr>
        <w:trPr>
          <w:tblHeader w:val="true"/>
          <w:cantSplit/>
        </w:trPr>
        <w:tc>
          <w:tcPr>
            <w:tcW w:type="dxa" w:w="4649"/>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5"/>
                <w:rtl w:val="1"/>
              </w:rPr>
              <w:t>البند</w:t>
            </w:r>
          </w:p>
        </w:tc>
        <w:tc>
          <w:tcPr>
            <w:tcW w:type="dxa" w:w="1928"/>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5"/>
                <w:rtl w:val="1"/>
              </w:rPr>
              <w:t>٢٠٢٦م</w:t>
            </w:r>
          </w:p>
        </w:tc>
        <w:tc>
          <w:tcPr>
            <w:tcW w:type="dxa" w:w="1928"/>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5"/>
                <w:rtl w:val="1"/>
              </w:rPr>
              <w:t>٢٠٢٥م</w:t>
            </w:r>
          </w:p>
        </w:tc>
        <w:tc>
          <w:tcPr>
            <w:tcW w:type="dxa" w:w="1531"/>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5"/>
                <w:rtl w:val="1"/>
              </w:rPr>
              <w:t>التغير</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الرواتب</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١٤٤٬٤٠٥</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٤٥٬٢٦٤</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٢١٩٪</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أجور متعاونين</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١٣٬٠٠٠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٩٬٠٦٠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٤٣٪</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التأمينات الاجتماعية</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١٤٬٧٦٨</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٩٬٩٨٠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٤٨٪</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الهاتف</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١٬٣١٦</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١٬٣٤٢</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-٢٪</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الكهرباء</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٣٬٨٦٧</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الإيجار</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٦٣٬٣٣٣</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٣٥٬٠٠٠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٨١٪</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المحاسب القانوني - رائد الأحمدي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٤٬٦٠٠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رسوم مصرفية</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٣٨٠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طباعة</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٥٠٨</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أدوات مكتبية</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١٥٢</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٣٦٧</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-٥٩٪</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أحبار</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١٨٠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نظافة ومنظفات</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٩٠٠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٥٣١</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٦٩٪</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ضيافة</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٣٧٥</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٥٩٢</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-٣٧٪</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تصميم وتطوير الموقع الإلكتروني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٣٬٠٠٠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نقل وتركيب الأصول للمقر الجديد</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٢٬٤٣٠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صيانة متنوعة</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١٬٠٦٠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١٬٣٩٣</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-٢٤٪</w:t>
            </w:r>
          </w:p>
        </w:tc>
      </w:tr>
    </w:tbl>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قراءة المصروفات وملاحظة التدقيق</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٠٢</w:t>
            </w:r>
          </w:p>
        </w:tc>
      </w:tr>
    </w:tbl>
    <w:tbl>
      <w:tblPr>
        <w:tblW w:type="auto" w:w="0"/>
        <w:jc w:val="center"/>
        <w:tblLook w:firstColumn="1" w:firstRow="1" w:lastColumn="0" w:lastRow="0" w:noHBand="0" w:noVBand="1" w:val="04A0"/>
        <w:bidiVisual w:val="1"/>
      </w:tblPr>
      <w:tblGrid>
        <w:gridCol w:w="2649"/>
        <w:gridCol w:w="2649"/>
        <w:gridCol w:w="2649"/>
        <w:gridCol w:w="2649"/>
      </w:tblGrid>
      <w:tr>
        <w:tc>
          <w:tcPr>
            <w:tcW w:type="dxa" w:w="2509"/>
            <w:tcBorders>
              <w:top w:val="single" w:sz="18" w:color="941E3D"/>
              <w:bottom w:val="single" w:sz="4" w:color="E4DCE0"/>
              <w:start w:val="single" w:sz="4" w:color="E4DCE0"/>
              <w:end w:val="single" w:sz="4" w:color="E4DCE0"/>
              <w:insideH w:val="nil" w:sz="6" w:color="D9CDD3"/>
              <w:insideV w:val="nil" w:sz="6" w:color="D9CDD3"/>
            </w:tcBorders>
            <w:tcMar>
              <w:top w:w="120" w:type="dxa"/>
              <w:start w:w="100" w:type="dxa"/>
              <w:bottom w:w="120" w:type="dxa"/>
              <w:end w:w="100" w:type="dxa"/>
            </w:tcMar>
            <w:shd w:fill="F7F4F6"/>
          </w:tcPr>
          <w:p>
            <w:pPr>
              <w:spacing w:after="0"/>
              <w:jc w:val="center"/>
              <w:bidi w:val="1"/>
            </w:pPr>
            <w:r/>
            <w:r>
              <w:rPr>
                <w:rFonts w:ascii="Noto Kufi Arabic" w:hAnsi="Noto Kufi Arabic" w:eastAsia="Noto Kufi Arabic" w:cs="Noto Kufi Arabic"/>
                <w:b/>
                <w:color w:val="941E3D"/>
                <w:sz w:val="34"/>
                <w:rtl w:val="1"/>
              </w:rPr>
              <w:t>٢٥٤٬٢٧٤ ريال</w:t>
            </w:r>
          </w:p>
          <w:p>
            <w:pPr>
              <w:spacing w:after="0"/>
              <w:jc w:val="center"/>
              <w:bidi w:val="1"/>
            </w:pPr>
            <w:r>
              <w:rPr>
                <w:rFonts w:ascii="Noto Sans Arabic" w:hAnsi="Noto Sans Arabic" w:eastAsia="Noto Sans Arabic" w:cs="Noto Sans Arabic"/>
                <w:b w:val="0"/>
                <w:color w:val="14253D"/>
                <w:sz w:val="17"/>
                <w:rtl w:val="1"/>
              </w:rPr>
              <w:t>إجمالي المصروفات التفصيلي</w:t>
            </w:r>
          </w:p>
        </w:tc>
        <w:tc>
          <w:tcPr>
            <w:tcW w:type="dxa" w:w="2509"/>
            <w:tcBorders>
              <w:top w:val="single" w:sz="18" w:color="941E3D"/>
              <w:bottom w:val="single" w:sz="4" w:color="E4DCE0"/>
              <w:start w:val="single" w:sz="4" w:color="E4DCE0"/>
              <w:end w:val="single" w:sz="4" w:color="E4DCE0"/>
              <w:insideH w:val="nil" w:sz="6" w:color="D9CDD3"/>
              <w:insideV w:val="nil" w:sz="6" w:color="D9CDD3"/>
            </w:tcBorders>
            <w:tcMar>
              <w:top w:w="120" w:type="dxa"/>
              <w:start w:w="100" w:type="dxa"/>
              <w:bottom w:w="120" w:type="dxa"/>
              <w:end w:w="100" w:type="dxa"/>
            </w:tcMar>
            <w:shd w:fill="F7F4F6"/>
          </w:tcPr>
          <w:p>
            <w:pPr>
              <w:spacing w:after="0"/>
              <w:jc w:val="center"/>
              <w:bidi w:val="1"/>
            </w:pPr>
            <w:r/>
            <w:r>
              <w:rPr>
                <w:rFonts w:ascii="Noto Kufi Arabic" w:hAnsi="Noto Kufi Arabic" w:eastAsia="Noto Kufi Arabic" w:cs="Noto Kufi Arabic"/>
                <w:b/>
                <w:color w:val="941E3D"/>
                <w:sz w:val="34"/>
                <w:rtl w:val="1"/>
              </w:rPr>
              <w:t>١٤٦٪</w:t>
            </w:r>
          </w:p>
          <w:p>
            <w:pPr>
              <w:spacing w:after="0"/>
              <w:jc w:val="center"/>
              <w:bidi w:val="1"/>
            </w:pPr>
            <w:r>
              <w:rPr>
                <w:rFonts w:ascii="Noto Sans Arabic" w:hAnsi="Noto Sans Arabic" w:eastAsia="Noto Sans Arabic" w:cs="Noto Sans Arabic"/>
                <w:b w:val="0"/>
                <w:color w:val="14253D"/>
                <w:sz w:val="17"/>
                <w:rtl w:val="1"/>
              </w:rPr>
              <w:t>نمو المصروفات التشغيلية</w:t>
            </w:r>
          </w:p>
        </w:tc>
        <w:tc>
          <w:tcPr>
            <w:tcW w:type="dxa" w:w="2509"/>
            <w:tcBorders>
              <w:top w:val="single" w:sz="18" w:color="941E3D"/>
              <w:bottom w:val="single" w:sz="4" w:color="E4DCE0"/>
              <w:start w:val="single" w:sz="4" w:color="E4DCE0"/>
              <w:end w:val="single" w:sz="4" w:color="E4DCE0"/>
              <w:insideH w:val="nil" w:sz="6" w:color="D9CDD3"/>
              <w:insideV w:val="nil" w:sz="6" w:color="D9CDD3"/>
            </w:tcBorders>
            <w:tcMar>
              <w:top w:w="120" w:type="dxa"/>
              <w:start w:w="100" w:type="dxa"/>
              <w:bottom w:w="120" w:type="dxa"/>
              <w:end w:w="100" w:type="dxa"/>
            </w:tcMar>
            <w:shd w:fill="F7F4F6"/>
          </w:tcPr>
          <w:p>
            <w:pPr>
              <w:spacing w:after="0"/>
              <w:jc w:val="center"/>
              <w:bidi w:val="1"/>
            </w:pPr>
            <w:r/>
            <w:r>
              <w:rPr>
                <w:rFonts w:ascii="Noto Kufi Arabic" w:hAnsi="Noto Kufi Arabic" w:eastAsia="Noto Kufi Arabic" w:cs="Noto Kufi Arabic"/>
                <w:b/>
                <w:color w:val="941E3D"/>
                <w:sz w:val="34"/>
                <w:rtl w:val="1"/>
              </w:rPr>
              <w:t>٥٦٫٨٪</w:t>
            </w:r>
          </w:p>
          <w:p>
            <w:pPr>
              <w:spacing w:after="0"/>
              <w:jc w:val="center"/>
              <w:bidi w:val="1"/>
            </w:pPr>
            <w:r>
              <w:rPr>
                <w:rFonts w:ascii="Noto Sans Arabic" w:hAnsi="Noto Sans Arabic" w:eastAsia="Noto Sans Arabic" w:cs="Noto Sans Arabic"/>
                <w:b w:val="0"/>
                <w:color w:val="14253D"/>
                <w:sz w:val="17"/>
                <w:rtl w:val="1"/>
              </w:rPr>
              <w:t>حصة الرواتب من المصروفات</w:t>
            </w:r>
          </w:p>
        </w:tc>
        <w:tc>
          <w:tcPr>
            <w:tcW w:type="dxa" w:w="2509"/>
            <w:tcBorders>
              <w:top w:val="single" w:sz="18" w:color="941E3D"/>
              <w:bottom w:val="single" w:sz="4" w:color="E4DCE0"/>
              <w:start w:val="single" w:sz="4" w:color="E4DCE0"/>
              <w:end w:val="single" w:sz="4" w:color="E4DCE0"/>
              <w:insideH w:val="nil" w:sz="6" w:color="D9CDD3"/>
              <w:insideV w:val="nil" w:sz="6" w:color="D9CDD3"/>
            </w:tcBorders>
            <w:tcMar>
              <w:top w:w="120" w:type="dxa"/>
              <w:start w:w="100" w:type="dxa"/>
              <w:bottom w:w="120" w:type="dxa"/>
              <w:end w:w="100" w:type="dxa"/>
            </w:tcMar>
            <w:shd w:fill="F7F4F6"/>
          </w:tcPr>
          <w:p>
            <w:pPr>
              <w:spacing w:after="0"/>
              <w:jc w:val="center"/>
              <w:bidi w:val="1"/>
            </w:pPr>
            <w:r/>
            <w:r>
              <w:rPr>
                <w:rFonts w:ascii="Noto Kufi Arabic" w:hAnsi="Noto Kufi Arabic" w:eastAsia="Noto Kufi Arabic" w:cs="Noto Kufi Arabic"/>
                <w:b/>
                <w:color w:val="941E3D"/>
                <w:sz w:val="34"/>
                <w:rtl w:val="1"/>
              </w:rPr>
              <w:t>٢٤٫٩٪</w:t>
            </w:r>
          </w:p>
          <w:p>
            <w:pPr>
              <w:spacing w:after="0"/>
              <w:jc w:val="center"/>
              <w:bidi w:val="1"/>
            </w:pPr>
            <w:r>
              <w:rPr>
                <w:rFonts w:ascii="Noto Sans Arabic" w:hAnsi="Noto Sans Arabic" w:eastAsia="Noto Sans Arabic" w:cs="Noto Sans Arabic"/>
                <w:b w:val="0"/>
                <w:color w:val="14253D"/>
                <w:sz w:val="17"/>
                <w:rtl w:val="1"/>
              </w:rPr>
              <w:t>حصة الإيجار من المصروفات</w:t>
            </w:r>
          </w:p>
        </w:tc>
      </w:tr>
    </w:tbl>
    <w:p>
      <w:pPr>
        <w:spacing w:after="20"/>
      </w:pPr>
    </w:p>
    <w:tbl>
      <w:tblPr>
        <w:tblW w:type="auto" w:w="0"/>
        <w:jc w:val="center"/>
        <w:tblLook w:firstColumn="1" w:firstRow="1" w:lastColumn="0" w:lastRow="0" w:noHBand="0" w:noVBand="1" w:val="04A0"/>
        <w:bidiVisual w:val="1"/>
      </w:tblPr>
      <w:tblGrid>
        <w:gridCol w:w="5298"/>
        <w:gridCol w:w="5298"/>
      </w:tblGrid>
      <w:tr>
        <w:trPr>
          <w:cantSplit/>
        </w:trPr>
        <w:tc>
          <w:tcPr>
            <w:tcW w:type="dxa" w:w="9581"/>
            <w:tcBorders>
              <w:top w:val="nil" w:sz="6" w:color="D9CDD3"/>
              <w:bottom w:val="nil" w:sz="6" w:color="D9CDD3"/>
              <w:start w:val="nil" w:sz="6" w:color="D9CDD3"/>
              <w:end w:val="nil" w:sz="6" w:color="D9CDD3"/>
              <w:insideH w:val="nil" w:sz="6" w:color="D9CDD3"/>
              <w:insideV w:val="nil" w:sz="6" w:color="D9CDD3"/>
            </w:tcBorders>
            <w:tcMar>
              <w:top w:w="120" w:type="dxa"/>
              <w:start w:w="160" w:type="dxa"/>
              <w:bottom w:w="120" w:type="dxa"/>
              <w:end w:w="160" w:type="dxa"/>
            </w:tcMar>
            <w:shd w:fill="F4EDF0"/>
          </w:tcPr>
          <w:p>
            <w:pPr>
              <w:spacing w:after="0"/>
              <w:jc w:val="right"/>
              <w:bidi w:val="1"/>
            </w:pPr>
            <w:r/>
            <w:r>
              <w:rPr>
                <w:rFonts w:ascii="Noto Kufi Arabic" w:hAnsi="Noto Kufi Arabic" w:eastAsia="Noto Kufi Arabic" w:cs="Noto Kufi Arabic"/>
                <w:b/>
                <w:color w:val="941E3D"/>
                <w:sz w:val="19"/>
                <w:rtl w:val="1"/>
              </w:rPr>
              <w:t>قراءة تنفيذية</w:t>
            </w:r>
          </w:p>
          <w:p>
            <w:pPr>
              <w:spacing w:after="0"/>
              <w:jc w:val="right"/>
              <w:bidi w:val="1"/>
            </w:pPr>
            <w:r>
              <w:rPr>
                <w:rFonts w:ascii="Noto Sans Arabic" w:hAnsi="Noto Sans Arabic" w:eastAsia="Noto Sans Arabic" w:cs="Noto Sans Arabic"/>
                <w:b w:val="0"/>
                <w:color w:val="243044"/>
                <w:sz w:val="19"/>
                <w:rtl w:val="1"/>
              </w:rPr>
              <w:t>يتركز معظم الإنفاق التشغيلي في الرواتب والإيجار، وهو متوقع مع توسع الكادر والانتقال إلى مقر جديد. ويستحسن في النصف الثاني قياس المصروفات مقابل عدد المستفيدين والبرامج لتكوين مؤشر كفاءة تكلفة واضح.</w:t>
            </w:r>
          </w:p>
        </w:tc>
        <w:tc>
          <w:tcPr>
            <w:tcW w:type="dxa" w:w="255"/>
            <w:tcBorders>
              <w:top w:val="nil" w:sz="6" w:color="D9CDD3"/>
              <w:bottom w:val="nil" w:sz="6" w:color="D9CDD3"/>
              <w:start w:val="nil" w:sz="6" w:color="D9CDD3"/>
              <w:end w:val="nil" w:sz="6" w:color="D9CDD3"/>
              <w:insideH w:val="nil" w:sz="6" w:color="D9CDD3"/>
              <w:insideV w:val="nil" w:sz="6" w:color="D9CDD3"/>
            </w:tcBorders>
            <w:tcMar>
              <w:top w:w="90" w:type="dxa"/>
              <w:start w:w="90" w:type="dxa"/>
              <w:bottom w:w="90" w:type="dxa"/>
              <w:end w:w="90" w:type="dxa"/>
            </w:tcMar>
            <w:shd w:fill="941E3D"/>
          </w:tcPr>
          <w:p>
            <w:r/>
          </w:p>
        </w:tc>
      </w:tr>
    </w:tbl>
    <w:p>
      <w:pPr>
        <w:spacing w:after="40"/>
      </w:pPr>
    </w:p>
    <w:tbl>
      <w:tblPr>
        <w:tblW w:type="auto" w:w="0"/>
        <w:jc w:val="center"/>
        <w:tblLook w:firstColumn="1" w:firstRow="1" w:lastColumn="0" w:lastRow="0" w:noHBand="0" w:noVBand="1" w:val="04A0"/>
        <w:bidiVisual w:val="1"/>
      </w:tblPr>
      <w:tblGrid>
        <w:gridCol w:w="5298"/>
        <w:gridCol w:w="5298"/>
      </w:tblGrid>
      <w:tr>
        <w:trPr>
          <w:cantSplit/>
        </w:trPr>
        <w:tc>
          <w:tcPr>
            <w:tcW w:type="dxa" w:w="9581"/>
            <w:tcBorders>
              <w:top w:val="nil" w:sz="6" w:color="D9CDD3"/>
              <w:bottom w:val="nil" w:sz="6" w:color="D9CDD3"/>
              <w:start w:val="nil" w:sz="6" w:color="D9CDD3"/>
              <w:end w:val="nil" w:sz="6" w:color="D9CDD3"/>
              <w:insideH w:val="nil" w:sz="6" w:color="D9CDD3"/>
              <w:insideV w:val="nil" w:sz="6" w:color="D9CDD3"/>
            </w:tcBorders>
            <w:tcMar>
              <w:top w:w="120" w:type="dxa"/>
              <w:start w:w="160" w:type="dxa"/>
              <w:bottom w:w="120" w:type="dxa"/>
              <w:end w:w="160" w:type="dxa"/>
            </w:tcMar>
            <w:shd w:fill="FFF8E8"/>
          </w:tcPr>
          <w:p>
            <w:pPr>
              <w:spacing w:after="0"/>
              <w:jc w:val="right"/>
              <w:bidi w:val="1"/>
            </w:pPr>
            <w:r/>
            <w:r>
              <w:rPr>
                <w:rFonts w:ascii="Noto Kufi Arabic" w:hAnsi="Noto Kufi Arabic" w:eastAsia="Noto Kufi Arabic" w:cs="Noto Kufi Arabic"/>
                <w:b/>
                <w:color w:val="B99B5A"/>
                <w:sz w:val="19"/>
                <w:rtl w:val="1"/>
              </w:rPr>
              <w:t>ملاحظة تدقيقية</w:t>
            </w:r>
          </w:p>
          <w:p>
            <w:pPr>
              <w:spacing w:after="0"/>
              <w:jc w:val="right"/>
              <w:bidi w:val="1"/>
            </w:pPr>
            <w:r>
              <w:rPr>
                <w:rFonts w:ascii="Noto Sans Arabic" w:hAnsi="Noto Sans Arabic" w:eastAsia="Noto Sans Arabic" w:cs="Noto Sans Arabic"/>
                <w:b w:val="0"/>
                <w:color w:val="243044"/>
                <w:sz w:val="19"/>
                <w:rtl w:val="1"/>
              </w:rPr>
              <w:t>يوضح الجدول التفصيلي إجمالي مصروفات تشغيلية قدره ٢٥٤٬٢٧٤ ريال، بينما ورد في صفحة «نمو الإيرادات والمصروفات» إجمالي قدره ٢٤٩٬٢٧٤ ريال. الفرق ٥٬٠٠٠ ريال يحتاج مطابقة محاسبية قبل الاعتماد النهائي.</w:t>
            </w:r>
          </w:p>
        </w:tc>
        <w:tc>
          <w:tcPr>
            <w:tcW w:type="dxa" w:w="255"/>
            <w:tcBorders>
              <w:top w:val="nil" w:sz="6" w:color="D9CDD3"/>
              <w:bottom w:val="nil" w:sz="6" w:color="D9CDD3"/>
              <w:start w:val="nil" w:sz="6" w:color="D9CDD3"/>
              <w:end w:val="nil" w:sz="6" w:color="D9CDD3"/>
              <w:insideH w:val="nil" w:sz="6" w:color="D9CDD3"/>
              <w:insideV w:val="nil" w:sz="6" w:color="D9CDD3"/>
            </w:tcBorders>
            <w:tcMar>
              <w:top w:w="90" w:type="dxa"/>
              <w:start w:w="90" w:type="dxa"/>
              <w:bottom w:w="90" w:type="dxa"/>
              <w:end w:w="90" w:type="dxa"/>
            </w:tcMar>
            <w:shd w:fill="B99B5A"/>
          </w:tcPr>
          <w:p>
            <w:r/>
          </w:p>
        </w:tc>
      </w:tr>
    </w:tbl>
    <w:p>
      <w:pPr>
        <w:spacing w:after="40"/>
      </w:pPr>
    </w:p>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المركز المالي</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٠٢</w:t>
            </w:r>
          </w:p>
        </w:tc>
      </w:tr>
    </w:tbl>
    <w:tbl>
      <w:tblPr>
        <w:tblW w:type="auto" w:w="0"/>
        <w:jc w:val="center"/>
        <w:tblLook w:firstColumn="1" w:firstRow="1" w:lastColumn="0" w:lastRow="0" w:noHBand="0" w:noVBand="1" w:val="04A0"/>
        <w:bidiVisual w:val="1"/>
      </w:tblPr>
      <w:tblGrid>
        <w:gridCol w:w="2649"/>
        <w:gridCol w:w="2649"/>
        <w:gridCol w:w="2649"/>
        <w:gridCol w:w="2649"/>
      </w:tblGrid>
      <w:tr>
        <w:tc>
          <w:tcPr>
            <w:tcW w:type="dxa" w:w="2509"/>
            <w:tcBorders>
              <w:top w:val="single" w:sz="18" w:color="941E3D"/>
              <w:bottom w:val="single" w:sz="4" w:color="E4DCE0"/>
              <w:start w:val="single" w:sz="4" w:color="E4DCE0"/>
              <w:end w:val="single" w:sz="4" w:color="E4DCE0"/>
              <w:insideH w:val="nil" w:sz="6" w:color="D9CDD3"/>
              <w:insideV w:val="nil" w:sz="6" w:color="D9CDD3"/>
            </w:tcBorders>
            <w:tcMar>
              <w:top w:w="120" w:type="dxa"/>
              <w:start w:w="100" w:type="dxa"/>
              <w:bottom w:w="120" w:type="dxa"/>
              <w:end w:w="100" w:type="dxa"/>
            </w:tcMar>
            <w:shd w:fill="F7F4F6"/>
          </w:tcPr>
          <w:p>
            <w:pPr>
              <w:spacing w:after="0"/>
              <w:jc w:val="center"/>
              <w:bidi w:val="1"/>
            </w:pPr>
            <w:r/>
            <w:r>
              <w:rPr>
                <w:rFonts w:ascii="Noto Kufi Arabic" w:hAnsi="Noto Kufi Arabic" w:eastAsia="Noto Kufi Arabic" w:cs="Noto Kufi Arabic"/>
                <w:b/>
                <w:color w:val="941E3D"/>
                <w:sz w:val="34"/>
                <w:rtl w:val="1"/>
              </w:rPr>
              <w:t>١٬٠٠١٬٧٥٤ ريال</w:t>
            </w:r>
          </w:p>
          <w:p>
            <w:pPr>
              <w:spacing w:after="0"/>
              <w:jc w:val="center"/>
              <w:bidi w:val="1"/>
            </w:pPr>
            <w:r>
              <w:rPr>
                <w:rFonts w:ascii="Noto Sans Arabic" w:hAnsi="Noto Sans Arabic" w:eastAsia="Noto Sans Arabic" w:cs="Noto Sans Arabic"/>
                <w:b w:val="0"/>
                <w:color w:val="14253D"/>
                <w:sz w:val="17"/>
                <w:rtl w:val="1"/>
              </w:rPr>
              <w:t>إجمالي الأرصدة البنكية</w:t>
            </w:r>
          </w:p>
        </w:tc>
        <w:tc>
          <w:tcPr>
            <w:tcW w:type="dxa" w:w="2509"/>
            <w:tcBorders>
              <w:top w:val="single" w:sz="18" w:color="941E3D"/>
              <w:bottom w:val="single" w:sz="4" w:color="E4DCE0"/>
              <w:start w:val="single" w:sz="4" w:color="E4DCE0"/>
              <w:end w:val="single" w:sz="4" w:color="E4DCE0"/>
              <w:insideH w:val="nil" w:sz="6" w:color="D9CDD3"/>
              <w:insideV w:val="nil" w:sz="6" w:color="D9CDD3"/>
            </w:tcBorders>
            <w:tcMar>
              <w:top w:w="120" w:type="dxa"/>
              <w:start w:w="100" w:type="dxa"/>
              <w:bottom w:w="120" w:type="dxa"/>
              <w:end w:w="100" w:type="dxa"/>
            </w:tcMar>
            <w:shd w:fill="F7F4F6"/>
          </w:tcPr>
          <w:p>
            <w:pPr>
              <w:spacing w:after="0"/>
              <w:jc w:val="center"/>
              <w:bidi w:val="1"/>
            </w:pPr>
            <w:r/>
            <w:r>
              <w:rPr>
                <w:rFonts w:ascii="Noto Kufi Arabic" w:hAnsi="Noto Kufi Arabic" w:eastAsia="Noto Kufi Arabic" w:cs="Noto Kufi Arabic"/>
                <w:b/>
                <w:color w:val="941E3D"/>
                <w:sz w:val="34"/>
                <w:rtl w:val="1"/>
              </w:rPr>
              <w:t>٩٧٢٬٧١٣ ريال</w:t>
            </w:r>
          </w:p>
          <w:p>
            <w:pPr>
              <w:spacing w:after="0"/>
              <w:jc w:val="center"/>
              <w:bidi w:val="1"/>
            </w:pPr>
            <w:r>
              <w:rPr>
                <w:rFonts w:ascii="Noto Sans Arabic" w:hAnsi="Noto Sans Arabic" w:eastAsia="Noto Sans Arabic" w:cs="Noto Sans Arabic"/>
                <w:b w:val="0"/>
                <w:color w:val="14253D"/>
                <w:sz w:val="17"/>
                <w:rtl w:val="1"/>
              </w:rPr>
              <w:t>صافي الأصول</w:t>
            </w:r>
          </w:p>
        </w:tc>
        <w:tc>
          <w:tcPr>
            <w:tcW w:type="dxa" w:w="2509"/>
            <w:tcBorders>
              <w:top w:val="single" w:sz="18" w:color="941E3D"/>
              <w:bottom w:val="single" w:sz="4" w:color="E4DCE0"/>
              <w:start w:val="single" w:sz="4" w:color="E4DCE0"/>
              <w:end w:val="single" w:sz="4" w:color="E4DCE0"/>
              <w:insideH w:val="nil" w:sz="6" w:color="D9CDD3"/>
              <w:insideV w:val="nil" w:sz="6" w:color="D9CDD3"/>
            </w:tcBorders>
            <w:tcMar>
              <w:top w:w="120" w:type="dxa"/>
              <w:start w:w="100" w:type="dxa"/>
              <w:bottom w:w="120" w:type="dxa"/>
              <w:end w:w="100" w:type="dxa"/>
            </w:tcMar>
            <w:shd w:fill="F7F4F6"/>
          </w:tcPr>
          <w:p>
            <w:pPr>
              <w:spacing w:after="0"/>
              <w:jc w:val="center"/>
              <w:bidi w:val="1"/>
            </w:pPr>
            <w:r/>
            <w:r>
              <w:rPr>
                <w:rFonts w:ascii="Noto Kufi Arabic" w:hAnsi="Noto Kufi Arabic" w:eastAsia="Noto Kufi Arabic" w:cs="Noto Kufi Arabic"/>
                <w:b/>
                <w:color w:val="941E3D"/>
                <w:sz w:val="34"/>
                <w:rtl w:val="1"/>
              </w:rPr>
              <w:t>٣٦٧٬٠٩٣ ريال</w:t>
            </w:r>
          </w:p>
          <w:p>
            <w:pPr>
              <w:spacing w:after="0"/>
              <w:jc w:val="center"/>
              <w:bidi w:val="1"/>
            </w:pPr>
            <w:r>
              <w:rPr>
                <w:rFonts w:ascii="Noto Sans Arabic" w:hAnsi="Noto Sans Arabic" w:eastAsia="Noto Sans Arabic" w:cs="Noto Sans Arabic"/>
                <w:b w:val="0"/>
                <w:color w:val="14253D"/>
                <w:sz w:val="17"/>
                <w:rtl w:val="1"/>
              </w:rPr>
              <w:t>الأموال المقيدة</w:t>
            </w:r>
          </w:p>
        </w:tc>
        <w:tc>
          <w:tcPr>
            <w:tcW w:type="dxa" w:w="2509"/>
            <w:tcBorders>
              <w:top w:val="single" w:sz="18" w:color="941E3D"/>
              <w:bottom w:val="single" w:sz="4" w:color="E4DCE0"/>
              <w:start w:val="single" w:sz="4" w:color="E4DCE0"/>
              <w:end w:val="single" w:sz="4" w:color="E4DCE0"/>
              <w:insideH w:val="nil" w:sz="6" w:color="D9CDD3"/>
              <w:insideV w:val="nil" w:sz="6" w:color="D9CDD3"/>
            </w:tcBorders>
            <w:tcMar>
              <w:top w:w="120" w:type="dxa"/>
              <w:start w:w="100" w:type="dxa"/>
              <w:bottom w:w="120" w:type="dxa"/>
              <w:end w:w="100" w:type="dxa"/>
            </w:tcMar>
            <w:shd w:fill="F7F4F6"/>
          </w:tcPr>
          <w:p>
            <w:pPr>
              <w:spacing w:after="0"/>
              <w:jc w:val="center"/>
              <w:bidi w:val="1"/>
            </w:pPr>
            <w:r/>
            <w:r>
              <w:rPr>
                <w:rFonts w:ascii="Noto Kufi Arabic" w:hAnsi="Noto Kufi Arabic" w:eastAsia="Noto Kufi Arabic" w:cs="Noto Kufi Arabic"/>
                <w:b/>
                <w:color w:val="941E3D"/>
                <w:sz w:val="34"/>
                <w:rtl w:val="1"/>
              </w:rPr>
              <w:t>٦٣٤٬٦٦١ ريال</w:t>
            </w:r>
          </w:p>
          <w:p>
            <w:pPr>
              <w:spacing w:after="0"/>
              <w:jc w:val="center"/>
              <w:bidi w:val="1"/>
            </w:pPr>
            <w:r>
              <w:rPr>
                <w:rFonts w:ascii="Noto Sans Arabic" w:hAnsi="Noto Sans Arabic" w:eastAsia="Noto Sans Arabic" w:cs="Noto Sans Arabic"/>
                <w:b w:val="0"/>
                <w:color w:val="14253D"/>
                <w:sz w:val="17"/>
                <w:rtl w:val="1"/>
              </w:rPr>
              <w:t>الأموال غير المقيدة</w:t>
            </w:r>
          </w:p>
        </w:tc>
      </w:tr>
    </w:tbl>
    <w:p>
      <w:pPr>
        <w:spacing w:after="20"/>
      </w:pPr>
    </w:p>
    <w:p>
      <w:pPr>
        <w:spacing w:after="120" w:before="120"/>
        <w:jc w:val="right"/>
        <w:bidi w:val="1"/>
      </w:pPr>
      <w:r>
        <w:rPr>
          <w:rFonts w:ascii="Noto Kufi Arabic" w:hAnsi="Noto Kufi Arabic" w:eastAsia="Noto Kufi Arabic" w:cs="Noto Kufi Arabic"/>
          <w:b/>
          <w:color w:val="941E3D"/>
          <w:sz w:val="24"/>
          <w:rtl w:val="1"/>
        </w:rPr>
        <w:t>الأرصدة المصرفية</w:t>
      </w:r>
    </w:p>
    <w:tbl>
      <w:tblPr>
        <w:tblW w:type="auto" w:w="0"/>
        <w:jc w:val="center"/>
        <w:tblLayout w:type="fixed"/>
        <w:tblLook w:firstColumn="1" w:firstRow="1" w:lastColumn="0" w:lastRow="0" w:noHBand="0" w:noVBand="1" w:val="04A0"/>
        <w:bidiVisual w:val="1"/>
      </w:tblPr>
      <w:tblGrid>
        <w:gridCol w:w="5298"/>
        <w:gridCol w:w="5298"/>
      </w:tblGrid>
      <w:tr>
        <w:trPr>
          <w:tblHeader w:val="true"/>
          <w:cantSplit/>
        </w:trPr>
        <w:tc>
          <w:tcPr>
            <w:tcW w:type="dxa" w:w="6236"/>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8"/>
                <w:rtl w:val="1"/>
              </w:rPr>
              <w:t>البنك / المصرف</w:t>
            </w:r>
          </w:p>
        </w:tc>
        <w:tc>
          <w:tcPr>
            <w:tcW w:type="dxa" w:w="3742"/>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8"/>
                <w:rtl w:val="1"/>
              </w:rPr>
              <w:t>الرصيد</w:t>
            </w:r>
          </w:p>
        </w:tc>
      </w:tr>
      <w:tr>
        <w:trPr>
          <w:cantSplit/>
        </w:trPr>
        <w:tc>
          <w:tcPr>
            <w:tcW w:type="dxa" w:w="5298"/>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البنك الأهلي</w:t>
            </w:r>
          </w:p>
        </w:tc>
        <w:tc>
          <w:tcPr>
            <w:tcW w:type="dxa" w:w="5298"/>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٩٣٠٬٧٠٢</w:t>
            </w:r>
          </w:p>
        </w:tc>
      </w:tr>
      <w:tr>
        <w:trPr>
          <w:cantSplit/>
        </w:trPr>
        <w:tc>
          <w:tcPr>
            <w:tcW w:type="dxa" w:w="5298"/>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مصرف الراجحي</w:t>
            </w:r>
          </w:p>
        </w:tc>
        <w:tc>
          <w:tcPr>
            <w:tcW w:type="dxa" w:w="5298"/>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٧١٬٠٥٢</w:t>
            </w:r>
          </w:p>
        </w:tc>
      </w:tr>
      <w:tr>
        <w:trPr>
          <w:cantSplit/>
        </w:trPr>
        <w:tc>
          <w:tcPr>
            <w:tcW w:type="dxa" w:w="5298"/>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الإجمالي</w:t>
            </w:r>
          </w:p>
        </w:tc>
        <w:tc>
          <w:tcPr>
            <w:tcW w:type="dxa" w:w="5298"/>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١٬٠٠١٬٧٥٤</w:t>
            </w:r>
          </w:p>
        </w:tc>
      </w:tr>
    </w:tbl>
    <w:p>
      <w:pPr>
        <w:spacing w:after="120" w:before="120"/>
        <w:jc w:val="right"/>
        <w:bidi w:val="1"/>
      </w:pPr>
      <w:r>
        <w:rPr>
          <w:rFonts w:ascii="Noto Kufi Arabic" w:hAnsi="Noto Kufi Arabic" w:eastAsia="Noto Kufi Arabic" w:cs="Noto Kufi Arabic"/>
          <w:b/>
          <w:color w:val="941E3D"/>
          <w:sz w:val="24"/>
          <w:rtl w:val="1"/>
        </w:rPr>
        <w:t>حركة المركز المالي</w:t>
      </w:r>
    </w:p>
    <w:tbl>
      <w:tblPr>
        <w:tblW w:type="auto" w:w="0"/>
        <w:jc w:val="center"/>
        <w:tblLayout w:type="fixed"/>
        <w:tblLook w:firstColumn="1" w:firstRow="1" w:lastColumn="0" w:lastRow="0" w:noHBand="0" w:noVBand="1" w:val="04A0"/>
        <w:bidiVisual w:val="1"/>
      </w:tblPr>
      <w:tblGrid>
        <w:gridCol w:w="2119"/>
        <w:gridCol w:w="2119"/>
        <w:gridCol w:w="2119"/>
        <w:gridCol w:w="2119"/>
        <w:gridCol w:w="2119"/>
      </w:tblGrid>
      <w:tr>
        <w:trPr>
          <w:tblHeader w:val="true"/>
          <w:cantSplit/>
        </w:trPr>
        <w:tc>
          <w:tcPr>
            <w:tcW w:type="dxa" w:w="2551"/>
            <w:tcMar>
              <w:top w:w="55" w:type="dxa"/>
              <w:start w:w="55" w:type="dxa"/>
              <w:bottom w:w="55" w:type="dxa"/>
              <w:end w:w="55" w:type="dxa"/>
            </w:tcMar>
            <w:shd w:fill="941E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7"/>
                <w:rtl w:val="1"/>
              </w:rPr>
              <w:t>البند</w:t>
            </w:r>
          </w:p>
        </w:tc>
        <w:tc>
          <w:tcPr>
            <w:tcW w:type="dxa" w:w="1701"/>
            <w:tcMar>
              <w:top w:w="55" w:type="dxa"/>
              <w:start w:w="55" w:type="dxa"/>
              <w:bottom w:w="55" w:type="dxa"/>
              <w:end w:w="55" w:type="dxa"/>
            </w:tcMar>
            <w:shd w:fill="941E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7"/>
                <w:rtl w:val="1"/>
              </w:rPr>
              <w:t>رصيد أول المدة</w:t>
            </w:r>
          </w:p>
        </w:tc>
        <w:tc>
          <w:tcPr>
            <w:tcW w:type="dxa" w:w="1474"/>
            <w:tcMar>
              <w:top w:w="55" w:type="dxa"/>
              <w:start w:w="55" w:type="dxa"/>
              <w:bottom w:w="55" w:type="dxa"/>
              <w:end w:w="55" w:type="dxa"/>
            </w:tcMar>
            <w:shd w:fill="941E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7"/>
                <w:rtl w:val="1"/>
              </w:rPr>
              <w:t>مدين</w:t>
            </w:r>
          </w:p>
        </w:tc>
        <w:tc>
          <w:tcPr>
            <w:tcW w:type="dxa" w:w="1474"/>
            <w:tcMar>
              <w:top w:w="55" w:type="dxa"/>
              <w:start w:w="55" w:type="dxa"/>
              <w:bottom w:w="55" w:type="dxa"/>
              <w:end w:w="55" w:type="dxa"/>
            </w:tcMar>
            <w:shd w:fill="941E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7"/>
                <w:rtl w:val="1"/>
              </w:rPr>
              <w:t>دائن</w:t>
            </w:r>
          </w:p>
        </w:tc>
        <w:tc>
          <w:tcPr>
            <w:tcW w:type="dxa" w:w="2268"/>
            <w:tcMar>
              <w:top w:w="55" w:type="dxa"/>
              <w:start w:w="55" w:type="dxa"/>
              <w:bottom w:w="55" w:type="dxa"/>
              <w:end w:w="55" w:type="dxa"/>
            </w:tcMar>
            <w:shd w:fill="941E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7"/>
                <w:rtl w:val="1"/>
              </w:rPr>
              <w:t>رصيد ٣٠/٠٦/٢٠٢٦</w:t>
            </w:r>
          </w:p>
        </w:tc>
      </w:tr>
      <w:tr>
        <w:trPr>
          <w:cantSplit/>
        </w:trPr>
        <w:tc>
          <w:tcPr>
            <w:tcW w:type="dxa" w:w="211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7"/>
                <w:rtl w:val="1"/>
              </w:rPr>
              <w:t>الذمم المدينة</w:t>
            </w:r>
          </w:p>
        </w:tc>
        <w:tc>
          <w:tcPr>
            <w:tcW w:type="dxa" w:w="211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٩٬٠٠٠</w:t>
            </w:r>
          </w:p>
        </w:tc>
        <w:tc>
          <w:tcPr>
            <w:tcW w:type="dxa" w:w="211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٦٬٠٠٠</w:t>
            </w:r>
          </w:p>
        </w:tc>
        <w:tc>
          <w:tcPr>
            <w:tcW w:type="dxa" w:w="211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٣٬٠٠٠</w:t>
            </w:r>
          </w:p>
        </w:tc>
        <w:tc>
          <w:tcPr>
            <w:tcW w:type="dxa" w:w="211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١٢٬٠٠٠</w:t>
            </w:r>
          </w:p>
        </w:tc>
      </w:tr>
      <w:tr>
        <w:trPr>
          <w:cantSplit/>
        </w:trPr>
        <w:tc>
          <w:tcPr>
            <w:tcW w:type="dxa" w:w="211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7"/>
                <w:rtl w:val="1"/>
              </w:rPr>
              <w:t>الالتزامات الدائنة</w:t>
            </w:r>
          </w:p>
        </w:tc>
        <w:tc>
          <w:tcPr>
            <w:tcW w:type="dxa" w:w="211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١٨٬٢١١</w:t>
            </w:r>
          </w:p>
        </w:tc>
        <w:tc>
          <w:tcPr>
            <w:tcW w:type="dxa" w:w="211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١٣٬٢١١</w:t>
            </w:r>
          </w:p>
        </w:tc>
        <w:tc>
          <w:tcPr>
            <w:tcW w:type="dxa" w:w="211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٠</w:t>
            </w:r>
          </w:p>
        </w:tc>
        <w:tc>
          <w:tcPr>
            <w:tcW w:type="dxa" w:w="211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٥٬٠٠٠</w:t>
            </w:r>
          </w:p>
        </w:tc>
      </w:tr>
      <w:tr>
        <w:trPr>
          <w:cantSplit/>
        </w:trPr>
        <w:tc>
          <w:tcPr>
            <w:tcW w:type="dxa" w:w="211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7"/>
                <w:rtl w:val="1"/>
              </w:rPr>
              <w:t>صافي الأصول</w:t>
            </w:r>
          </w:p>
        </w:tc>
        <w:tc>
          <w:tcPr>
            <w:tcW w:type="dxa" w:w="211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٨٦٤٬٠٤٥</w:t>
            </w:r>
          </w:p>
        </w:tc>
        <w:tc>
          <w:tcPr>
            <w:tcW w:type="dxa" w:w="211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٤٧٣٬٤٩٩</w:t>
            </w:r>
          </w:p>
        </w:tc>
        <w:tc>
          <w:tcPr>
            <w:tcW w:type="dxa" w:w="211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٥٨٢٬١٦٧</w:t>
            </w:r>
          </w:p>
        </w:tc>
        <w:tc>
          <w:tcPr>
            <w:tcW w:type="dxa" w:w="211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٩٧٢٬٧١٣</w:t>
            </w:r>
          </w:p>
        </w:tc>
      </w:tr>
    </w:tbl>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تفصيل الالتزامات المرحلة من عام ٢٠٢٥م</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٠٢</w:t>
            </w:r>
          </w:p>
        </w:tc>
      </w:tr>
    </w:tbl>
    <w:p>
      <w:pPr>
        <w:spacing w:after="140" w:line="293" w:lineRule="auto"/>
        <w:jc w:val="right"/>
        <w:bidi w:val="1"/>
      </w:pPr>
      <w:r>
        <w:rPr>
          <w:rFonts w:ascii="Noto Sans Arabic" w:hAnsi="Noto Sans Arabic" w:eastAsia="Noto Sans Arabic" w:cs="Noto Sans Arabic"/>
          <w:b w:val="0"/>
          <w:color w:val="6F7480"/>
          <w:sz w:val="19"/>
          <w:rtl w:val="1"/>
        </w:rPr>
        <w:t>يوضح البيان التالي الالتزامات التي رُحلت من عام ٢٠٢٥م، وما تم تسديده منها خلال النصف الأول من ٢٠٢٦م.</w:t>
      </w:r>
    </w:p>
    <w:tbl>
      <w:tblPr>
        <w:tblW w:type="auto" w:w="0"/>
        <w:jc w:val="center"/>
        <w:tblLayout w:type="fixed"/>
        <w:tblLook w:firstColumn="1" w:firstRow="1" w:lastColumn="0" w:lastRow="0" w:noHBand="0" w:noVBand="1" w:val="04A0"/>
        <w:bidiVisual w:val="1"/>
      </w:tblPr>
      <w:tblGrid>
        <w:gridCol w:w="5298"/>
        <w:gridCol w:w="5298"/>
      </w:tblGrid>
      <w:tr>
        <w:trPr>
          <w:tblHeader w:val="true"/>
          <w:cantSplit/>
        </w:trPr>
        <w:tc>
          <w:tcPr>
            <w:tcW w:type="dxa" w:w="7654"/>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5"/>
                <w:rtl w:val="1"/>
              </w:rPr>
              <w:t>البيان</w:t>
            </w:r>
          </w:p>
        </w:tc>
        <w:tc>
          <w:tcPr>
            <w:tcW w:type="dxa" w:w="2324"/>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5"/>
                <w:rtl w:val="1"/>
              </w:rPr>
              <w:t>القيمة</w:t>
            </w:r>
          </w:p>
        </w:tc>
      </w:tr>
      <w:tr>
        <w:trPr>
          <w:cantSplit/>
        </w:trPr>
        <w:tc>
          <w:tcPr>
            <w:tcW w:type="dxa" w:w="5298"/>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إيجار شهر للمقر السابق - ديسمبر ٢٠٢٥م</w:t>
            </w:r>
          </w:p>
        </w:tc>
        <w:tc>
          <w:tcPr>
            <w:tcW w:type="dxa" w:w="5298"/>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٥٬٨٣٣</w:t>
            </w:r>
          </w:p>
        </w:tc>
      </w:tr>
      <w:tr>
        <w:trPr>
          <w:cantSplit/>
        </w:trPr>
        <w:tc>
          <w:tcPr>
            <w:tcW w:type="dxa" w:w="5298"/>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مؤسسة مؤشرات النجاح الإدارية - الحوكمة والتطوير المؤسسي</w:t>
            </w:r>
          </w:p>
        </w:tc>
        <w:tc>
          <w:tcPr>
            <w:tcW w:type="dxa" w:w="5298"/>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٥٬٠٠٠</w:t>
            </w:r>
          </w:p>
        </w:tc>
      </w:tr>
      <w:tr>
        <w:trPr>
          <w:cantSplit/>
        </w:trPr>
        <w:tc>
          <w:tcPr>
            <w:tcW w:type="dxa" w:w="5298"/>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المحاسب القانوني - رائد الأحمدي - مراجعة وإعداد القوائم المالية ٢٠٢٥م</w:t>
            </w:r>
          </w:p>
        </w:tc>
        <w:tc>
          <w:tcPr>
            <w:tcW w:type="dxa" w:w="5298"/>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٤٬٦٠٠</w:t>
            </w:r>
          </w:p>
        </w:tc>
      </w:tr>
      <w:tr>
        <w:trPr>
          <w:cantSplit/>
        </w:trPr>
        <w:tc>
          <w:tcPr>
            <w:tcW w:type="dxa" w:w="5298"/>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المحاسب المتعاون محمد الحسن - أعمال إقفال ٢٠٢٥م</w:t>
            </w:r>
          </w:p>
        </w:tc>
        <w:tc>
          <w:tcPr>
            <w:tcW w:type="dxa" w:w="5298"/>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٢٬٠٠٠</w:t>
            </w:r>
          </w:p>
        </w:tc>
      </w:tr>
      <w:tr>
        <w:trPr>
          <w:cantSplit/>
        </w:trPr>
        <w:tc>
          <w:tcPr>
            <w:tcW w:type="dxa" w:w="5298"/>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مخصص نهاية خدمة الموظف وائل محمد ثلاب هاشم علي</w:t>
            </w:r>
          </w:p>
        </w:tc>
        <w:tc>
          <w:tcPr>
            <w:tcW w:type="dxa" w:w="5298"/>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٧٧٨</w:t>
            </w:r>
          </w:p>
        </w:tc>
      </w:tr>
      <w:tr>
        <w:trPr>
          <w:cantSplit/>
        </w:trPr>
        <w:tc>
          <w:tcPr>
            <w:tcW w:type="dxa" w:w="5298"/>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الإجمالي</w:t>
            </w:r>
          </w:p>
        </w:tc>
        <w:tc>
          <w:tcPr>
            <w:tcW w:type="dxa" w:w="5298"/>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١٨٬٢١١</w:t>
            </w:r>
          </w:p>
        </w:tc>
      </w:tr>
    </w:tbl>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الأصول الثابتة</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٠٢</w:t>
            </w:r>
          </w:p>
        </w:tc>
      </w:tr>
    </w:tbl>
    <w:p>
      <w:pPr>
        <w:spacing w:after="120" w:line="293" w:lineRule="auto"/>
        <w:jc w:val="right"/>
        <w:bidi w:val="1"/>
      </w:pPr>
      <w:r>
        <w:rPr>
          <w:rFonts w:ascii="Noto Sans Arabic" w:hAnsi="Noto Sans Arabic" w:eastAsia="Noto Sans Arabic" w:cs="Noto Sans Arabic"/>
          <w:b w:val="0"/>
          <w:color w:val="243044"/>
          <w:sz w:val="20"/>
          <w:rtl w:val="1"/>
        </w:rPr>
        <w:t>بلغت مصروفات الأصول الثابتة خلال النصف الأول من عام ٢٠٢٦م ١٥٬٦٢٠٫٨٠ ريال، مقابل ٣٤٬٧٧٥٫٥٠ ريال خلال النصف الأول من عام ٢٠٢٥م.</w:t>
      </w:r>
    </w:p>
    <w:tbl>
      <w:tblPr>
        <w:tblW w:type="auto" w:w="0"/>
        <w:jc w:val="center"/>
        <w:tblLayout w:type="fixed"/>
        <w:tblLook w:firstColumn="1" w:firstRow="1" w:lastColumn="0" w:lastRow="0" w:noHBand="0" w:noVBand="1" w:val="04A0"/>
        <w:bidiVisual w:val="1"/>
      </w:tblPr>
      <w:tblGrid>
        <w:gridCol w:w="2649"/>
        <w:gridCol w:w="2649"/>
        <w:gridCol w:w="2649"/>
        <w:gridCol w:w="2649"/>
      </w:tblGrid>
      <w:tr>
        <w:trPr>
          <w:tblHeader w:val="true"/>
          <w:cantSplit/>
        </w:trPr>
        <w:tc>
          <w:tcPr>
            <w:tcW w:type="dxa" w:w="4649"/>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7"/>
                <w:rtl w:val="1"/>
              </w:rPr>
              <w:t>أصل ٢٠٢٦م</w:t>
            </w:r>
          </w:p>
        </w:tc>
        <w:tc>
          <w:tcPr>
            <w:tcW w:type="dxa" w:w="1304"/>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7"/>
                <w:rtl w:val="1"/>
              </w:rPr>
              <w:t>العدد</w:t>
            </w:r>
          </w:p>
        </w:tc>
        <w:tc>
          <w:tcPr>
            <w:tcW w:type="dxa" w:w="2098"/>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7"/>
                <w:rtl w:val="1"/>
              </w:rPr>
              <w:t>التاريخ</w:t>
            </w:r>
          </w:p>
        </w:tc>
        <w:tc>
          <w:tcPr>
            <w:tcW w:type="dxa" w:w="1928"/>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7"/>
                <w:rtl w:val="1"/>
              </w:rPr>
              <w:t>القيمة</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7"/>
                <w:rtl w:val="1"/>
              </w:rPr>
              <w:t>طابعة ليزر ملون HP</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١</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١١/٠٥/٢٠٢٦</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١٬٣٥٠</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7"/>
                <w:rtl w:val="1"/>
              </w:rPr>
              <w:t>كرسي انتظار كروم</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٣</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٢٧/٠٦/٢٠٢٦</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١٬٠٥٠</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7"/>
                <w:rtl w:val="1"/>
              </w:rPr>
              <w:t>مكتب سكرتارية خشب بني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٦</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٢٧/٠٦/٢٠٢٦</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٤٬٦٨٠</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7"/>
                <w:rtl w:val="1"/>
              </w:rPr>
              <w:t>كرسي دوار جلد رصاصي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٦</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٢٧/٠٦/٢٠٢٦</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٢٬٧٠٠</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7"/>
                <w:rtl w:val="1"/>
              </w:rPr>
              <w:t>مكيفات أوجين ٢٤ وحدة</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٣</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٢٧/٠٦/٢٠٢٦</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٤٬٥٩٠٫٨٠</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7"/>
                <w:rtl w:val="1"/>
              </w:rPr>
              <w:t>خزينة</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١</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٢٧/٠٦/٢٠٢٦</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١٬٢٥٠</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7"/>
                <w:rtl w:val="1"/>
              </w:rPr>
              <w:t>الإجمالي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١٥٬٦٢٠٫٨٠</w:t>
            </w:r>
          </w:p>
        </w:tc>
      </w:tr>
    </w:tbl>
    <w:tbl>
      <w:tblPr>
        <w:tblW w:type="auto" w:w="0"/>
        <w:jc w:val="center"/>
        <w:tblLook w:firstColumn="1" w:firstRow="1" w:lastColumn="0" w:lastRow="0" w:noHBand="0" w:noVBand="1" w:val="04A0"/>
        <w:bidiVisual w:val="1"/>
      </w:tblPr>
      <w:tblGrid>
        <w:gridCol w:w="5298"/>
        <w:gridCol w:w="5298"/>
      </w:tblGrid>
      <w:tr>
        <w:trPr>
          <w:cantSplit/>
        </w:trPr>
        <w:tc>
          <w:tcPr>
            <w:tcW w:type="dxa" w:w="9581"/>
            <w:tcBorders>
              <w:top w:val="nil" w:sz="6" w:color="D9CDD3"/>
              <w:bottom w:val="nil" w:sz="6" w:color="D9CDD3"/>
              <w:start w:val="nil" w:sz="6" w:color="D9CDD3"/>
              <w:end w:val="nil" w:sz="6" w:color="D9CDD3"/>
              <w:insideH w:val="nil" w:sz="6" w:color="D9CDD3"/>
              <w:insideV w:val="nil" w:sz="6" w:color="D9CDD3"/>
            </w:tcBorders>
            <w:tcMar>
              <w:top w:w="120" w:type="dxa"/>
              <w:start w:w="160" w:type="dxa"/>
              <w:bottom w:w="120" w:type="dxa"/>
              <w:end w:w="160" w:type="dxa"/>
            </w:tcMar>
            <w:shd w:fill="F4EDF0"/>
          </w:tcPr>
          <w:p>
            <w:pPr>
              <w:spacing w:after="0"/>
              <w:jc w:val="right"/>
              <w:bidi w:val="1"/>
            </w:pPr>
            <w:r/>
            <w:r>
              <w:rPr>
                <w:rFonts w:ascii="Noto Kufi Arabic" w:hAnsi="Noto Kufi Arabic" w:eastAsia="Noto Kufi Arabic" w:cs="Noto Kufi Arabic"/>
                <w:b/>
                <w:color w:val="941E3D"/>
                <w:sz w:val="19"/>
                <w:rtl w:val="1"/>
              </w:rPr>
              <w:t>مقارنة</w:t>
            </w:r>
          </w:p>
          <w:p>
            <w:pPr>
              <w:spacing w:after="0"/>
              <w:jc w:val="right"/>
              <w:bidi w:val="1"/>
            </w:pPr>
            <w:r>
              <w:rPr>
                <w:rFonts w:ascii="Noto Sans Arabic" w:hAnsi="Noto Sans Arabic" w:eastAsia="Noto Sans Arabic" w:cs="Noto Sans Arabic"/>
                <w:b w:val="0"/>
                <w:color w:val="243044"/>
                <w:sz w:val="19"/>
                <w:rtl w:val="1"/>
              </w:rPr>
              <w:t>انخفض الإنفاق على الأصول الثابتة من ٣٤٬٧٧٥٫٥٠ ريال في ٢٠٢٥م إلى ١٥٬٦٢٠٫٨٠ ريال في ٢٠٢٦م، وهو متسق مع انتقال الإنفاق من مرحلة التأسيس إلى التشغيل.</w:t>
            </w:r>
          </w:p>
        </w:tc>
        <w:tc>
          <w:tcPr>
            <w:tcW w:type="dxa" w:w="255"/>
            <w:tcBorders>
              <w:top w:val="nil" w:sz="6" w:color="D9CDD3"/>
              <w:bottom w:val="nil" w:sz="6" w:color="D9CDD3"/>
              <w:start w:val="nil" w:sz="6" w:color="D9CDD3"/>
              <w:end w:val="nil" w:sz="6" w:color="D9CDD3"/>
              <w:insideH w:val="nil" w:sz="6" w:color="D9CDD3"/>
              <w:insideV w:val="nil" w:sz="6" w:color="D9CDD3"/>
            </w:tcBorders>
            <w:tcMar>
              <w:top w:w="90" w:type="dxa"/>
              <w:start w:w="90" w:type="dxa"/>
              <w:bottom w:w="90" w:type="dxa"/>
              <w:end w:w="90" w:type="dxa"/>
            </w:tcMar>
            <w:shd w:fill="941E3D"/>
          </w:tcPr>
          <w:p>
            <w:r/>
          </w:p>
        </w:tc>
      </w:tr>
    </w:tbl>
    <w:p>
      <w:pPr>
        <w:spacing w:after="40"/>
      </w:pPr>
    </w:p>
    <w:tbl>
      <w:tblPr>
        <w:tblW w:type="auto" w:w="0"/>
        <w:jc w:val="center"/>
        <w:tblLook w:firstColumn="1" w:firstRow="1" w:lastColumn="0" w:lastRow="0" w:noHBand="0" w:noVBand="1" w:val="04A0"/>
        <w:bidiVisual w:val="1"/>
      </w:tblPr>
      <w:tblGrid>
        <w:gridCol w:w="5298"/>
        <w:gridCol w:w="5298"/>
      </w:tblGrid>
      <w:tr>
        <w:trPr>
          <w:cantSplit/>
        </w:trPr>
        <w:tc>
          <w:tcPr>
            <w:tcW w:type="dxa" w:w="9581"/>
            <w:tcBorders>
              <w:top w:val="nil" w:sz="6" w:color="D9CDD3"/>
              <w:bottom w:val="nil" w:sz="6" w:color="D9CDD3"/>
              <w:start w:val="nil" w:sz="6" w:color="D9CDD3"/>
              <w:end w:val="nil" w:sz="6" w:color="D9CDD3"/>
              <w:insideH w:val="nil" w:sz="6" w:color="D9CDD3"/>
              <w:insideV w:val="nil" w:sz="6" w:color="D9CDD3"/>
            </w:tcBorders>
            <w:tcMar>
              <w:top w:w="120" w:type="dxa"/>
              <w:start w:w="160" w:type="dxa"/>
              <w:bottom w:w="120" w:type="dxa"/>
              <w:end w:w="160" w:type="dxa"/>
            </w:tcMar>
            <w:shd w:fill="F5F7F9"/>
          </w:tcPr>
          <w:p>
            <w:pPr>
              <w:spacing w:after="0"/>
              <w:jc w:val="right"/>
              <w:bidi w:val="1"/>
            </w:pPr>
            <w:r/>
            <w:r>
              <w:rPr>
                <w:rFonts w:ascii="Noto Kufi Arabic" w:hAnsi="Noto Kufi Arabic" w:eastAsia="Noto Kufi Arabic" w:cs="Noto Kufi Arabic"/>
                <w:b/>
                <w:color w:val="14253D"/>
                <w:sz w:val="19"/>
                <w:rtl w:val="1"/>
              </w:rPr>
              <w:t>تفاصيل ٢٠٢٥م</w:t>
            </w:r>
          </w:p>
          <w:p>
            <w:pPr>
              <w:spacing w:after="0"/>
              <w:jc w:val="right"/>
              <w:bidi w:val="1"/>
            </w:pPr>
            <w:r>
              <w:rPr>
                <w:rFonts w:ascii="Noto Sans Arabic" w:hAnsi="Noto Sans Arabic" w:eastAsia="Noto Sans Arabic" w:cs="Noto Sans Arabic"/>
                <w:b w:val="0"/>
                <w:color w:val="243044"/>
                <w:sz w:val="19"/>
                <w:rtl w:val="1"/>
              </w:rPr>
              <w:t>ترد تفاصيل أصول عام ٢٠٢٥م كاملة في الملحق (٣)، بما في ذلك الأجهزة المكتبية والأثاث والمكيفات وأجهزة الاتصال.</w:t>
            </w:r>
          </w:p>
        </w:tc>
        <w:tc>
          <w:tcPr>
            <w:tcW w:type="dxa" w:w="255"/>
            <w:tcBorders>
              <w:top w:val="nil" w:sz="6" w:color="D9CDD3"/>
              <w:bottom w:val="nil" w:sz="6" w:color="D9CDD3"/>
              <w:start w:val="nil" w:sz="6" w:color="D9CDD3"/>
              <w:end w:val="nil" w:sz="6" w:color="D9CDD3"/>
              <w:insideH w:val="nil" w:sz="6" w:color="D9CDD3"/>
              <w:insideV w:val="nil" w:sz="6" w:color="D9CDD3"/>
            </w:tcBorders>
            <w:tcMar>
              <w:top w:w="90" w:type="dxa"/>
              <w:start w:w="90" w:type="dxa"/>
              <w:bottom w:w="90" w:type="dxa"/>
              <w:end w:w="90" w:type="dxa"/>
            </w:tcMar>
            <w:shd w:fill="14253D"/>
          </w:tcPr>
          <w:p>
            <w:r/>
          </w:p>
        </w:tc>
      </w:tr>
    </w:tbl>
    <w:p>
      <w:pPr>
        <w:spacing w:after="40"/>
      </w:pPr>
    </w:p>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البرامج والخدمات الطبية</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٠٣</w:t>
            </w:r>
          </w:p>
        </w:tc>
      </w:tr>
    </w:tbl>
    <w:tbl>
      <w:tblPr>
        <w:tblW w:type="auto" w:w="0"/>
        <w:jc w:val="center"/>
        <w:tblLook w:firstColumn="1" w:firstRow="1" w:lastColumn="0" w:lastRow="0" w:noHBand="0" w:noVBand="1" w:val="04A0"/>
        <w:bidiVisual w:val="1"/>
      </w:tblPr>
      <w:tblGrid>
        <w:gridCol w:w="3532"/>
        <w:gridCol w:w="3532"/>
        <w:gridCol w:w="3532"/>
      </w:tblGrid>
      <w:tr>
        <w:tc>
          <w:tcPr>
            <w:tcW w:type="dxa" w:w="3345"/>
            <w:tcBorders>
              <w:top w:val="single" w:sz="18" w:color="941E3D"/>
              <w:bottom w:val="single" w:sz="4" w:color="E4DCE0"/>
              <w:start w:val="single" w:sz="4" w:color="E4DCE0"/>
              <w:end w:val="single" w:sz="4" w:color="E4DCE0"/>
              <w:insideH w:val="nil" w:sz="6" w:color="D9CDD3"/>
              <w:insideV w:val="nil" w:sz="6" w:color="D9CDD3"/>
            </w:tcBorders>
            <w:tcMar>
              <w:top w:w="120" w:type="dxa"/>
              <w:start w:w="100" w:type="dxa"/>
              <w:bottom w:w="120" w:type="dxa"/>
              <w:end w:w="100" w:type="dxa"/>
            </w:tcMar>
            <w:shd w:fill="F7F4F6"/>
          </w:tcPr>
          <w:p>
            <w:pPr>
              <w:spacing w:after="0"/>
              <w:jc w:val="center"/>
              <w:bidi w:val="1"/>
            </w:pPr>
            <w:r/>
            <w:r>
              <w:rPr>
                <w:rFonts w:ascii="Noto Kufi Arabic" w:hAnsi="Noto Kufi Arabic" w:eastAsia="Noto Kufi Arabic" w:cs="Noto Kufi Arabic"/>
                <w:b/>
                <w:color w:val="941E3D"/>
                <w:sz w:val="34"/>
                <w:rtl w:val="1"/>
              </w:rPr>
              <w:t>٢٠٨٬٦٠٥ ريال</w:t>
            </w:r>
          </w:p>
          <w:p>
            <w:pPr>
              <w:spacing w:after="0"/>
              <w:jc w:val="center"/>
              <w:bidi w:val="1"/>
            </w:pPr>
            <w:r>
              <w:rPr>
                <w:rFonts w:ascii="Noto Sans Arabic" w:hAnsi="Noto Sans Arabic" w:eastAsia="Noto Sans Arabic" w:cs="Noto Sans Arabic"/>
                <w:b w:val="0"/>
                <w:color w:val="14253D"/>
                <w:sz w:val="17"/>
                <w:rtl w:val="1"/>
              </w:rPr>
              <w:t>المساعدات الطبية ٢٠٢٦م</w:t>
            </w:r>
          </w:p>
        </w:tc>
        <w:tc>
          <w:tcPr>
            <w:tcW w:type="dxa" w:w="3345"/>
            <w:tcBorders>
              <w:top w:val="single" w:sz="18" w:color="941E3D"/>
              <w:bottom w:val="single" w:sz="4" w:color="E4DCE0"/>
              <w:start w:val="single" w:sz="4" w:color="E4DCE0"/>
              <w:end w:val="single" w:sz="4" w:color="E4DCE0"/>
              <w:insideH w:val="nil" w:sz="6" w:color="D9CDD3"/>
              <w:insideV w:val="nil" w:sz="6" w:color="D9CDD3"/>
            </w:tcBorders>
            <w:tcMar>
              <w:top w:w="120" w:type="dxa"/>
              <w:start w:w="100" w:type="dxa"/>
              <w:bottom w:w="120" w:type="dxa"/>
              <w:end w:w="100" w:type="dxa"/>
            </w:tcMar>
            <w:shd w:fill="F7F4F6"/>
          </w:tcPr>
          <w:p>
            <w:pPr>
              <w:spacing w:after="0"/>
              <w:jc w:val="center"/>
              <w:bidi w:val="1"/>
            </w:pPr>
            <w:r/>
            <w:r>
              <w:rPr>
                <w:rFonts w:ascii="Noto Kufi Arabic" w:hAnsi="Noto Kufi Arabic" w:eastAsia="Noto Kufi Arabic" w:cs="Noto Kufi Arabic"/>
                <w:b/>
                <w:color w:val="941E3D"/>
                <w:sz w:val="34"/>
                <w:rtl w:val="1"/>
              </w:rPr>
              <w:t>٢٠٬٠٠٠ ريال</w:t>
            </w:r>
          </w:p>
          <w:p>
            <w:pPr>
              <w:spacing w:after="0"/>
              <w:jc w:val="center"/>
              <w:bidi w:val="1"/>
            </w:pPr>
            <w:r>
              <w:rPr>
                <w:rFonts w:ascii="Noto Sans Arabic" w:hAnsi="Noto Sans Arabic" w:eastAsia="Noto Sans Arabic" w:cs="Noto Sans Arabic"/>
                <w:b w:val="0"/>
                <w:color w:val="14253D"/>
                <w:sz w:val="17"/>
                <w:rtl w:val="1"/>
              </w:rPr>
              <w:t>المساعدات الطبية ٢٠٢٥م</w:t>
            </w:r>
          </w:p>
        </w:tc>
        <w:tc>
          <w:tcPr>
            <w:tcW w:type="dxa" w:w="3345"/>
            <w:tcBorders>
              <w:top w:val="single" w:sz="18" w:color="941E3D"/>
              <w:bottom w:val="single" w:sz="4" w:color="E4DCE0"/>
              <w:start w:val="single" w:sz="4" w:color="E4DCE0"/>
              <w:end w:val="single" w:sz="4" w:color="E4DCE0"/>
              <w:insideH w:val="nil" w:sz="6" w:color="D9CDD3"/>
              <w:insideV w:val="nil" w:sz="6" w:color="D9CDD3"/>
            </w:tcBorders>
            <w:tcMar>
              <w:top w:w="120" w:type="dxa"/>
              <w:start w:w="100" w:type="dxa"/>
              <w:bottom w:w="120" w:type="dxa"/>
              <w:end w:w="100" w:type="dxa"/>
            </w:tcMar>
            <w:shd w:fill="F7F4F6"/>
          </w:tcPr>
          <w:p>
            <w:pPr>
              <w:spacing w:after="0"/>
              <w:jc w:val="center"/>
              <w:bidi w:val="1"/>
            </w:pPr>
            <w:r/>
            <w:r>
              <w:rPr>
                <w:rFonts w:ascii="Noto Kufi Arabic" w:hAnsi="Noto Kufi Arabic" w:eastAsia="Noto Kufi Arabic" w:cs="Noto Kufi Arabic"/>
                <w:b/>
                <w:color w:val="941E3D"/>
                <w:sz w:val="34"/>
                <w:rtl w:val="1"/>
              </w:rPr>
              <w:t>٧ حالات</w:t>
            </w:r>
          </w:p>
          <w:p>
            <w:pPr>
              <w:spacing w:after="0"/>
              <w:jc w:val="center"/>
              <w:bidi w:val="1"/>
            </w:pPr>
            <w:r>
              <w:rPr>
                <w:rFonts w:ascii="Noto Sans Arabic" w:hAnsi="Noto Sans Arabic" w:eastAsia="Noto Sans Arabic" w:cs="Noto Sans Arabic"/>
                <w:b w:val="0"/>
                <w:color w:val="14253D"/>
                <w:sz w:val="17"/>
                <w:rtl w:val="1"/>
              </w:rPr>
              <w:t>الحالات المدعومة</w:t>
            </w:r>
          </w:p>
        </w:tc>
      </w:tr>
      <w:tr>
        <w:tc>
          <w:tcPr>
            <w:tcW w:type="dxa" w:w="3345"/>
            <w:tcBorders>
              <w:top w:val="single" w:sz="18" w:color="941E3D"/>
              <w:bottom w:val="single" w:sz="4" w:color="E4DCE0"/>
              <w:start w:val="single" w:sz="4" w:color="E4DCE0"/>
              <w:end w:val="single" w:sz="4" w:color="E4DCE0"/>
              <w:insideH w:val="nil" w:sz="6" w:color="D9CDD3"/>
              <w:insideV w:val="nil" w:sz="6" w:color="D9CDD3"/>
            </w:tcBorders>
            <w:tcMar>
              <w:top w:w="120" w:type="dxa"/>
              <w:start w:w="100" w:type="dxa"/>
              <w:bottom w:w="120" w:type="dxa"/>
              <w:end w:w="100" w:type="dxa"/>
            </w:tcMar>
            <w:shd w:fill="F7F4F6"/>
          </w:tcPr>
          <w:p>
            <w:pPr>
              <w:spacing w:after="0"/>
              <w:jc w:val="center"/>
              <w:bidi w:val="1"/>
            </w:pPr>
            <w:r/>
            <w:r>
              <w:rPr>
                <w:rFonts w:ascii="Noto Kufi Arabic" w:hAnsi="Noto Kufi Arabic" w:eastAsia="Noto Kufi Arabic" w:cs="Noto Kufi Arabic"/>
                <w:b/>
                <w:color w:val="941E3D"/>
                <w:sz w:val="34"/>
                <w:rtl w:val="1"/>
              </w:rPr>
              <w:t>٢١ حالة</w:t>
            </w:r>
          </w:p>
          <w:p>
            <w:pPr>
              <w:spacing w:after="0"/>
              <w:jc w:val="center"/>
              <w:bidi w:val="1"/>
            </w:pPr>
            <w:r>
              <w:rPr>
                <w:rFonts w:ascii="Noto Sans Arabic" w:hAnsi="Noto Sans Arabic" w:eastAsia="Noto Sans Arabic" w:cs="Noto Sans Arabic"/>
                <w:b w:val="0"/>
                <w:color w:val="14253D"/>
                <w:sz w:val="17"/>
                <w:rtl w:val="1"/>
              </w:rPr>
              <w:t>إجمالي المتقدمين</w:t>
            </w:r>
          </w:p>
        </w:tc>
        <w:tc>
          <w:tcPr>
            <w:tcW w:type="dxa" w:w="3345"/>
            <w:tcBorders>
              <w:top w:val="single" w:sz="18" w:color="941E3D"/>
              <w:bottom w:val="single" w:sz="4" w:color="E4DCE0"/>
              <w:start w:val="single" w:sz="4" w:color="E4DCE0"/>
              <w:end w:val="single" w:sz="4" w:color="E4DCE0"/>
              <w:insideH w:val="nil" w:sz="6" w:color="D9CDD3"/>
              <w:insideV w:val="nil" w:sz="6" w:color="D9CDD3"/>
            </w:tcBorders>
            <w:tcMar>
              <w:top w:w="120" w:type="dxa"/>
              <w:start w:w="100" w:type="dxa"/>
              <w:bottom w:w="120" w:type="dxa"/>
              <w:end w:w="100" w:type="dxa"/>
            </w:tcMar>
            <w:shd w:fill="F7F4F6"/>
          </w:tcPr>
          <w:p>
            <w:pPr>
              <w:spacing w:after="0"/>
              <w:jc w:val="center"/>
              <w:bidi w:val="1"/>
            </w:pPr>
            <w:r/>
            <w:r>
              <w:rPr>
                <w:rFonts w:ascii="Noto Kufi Arabic" w:hAnsi="Noto Kufi Arabic" w:eastAsia="Noto Kufi Arabic" w:cs="Noto Kufi Arabic"/>
                <w:b/>
                <w:color w:val="941E3D"/>
                <w:sz w:val="34"/>
                <w:rtl w:val="1"/>
              </w:rPr>
              <w:t>٣٣٫٣٪</w:t>
            </w:r>
          </w:p>
          <w:p>
            <w:pPr>
              <w:spacing w:after="0"/>
              <w:jc w:val="center"/>
              <w:bidi w:val="1"/>
            </w:pPr>
            <w:r>
              <w:rPr>
                <w:rFonts w:ascii="Noto Sans Arabic" w:hAnsi="Noto Sans Arabic" w:eastAsia="Noto Sans Arabic" w:cs="Noto Sans Arabic"/>
                <w:b w:val="0"/>
                <w:color w:val="14253D"/>
                <w:sz w:val="17"/>
                <w:rtl w:val="1"/>
              </w:rPr>
              <w:t>نسبة الدعم</w:t>
            </w:r>
          </w:p>
        </w:tc>
        <w:tc>
          <w:tcPr>
            <w:tcW w:type="dxa" w:w="3345"/>
            <w:tcBorders>
              <w:top w:val="single" w:sz="18" w:color="941E3D"/>
              <w:bottom w:val="single" w:sz="4" w:color="E4DCE0"/>
              <w:start w:val="single" w:sz="4" w:color="E4DCE0"/>
              <w:end w:val="single" w:sz="4" w:color="E4DCE0"/>
              <w:insideH w:val="nil" w:sz="6" w:color="D9CDD3"/>
              <w:insideV w:val="nil" w:sz="6" w:color="D9CDD3"/>
            </w:tcBorders>
            <w:tcMar>
              <w:top w:w="120" w:type="dxa"/>
              <w:start w:w="100" w:type="dxa"/>
              <w:bottom w:w="120" w:type="dxa"/>
              <w:end w:w="100" w:type="dxa"/>
            </w:tcMar>
            <w:shd w:fill="F7F4F6"/>
          </w:tcPr>
          <w:p>
            <w:pPr>
              <w:spacing w:after="0"/>
              <w:jc w:val="center"/>
              <w:bidi w:val="1"/>
            </w:pPr>
            <w:r/>
            <w:r>
              <w:rPr>
                <w:rFonts w:ascii="Noto Kufi Arabic" w:hAnsi="Noto Kufi Arabic" w:eastAsia="Noto Kufi Arabic" w:cs="Noto Kufi Arabic"/>
                <w:b/>
                <w:color w:val="941E3D"/>
                <w:sz w:val="34"/>
                <w:rtl w:val="1"/>
              </w:rPr>
              <w:t>برنامجان</w:t>
            </w:r>
          </w:p>
          <w:p>
            <w:pPr>
              <w:spacing w:after="0"/>
              <w:jc w:val="center"/>
              <w:bidi w:val="1"/>
            </w:pPr>
            <w:r>
              <w:rPr>
                <w:rFonts w:ascii="Noto Sans Arabic" w:hAnsi="Noto Sans Arabic" w:eastAsia="Noto Sans Arabic" w:cs="Noto Sans Arabic"/>
                <w:b w:val="0"/>
                <w:color w:val="14253D"/>
                <w:sz w:val="17"/>
                <w:rtl w:val="1"/>
              </w:rPr>
              <w:t>عدد البرامج التشغيلية</w:t>
            </w:r>
          </w:p>
        </w:tc>
      </w:tr>
    </w:tbl>
    <w:p>
      <w:pPr>
        <w:spacing w:after="20"/>
      </w:pPr>
    </w:p>
    <w:p>
      <w:pPr>
        <w:spacing w:after="120" w:before="120"/>
        <w:jc w:val="right"/>
        <w:bidi w:val="1"/>
      </w:pPr>
      <w:r>
        <w:rPr>
          <w:rFonts w:ascii="Noto Kufi Arabic" w:hAnsi="Noto Kufi Arabic" w:eastAsia="Noto Kufi Arabic" w:cs="Noto Kufi Arabic"/>
          <w:b/>
          <w:color w:val="941E3D"/>
          <w:sz w:val="24"/>
          <w:rtl w:val="1"/>
        </w:rPr>
        <w:t>الحالات التي تم دعمها</w:t>
      </w:r>
    </w:p>
    <w:tbl>
      <w:tblPr>
        <w:tblW w:type="auto" w:w="0"/>
        <w:jc w:val="center"/>
        <w:tblLayout w:type="fixed"/>
        <w:tblLook w:firstColumn="1" w:firstRow="1" w:lastColumn="0" w:lastRow="0" w:noHBand="0" w:noVBand="1" w:val="04A0"/>
        <w:bidiVisual w:val="1"/>
      </w:tblPr>
      <w:tblGrid>
        <w:gridCol w:w="2649"/>
        <w:gridCol w:w="2649"/>
        <w:gridCol w:w="2649"/>
        <w:gridCol w:w="2649"/>
      </w:tblGrid>
      <w:tr>
        <w:trPr>
          <w:tblHeader w:val="true"/>
          <w:cantSplit/>
        </w:trPr>
        <w:tc>
          <w:tcPr>
            <w:tcW w:type="dxa" w:w="2835"/>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6"/>
                <w:rtl w:val="1"/>
              </w:rPr>
              <w:t>المستفيد</w:t>
            </w:r>
          </w:p>
        </w:tc>
        <w:tc>
          <w:tcPr>
            <w:tcW w:type="dxa" w:w="2608"/>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6"/>
                <w:rtl w:val="1"/>
              </w:rPr>
              <w:t>الجهة العلاجية</w:t>
            </w:r>
          </w:p>
        </w:tc>
        <w:tc>
          <w:tcPr>
            <w:tcW w:type="dxa" w:w="2778"/>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6"/>
                <w:rtl w:val="1"/>
              </w:rPr>
              <w:t>الحالة</w:t>
            </w:r>
          </w:p>
        </w:tc>
        <w:tc>
          <w:tcPr>
            <w:tcW w:type="dxa" w:w="1701"/>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6"/>
                <w:rtl w:val="1"/>
              </w:rPr>
              <w:t>المبلغ</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6"/>
                <w:rtl w:val="1"/>
              </w:rPr>
              <w:t>زبيدة شمس الدين خاتم</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السعودي الألماني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ورم بالقولون</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٦٬٣٣٠٫٣١</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6"/>
                <w:rtl w:val="1"/>
              </w:rPr>
              <w:t>زينب عمر علي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السعودي الألماني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سرطان نخر العظم</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٣٠٬٠٠٠</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6"/>
                <w:rtl w:val="1"/>
              </w:rPr>
              <w:t>فايز أحمد عبدالعزيز</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السعودي الألماني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سرطان الدم</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١٥٠٬٠٠٠</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6"/>
                <w:rtl w:val="1"/>
              </w:rPr>
              <w:t>محمد أحمد الشرفي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المواساة</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أشعة رنين مغناطيسي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١٬٩٢٥</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6"/>
                <w:rtl w:val="1"/>
              </w:rPr>
              <w:t>كندفة محمد عتبة</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مدينة الملك سلمان الطبية</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فاتورة علاج</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٧٬٠٠٠</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6"/>
                <w:rtl w:val="1"/>
              </w:rPr>
              <w:t>شوق حسن الأنور</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السعودي الألماني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منظار جراحي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٧٬٠٠٠</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6"/>
                <w:rtl w:val="1"/>
              </w:rPr>
              <w:t>سامية سليمان محمد</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المواساة</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استئصال كتلة من الصدر</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٦٬٣٥٠</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6"/>
                <w:rtl w:val="1"/>
              </w:rPr>
              <w:t>الإجمالي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٢٠٨٬٦٠٥٫٣١</w:t>
            </w:r>
          </w:p>
        </w:tc>
      </w:tr>
    </w:tbl>
    <w:tbl>
      <w:tblPr>
        <w:tblW w:type="auto" w:w="0"/>
        <w:jc w:val="center"/>
        <w:tblLook w:firstColumn="1" w:firstRow="1" w:lastColumn="0" w:lastRow="0" w:noHBand="0" w:noVBand="1" w:val="04A0"/>
        <w:bidiVisual w:val="1"/>
      </w:tblPr>
      <w:tblGrid>
        <w:gridCol w:w="5298"/>
        <w:gridCol w:w="5298"/>
      </w:tblGrid>
      <w:tr>
        <w:trPr>
          <w:cantSplit/>
        </w:trPr>
        <w:tc>
          <w:tcPr>
            <w:tcW w:type="dxa" w:w="9581"/>
            <w:tcBorders>
              <w:top w:val="nil" w:sz="6" w:color="D9CDD3"/>
              <w:bottom w:val="nil" w:sz="6" w:color="D9CDD3"/>
              <w:start w:val="nil" w:sz="6" w:color="D9CDD3"/>
              <w:end w:val="nil" w:sz="6" w:color="D9CDD3"/>
              <w:insideH w:val="nil" w:sz="6" w:color="D9CDD3"/>
              <w:insideV w:val="nil" w:sz="6" w:color="D9CDD3"/>
            </w:tcBorders>
            <w:tcMar>
              <w:top w:w="120" w:type="dxa"/>
              <w:start w:w="160" w:type="dxa"/>
              <w:bottom w:w="120" w:type="dxa"/>
              <w:end w:w="160" w:type="dxa"/>
            </w:tcMar>
            <w:shd w:fill="F5F7F9"/>
          </w:tcPr>
          <w:p>
            <w:pPr>
              <w:spacing w:after="0"/>
              <w:jc w:val="right"/>
              <w:bidi w:val="1"/>
            </w:pPr>
            <w:r/>
            <w:r>
              <w:rPr>
                <w:rFonts w:ascii="Noto Kufi Arabic" w:hAnsi="Noto Kufi Arabic" w:eastAsia="Noto Kufi Arabic" w:cs="Noto Kufi Arabic"/>
                <w:b/>
                <w:color w:val="14253D"/>
                <w:sz w:val="19"/>
                <w:rtl w:val="1"/>
              </w:rPr>
              <w:t>أبرز أسباب عدم القبول</w:t>
            </w:r>
          </w:p>
          <w:p>
            <w:pPr>
              <w:spacing w:after="0"/>
              <w:jc w:val="right"/>
              <w:bidi w:val="1"/>
            </w:pPr>
            <w:r>
              <w:rPr>
                <w:rFonts w:ascii="Noto Sans Arabic" w:hAnsi="Noto Sans Arabic" w:eastAsia="Noto Sans Arabic" w:cs="Noto Sans Arabic"/>
                <w:b w:val="0"/>
                <w:color w:val="243044"/>
                <w:sz w:val="19"/>
                <w:rtl w:val="1"/>
              </w:rPr>
              <w:t>انتهاء صلاحية الهوية أو الإقامة، وجود تأمين طبي سابق، اختلاف التقرير الطبي أو مرور أكثر من ٣ أشهر على تاريخه، دعم الحالة من جهة أخرى، أو عدم استكمال التعميد.</w:t>
            </w:r>
          </w:p>
        </w:tc>
        <w:tc>
          <w:tcPr>
            <w:tcW w:type="dxa" w:w="255"/>
            <w:tcBorders>
              <w:top w:val="nil" w:sz="6" w:color="D9CDD3"/>
              <w:bottom w:val="nil" w:sz="6" w:color="D9CDD3"/>
              <w:start w:val="nil" w:sz="6" w:color="D9CDD3"/>
              <w:end w:val="nil" w:sz="6" w:color="D9CDD3"/>
              <w:insideH w:val="nil" w:sz="6" w:color="D9CDD3"/>
              <w:insideV w:val="nil" w:sz="6" w:color="D9CDD3"/>
            </w:tcBorders>
            <w:tcMar>
              <w:top w:w="90" w:type="dxa"/>
              <w:start w:w="90" w:type="dxa"/>
              <w:bottom w:w="90" w:type="dxa"/>
              <w:end w:w="90" w:type="dxa"/>
            </w:tcMar>
            <w:shd w:fill="14253D"/>
          </w:tcPr>
          <w:p>
            <w:r/>
          </w:p>
        </w:tc>
      </w:tr>
    </w:tbl>
    <w:p>
      <w:pPr>
        <w:spacing w:after="40"/>
      </w:pPr>
    </w:p>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الحالات المتقدمة ونتيجة الدراسة</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٠٣</w:t>
            </w:r>
          </w:p>
        </w:tc>
      </w:tr>
    </w:tbl>
    <w:tbl>
      <w:tblPr>
        <w:tblW w:type="auto" w:w="0"/>
        <w:jc w:val="center"/>
        <w:tblLayout w:type="fixed"/>
        <w:tblLook w:firstColumn="1" w:firstRow="1" w:lastColumn="0" w:lastRow="0" w:noHBand="0" w:noVBand="1" w:val="04A0"/>
        <w:bidiVisual w:val="1"/>
      </w:tblPr>
      <w:tblGrid>
        <w:gridCol w:w="2649"/>
        <w:gridCol w:w="2649"/>
        <w:gridCol w:w="2649"/>
        <w:gridCol w:w="2649"/>
      </w:tblGrid>
      <w:tr>
        <w:trPr>
          <w:tblHeader w:val="true"/>
          <w:cantSplit/>
        </w:trPr>
        <w:tc>
          <w:tcPr>
            <w:tcW w:type="dxa" w:w="2494"/>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5"/>
                <w:rtl w:val="1"/>
              </w:rPr>
              <w:t>الاسم</w:t>
            </w:r>
          </w:p>
        </w:tc>
        <w:tc>
          <w:tcPr>
            <w:tcW w:type="dxa" w:w="2551"/>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5"/>
                <w:rtl w:val="1"/>
              </w:rPr>
              <w:t>نوع الحالة</w:t>
            </w:r>
          </w:p>
        </w:tc>
        <w:tc>
          <w:tcPr>
            <w:tcW w:type="dxa" w:w="2551"/>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5"/>
                <w:rtl w:val="1"/>
              </w:rPr>
              <w:t>الجهة العلاجية</w:t>
            </w:r>
          </w:p>
        </w:tc>
        <w:tc>
          <w:tcPr>
            <w:tcW w:type="dxa" w:w="2381"/>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5"/>
                <w:rtl w:val="1"/>
              </w:rPr>
              <w:t>النتيجة / السبب</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هديباء عواده الجهني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مياه بيضاء في العين</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مستشفى الدكتور حامد الأحمدي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دعم من جمعية أخرى بكامل المبلغ</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بسمة هارون صالح</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ورم في الغدة الدرقية</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مستشفى المدينة الطبي العام</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انتهاء صلاحية الإقامة</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فؤاد لطف محمد</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ميلوما متعددة في العظام</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المستشفى السعودي الألماني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لديه تأمين طبي سابق</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سيد محمد الأمين</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مرارة وفتق سري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مستشفى الدكتور حامد الأحمدي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انتهاء صلاحية الإقامة</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ريم فواز زاده</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ورم ليفي على المبيض</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مستشفى المواساة</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التقرير الطبي لا يوافق التشخيص</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مزاهر عبدالله الهادي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ضعف بالنظر</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مستشفى الدكتور حامد الأحمدي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مقبولة ولم تستلم التعميد</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فريدة عظيم</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ورم في الأنسجة في الورك</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المستشفى السعودي الألماني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انتهاء صلاحية الإقامة</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عطور عباس</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ورم سرطاني في الثدي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المستشفى السعودي الألماني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انتهاء صلاحية الإقامة</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هاجر الصادق</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كسر في عظمة الكعبرة</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المستشفى السعودي الألماني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انتهاء صلاحية الإقامة</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عبدالله فايز دياب</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ورم في الصدر</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مستشفى المواساة</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انتهاء صلاحية الإقامة</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أحمد محمد خير</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رباط صليبي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مستشفى واد</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انتهاء صلاحية الإقامة</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حمزة محمد هندية</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داء السكري النوع الأول</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المستشفى السعودي الألماني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سفر المستفيد لانتهاء فترة الزيارة</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جوهرة منصور خان</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ارتفاع الحرارة وضعف الرضاعة</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مستشفى النساء والولادة</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خطأ بالتقرير واختلاف تواريخ التنويم</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علي قايد علي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ضغط الدم وقصور الشريان التاجي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مستشفى الدكتور حامد الأحمدي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دعم من جمعية أخرى بكامل المبلغ</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زبيدة شمس الدين</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ورم بالقولون</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المستشفى السعودي الألماني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تم القبول والدعم</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زينب عمر علي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سرطان نخر العظم</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المستشفى السعودي الألماني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تم القبول والدعم</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فايز أحمد عبدالعزيز</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سرطان الدم</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المستشفى السعودي الألماني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تم القبول والدعم</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محمد أحمد الشرفي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أشعة رنين مغناطيسي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مستشفى المواساة</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تم القبول والدعم</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كندفة محمد</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فاتورة علاج</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مدينة الملك سلمان الطبية</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تم القبول والدعم</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شوق حسن الأنور</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منظار جراحي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المستشفى السعودي الألماني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تم القبول والدعم</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سامية سليمان محمد</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استئصال كتلة</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مستشفى المواساة</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تم القبول والدعم</w:t>
            </w:r>
          </w:p>
        </w:tc>
      </w:tr>
    </w:tbl>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الشراكات الصحية</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٠٤</w:t>
            </w:r>
          </w:p>
        </w:tc>
      </w:tr>
    </w:tbl>
    <w:p>
      <w:pPr>
        <w:spacing w:after="120" w:line="293" w:lineRule="auto"/>
        <w:jc w:val="right"/>
        <w:bidi w:val="1"/>
      </w:pPr>
      <w:r>
        <w:rPr>
          <w:rFonts w:ascii="Noto Sans Arabic" w:hAnsi="Noto Sans Arabic" w:eastAsia="Noto Sans Arabic" w:cs="Noto Sans Arabic"/>
          <w:b w:val="0"/>
          <w:color w:val="243044"/>
          <w:sz w:val="21"/>
          <w:rtl w:val="1"/>
        </w:rPr>
        <w:t>فعّلت الجمعية تعاونًا مع ٩ جهات صحية لتوفير رعاية أفضل للمستفيدين وتسريع مسار الإحالة والخدمة العلاجية.</w:t>
      </w:r>
    </w:p>
    <w:tbl>
      <w:tblPr>
        <w:tblW w:type="auto" w:w="0"/>
        <w:jc w:val="center"/>
        <w:tblLook w:firstColumn="1" w:firstRow="1" w:lastColumn="0" w:lastRow="0" w:noHBand="0" w:noVBand="1" w:val="04A0"/>
        <w:bidiVisual w:val="1"/>
      </w:tblPr>
      <w:tblGrid>
        <w:gridCol w:w="3532"/>
        <w:gridCol w:w="3532"/>
        <w:gridCol w:w="3532"/>
      </w:tblGrid>
      <w:tr>
        <w:tc>
          <w:tcPr>
            <w:tcW w:type="dxa" w:w="3288"/>
            <w:tcBorders>
              <w:top w:val="single" w:sz="14" w:color="D51B52"/>
              <w:bottom w:val="single" w:sz="4" w:color="E0D8DC"/>
              <w:start w:val="single" w:sz="4" w:color="E0D8DC"/>
              <w:end w:val="single" w:sz="4" w:color="E0D8DC"/>
              <w:insideH w:val="nil" w:sz="6" w:color="D9CDD3"/>
              <w:insideV w:val="nil" w:sz="6" w:color="D9CDD3"/>
            </w:tcBorders>
            <w:tcMar>
              <w:top w:w="250" w:type="dxa"/>
              <w:start w:w="100" w:type="dxa"/>
              <w:bottom w:w="250" w:type="dxa"/>
              <w:end w:w="100" w:type="dxa"/>
            </w:tcMar>
            <w:shd w:fill="F7F4F6"/>
          </w:tcPr>
          <w:p>
            <w:pPr>
              <w:spacing w:after="0"/>
              <w:jc w:val="center"/>
              <w:bidi w:val="1"/>
            </w:pPr>
            <w:r/>
            <w:r>
              <w:rPr>
                <w:rFonts w:ascii="Noto Kufi Arabic" w:hAnsi="Noto Kufi Arabic" w:eastAsia="Noto Kufi Arabic" w:cs="Noto Kufi Arabic"/>
                <w:b/>
                <w:color w:val="14253D"/>
                <w:sz w:val="20"/>
                <w:rtl w:val="1"/>
              </w:rPr>
              <w:t>مستشفى الدكتور حامد سليمان الأحمدي</w:t>
            </w:r>
          </w:p>
        </w:tc>
        <w:tc>
          <w:tcPr>
            <w:tcW w:type="dxa" w:w="3288"/>
            <w:tcBorders>
              <w:top w:val="single" w:sz="14" w:color="D51B52"/>
              <w:bottom w:val="single" w:sz="4" w:color="E0D8DC"/>
              <w:start w:val="single" w:sz="4" w:color="E0D8DC"/>
              <w:end w:val="single" w:sz="4" w:color="E0D8DC"/>
              <w:insideH w:val="nil" w:sz="6" w:color="D9CDD3"/>
              <w:insideV w:val="nil" w:sz="6" w:color="D9CDD3"/>
            </w:tcBorders>
            <w:tcMar>
              <w:top w:w="250" w:type="dxa"/>
              <w:start w:w="100" w:type="dxa"/>
              <w:bottom w:w="250" w:type="dxa"/>
              <w:end w:w="100" w:type="dxa"/>
            </w:tcMar>
            <w:shd w:fill="F7F4F6"/>
          </w:tcPr>
          <w:p>
            <w:pPr>
              <w:spacing w:after="0"/>
              <w:jc w:val="center"/>
              <w:bidi w:val="1"/>
            </w:pPr>
            <w:r/>
            <w:r>
              <w:rPr>
                <w:rFonts w:ascii="Noto Kufi Arabic" w:hAnsi="Noto Kufi Arabic" w:eastAsia="Noto Kufi Arabic" w:cs="Noto Kufi Arabic"/>
                <w:b/>
                <w:color w:val="14253D"/>
                <w:sz w:val="20"/>
                <w:rtl w:val="1"/>
              </w:rPr>
              <w:t>مدينة الملك سلمان الطبية</w:t>
            </w:r>
          </w:p>
        </w:tc>
        <w:tc>
          <w:tcPr>
            <w:tcW w:type="dxa" w:w="3288"/>
            <w:tcBorders>
              <w:top w:val="single" w:sz="14" w:color="D51B52"/>
              <w:bottom w:val="single" w:sz="4" w:color="E0D8DC"/>
              <w:start w:val="single" w:sz="4" w:color="E0D8DC"/>
              <w:end w:val="single" w:sz="4" w:color="E0D8DC"/>
              <w:insideH w:val="nil" w:sz="6" w:color="D9CDD3"/>
              <w:insideV w:val="nil" w:sz="6" w:color="D9CDD3"/>
            </w:tcBorders>
            <w:tcMar>
              <w:top w:w="250" w:type="dxa"/>
              <w:start w:w="100" w:type="dxa"/>
              <w:bottom w:w="250" w:type="dxa"/>
              <w:end w:w="100" w:type="dxa"/>
            </w:tcMar>
            <w:shd w:fill="F7F4F6"/>
          </w:tcPr>
          <w:p>
            <w:pPr>
              <w:spacing w:after="0"/>
              <w:jc w:val="center"/>
              <w:bidi w:val="1"/>
            </w:pPr>
            <w:r/>
            <w:r>
              <w:rPr>
                <w:rFonts w:ascii="Noto Kufi Arabic" w:hAnsi="Noto Kufi Arabic" w:eastAsia="Noto Kufi Arabic" w:cs="Noto Kufi Arabic"/>
                <w:b/>
                <w:color w:val="14253D"/>
                <w:sz w:val="20"/>
                <w:rtl w:val="1"/>
              </w:rPr>
              <w:t>شركة مداواة ورعاية الطبية</w:t>
            </w:r>
          </w:p>
        </w:tc>
      </w:tr>
      <w:tr>
        <w:tc>
          <w:tcPr>
            <w:tcW w:type="dxa" w:w="3288"/>
            <w:tcBorders>
              <w:top w:val="single" w:sz="14" w:color="D51B52"/>
              <w:bottom w:val="single" w:sz="4" w:color="E0D8DC"/>
              <w:start w:val="single" w:sz="4" w:color="E0D8DC"/>
              <w:end w:val="single" w:sz="4" w:color="E0D8DC"/>
              <w:insideH w:val="nil" w:sz="6" w:color="D9CDD3"/>
              <w:insideV w:val="nil" w:sz="6" w:color="D9CDD3"/>
            </w:tcBorders>
            <w:tcMar>
              <w:top w:w="250" w:type="dxa"/>
              <w:start w:w="100" w:type="dxa"/>
              <w:bottom w:w="250" w:type="dxa"/>
              <w:end w:w="100" w:type="dxa"/>
            </w:tcMar>
            <w:shd w:fill="F7F4F6"/>
          </w:tcPr>
          <w:p>
            <w:pPr>
              <w:spacing w:after="0"/>
              <w:jc w:val="center"/>
              <w:bidi w:val="1"/>
            </w:pPr>
            <w:r/>
            <w:r>
              <w:rPr>
                <w:rFonts w:ascii="Noto Kufi Arabic" w:hAnsi="Noto Kufi Arabic" w:eastAsia="Noto Kufi Arabic" w:cs="Noto Kufi Arabic"/>
                <w:b/>
                <w:color w:val="14253D"/>
                <w:sz w:val="20"/>
                <w:rtl w:val="1"/>
              </w:rPr>
              <w:t>جمعية جَنَى لتأهيل الفتيات ذوات الإعاقة</w:t>
            </w:r>
          </w:p>
        </w:tc>
        <w:tc>
          <w:tcPr>
            <w:tcW w:type="dxa" w:w="3288"/>
            <w:tcBorders>
              <w:top w:val="single" w:sz="14" w:color="D51B52"/>
              <w:bottom w:val="single" w:sz="4" w:color="E0D8DC"/>
              <w:start w:val="single" w:sz="4" w:color="E0D8DC"/>
              <w:end w:val="single" w:sz="4" w:color="E0D8DC"/>
              <w:insideH w:val="nil" w:sz="6" w:color="D9CDD3"/>
              <w:insideV w:val="nil" w:sz="6" w:color="D9CDD3"/>
            </w:tcBorders>
            <w:tcMar>
              <w:top w:w="250" w:type="dxa"/>
              <w:start w:w="100" w:type="dxa"/>
              <w:bottom w:w="250" w:type="dxa"/>
              <w:end w:w="100" w:type="dxa"/>
            </w:tcMar>
            <w:shd w:fill="F7F4F6"/>
          </w:tcPr>
          <w:p>
            <w:pPr>
              <w:spacing w:after="0"/>
              <w:jc w:val="center"/>
              <w:bidi w:val="1"/>
            </w:pPr>
            <w:r/>
            <w:r>
              <w:rPr>
                <w:rFonts w:ascii="Noto Kufi Arabic" w:hAnsi="Noto Kufi Arabic" w:eastAsia="Noto Kufi Arabic" w:cs="Noto Kufi Arabic"/>
                <w:b/>
                <w:color w:val="14253D"/>
                <w:sz w:val="20"/>
                <w:rtl w:val="1"/>
              </w:rPr>
              <w:t>المستشفى السعودي الألماني</w:t>
            </w:r>
          </w:p>
        </w:tc>
        <w:tc>
          <w:tcPr>
            <w:tcW w:type="dxa" w:w="3288"/>
            <w:tcBorders>
              <w:top w:val="single" w:sz="14" w:color="D51B52"/>
              <w:bottom w:val="single" w:sz="4" w:color="E0D8DC"/>
              <w:start w:val="single" w:sz="4" w:color="E0D8DC"/>
              <w:end w:val="single" w:sz="4" w:color="E0D8DC"/>
              <w:insideH w:val="nil" w:sz="6" w:color="D9CDD3"/>
              <w:insideV w:val="nil" w:sz="6" w:color="D9CDD3"/>
            </w:tcBorders>
            <w:tcMar>
              <w:top w:w="250" w:type="dxa"/>
              <w:start w:w="100" w:type="dxa"/>
              <w:bottom w:w="250" w:type="dxa"/>
              <w:end w:w="100" w:type="dxa"/>
            </w:tcMar>
            <w:shd w:fill="F7F4F6"/>
          </w:tcPr>
          <w:p>
            <w:pPr>
              <w:spacing w:after="0"/>
              <w:jc w:val="center"/>
              <w:bidi w:val="1"/>
            </w:pPr>
            <w:r/>
            <w:r>
              <w:rPr>
                <w:rFonts w:ascii="Noto Kufi Arabic" w:hAnsi="Noto Kufi Arabic" w:eastAsia="Noto Kufi Arabic" w:cs="Noto Kufi Arabic"/>
                <w:b/>
                <w:color w:val="14253D"/>
                <w:sz w:val="20"/>
                <w:rtl w:val="1"/>
              </w:rPr>
              <w:t>مستشفى المواساة</w:t>
            </w:r>
          </w:p>
        </w:tc>
      </w:tr>
      <w:tr>
        <w:tc>
          <w:tcPr>
            <w:tcW w:type="dxa" w:w="3288"/>
            <w:tcBorders>
              <w:top w:val="single" w:sz="14" w:color="D51B52"/>
              <w:bottom w:val="single" w:sz="4" w:color="E0D8DC"/>
              <w:start w:val="single" w:sz="4" w:color="E0D8DC"/>
              <w:end w:val="single" w:sz="4" w:color="E0D8DC"/>
              <w:insideH w:val="nil" w:sz="6" w:color="D9CDD3"/>
              <w:insideV w:val="nil" w:sz="6" w:color="D9CDD3"/>
            </w:tcBorders>
            <w:tcMar>
              <w:top w:w="250" w:type="dxa"/>
              <w:start w:w="100" w:type="dxa"/>
              <w:bottom w:w="250" w:type="dxa"/>
              <w:end w:w="100" w:type="dxa"/>
            </w:tcMar>
            <w:shd w:fill="F7F4F6"/>
          </w:tcPr>
          <w:p>
            <w:pPr>
              <w:spacing w:after="0"/>
              <w:jc w:val="center"/>
              <w:bidi w:val="1"/>
            </w:pPr>
            <w:r/>
            <w:r>
              <w:rPr>
                <w:rFonts w:ascii="Noto Kufi Arabic" w:hAnsi="Noto Kufi Arabic" w:eastAsia="Noto Kufi Arabic" w:cs="Noto Kufi Arabic"/>
                <w:b/>
                <w:color w:val="14253D"/>
                <w:sz w:val="20"/>
                <w:rtl w:val="1"/>
              </w:rPr>
              <w:t>مستشفى المدينة الوطني</w:t>
            </w:r>
          </w:p>
        </w:tc>
        <w:tc>
          <w:tcPr>
            <w:tcW w:type="dxa" w:w="3288"/>
            <w:tcBorders>
              <w:top w:val="single" w:sz="14" w:color="D51B52"/>
              <w:bottom w:val="single" w:sz="4" w:color="E0D8DC"/>
              <w:start w:val="single" w:sz="4" w:color="E0D8DC"/>
              <w:end w:val="single" w:sz="4" w:color="E0D8DC"/>
              <w:insideH w:val="nil" w:sz="6" w:color="D9CDD3"/>
              <w:insideV w:val="nil" w:sz="6" w:color="D9CDD3"/>
            </w:tcBorders>
            <w:tcMar>
              <w:top w:w="250" w:type="dxa"/>
              <w:start w:w="100" w:type="dxa"/>
              <w:bottom w:w="250" w:type="dxa"/>
              <w:end w:w="100" w:type="dxa"/>
            </w:tcMar>
            <w:shd w:fill="F7F4F6"/>
          </w:tcPr>
          <w:p>
            <w:pPr>
              <w:spacing w:after="0"/>
              <w:jc w:val="center"/>
              <w:bidi w:val="1"/>
            </w:pPr>
            <w:r/>
            <w:r>
              <w:rPr>
                <w:rFonts w:ascii="Noto Kufi Arabic" w:hAnsi="Noto Kufi Arabic" w:eastAsia="Noto Kufi Arabic" w:cs="Noto Kufi Arabic"/>
                <w:b/>
                <w:color w:val="14253D"/>
                <w:sz w:val="20"/>
                <w:rtl w:val="1"/>
              </w:rPr>
              <w:t>مستشفى المدينة الطبي</w:t>
            </w:r>
          </w:p>
        </w:tc>
        <w:tc>
          <w:tcPr>
            <w:tcW w:type="dxa" w:w="3288"/>
            <w:tcBorders>
              <w:top w:val="single" w:sz="14" w:color="D51B52"/>
              <w:bottom w:val="single" w:sz="4" w:color="E0D8DC"/>
              <w:start w:val="single" w:sz="4" w:color="E0D8DC"/>
              <w:end w:val="single" w:sz="4" w:color="E0D8DC"/>
              <w:insideH w:val="nil" w:sz="6" w:color="D9CDD3"/>
              <w:insideV w:val="nil" w:sz="6" w:color="D9CDD3"/>
            </w:tcBorders>
            <w:tcMar>
              <w:top w:w="250" w:type="dxa"/>
              <w:start w:w="100" w:type="dxa"/>
              <w:bottom w:w="250" w:type="dxa"/>
              <w:end w:w="100" w:type="dxa"/>
            </w:tcMar>
            <w:shd w:fill="F7F4F6"/>
          </w:tcPr>
          <w:p>
            <w:pPr>
              <w:spacing w:after="0"/>
              <w:jc w:val="center"/>
              <w:bidi w:val="1"/>
            </w:pPr>
            <w:r/>
            <w:r>
              <w:rPr>
                <w:rFonts w:ascii="Noto Kufi Arabic" w:hAnsi="Noto Kufi Arabic" w:eastAsia="Noto Kufi Arabic" w:cs="Noto Kufi Arabic"/>
                <w:b/>
                <w:color w:val="14253D"/>
                <w:sz w:val="20"/>
                <w:rtl w:val="1"/>
              </w:rPr>
              <w:t>مستشفى واد الطبي</w:t>
            </w:r>
          </w:p>
        </w:tc>
      </w:tr>
    </w:tbl>
    <w:tbl>
      <w:tblPr>
        <w:tblW w:type="auto" w:w="0"/>
        <w:jc w:val="center"/>
        <w:tblLook w:firstColumn="1" w:firstRow="1" w:lastColumn="0" w:lastRow="0" w:noHBand="0" w:noVBand="1" w:val="04A0"/>
        <w:bidiVisual w:val="1"/>
      </w:tblPr>
      <w:tblGrid>
        <w:gridCol w:w="5298"/>
        <w:gridCol w:w="5298"/>
      </w:tblGrid>
      <w:tr>
        <w:trPr>
          <w:cantSplit/>
        </w:trPr>
        <w:tc>
          <w:tcPr>
            <w:tcW w:type="dxa" w:w="9581"/>
            <w:tcBorders>
              <w:top w:val="nil" w:sz="6" w:color="D9CDD3"/>
              <w:bottom w:val="nil" w:sz="6" w:color="D9CDD3"/>
              <w:start w:val="nil" w:sz="6" w:color="D9CDD3"/>
              <w:end w:val="nil" w:sz="6" w:color="D9CDD3"/>
              <w:insideH w:val="nil" w:sz="6" w:color="D9CDD3"/>
              <w:insideV w:val="nil" w:sz="6" w:color="D9CDD3"/>
            </w:tcBorders>
            <w:tcMar>
              <w:top w:w="120" w:type="dxa"/>
              <w:start w:w="160" w:type="dxa"/>
              <w:bottom w:w="120" w:type="dxa"/>
              <w:end w:w="160" w:type="dxa"/>
            </w:tcMar>
            <w:shd w:fill="F4EDF0"/>
          </w:tcPr>
          <w:p>
            <w:pPr>
              <w:spacing w:after="0"/>
              <w:jc w:val="right"/>
              <w:bidi w:val="1"/>
            </w:pPr>
            <w:r/>
            <w:r>
              <w:rPr>
                <w:rFonts w:ascii="Noto Kufi Arabic" w:hAnsi="Noto Kufi Arabic" w:eastAsia="Noto Kufi Arabic" w:cs="Noto Kufi Arabic"/>
                <w:b/>
                <w:color w:val="941E3D"/>
                <w:sz w:val="19"/>
                <w:rtl w:val="1"/>
              </w:rPr>
              <w:t>الرافعة التشغيلية</w:t>
            </w:r>
          </w:p>
          <w:p>
            <w:pPr>
              <w:spacing w:after="0"/>
              <w:jc w:val="right"/>
              <w:bidi w:val="1"/>
            </w:pPr>
            <w:r>
              <w:rPr>
                <w:rFonts w:ascii="Noto Sans Arabic" w:hAnsi="Noto Sans Arabic" w:eastAsia="Noto Sans Arabic" w:cs="Noto Sans Arabic"/>
                <w:b w:val="0"/>
                <w:color w:val="243044"/>
                <w:sz w:val="19"/>
                <w:rtl w:val="1"/>
              </w:rPr>
              <w:t>قيمة هذه الشراكات ليست في عدد الاتفاقيات فقط، بل في قدرتها على خفض زمن الإحالة، وتحسين جودة الخدمة، وتوسيع الخيارات العلاجية للمستفيد.</w:t>
            </w:r>
          </w:p>
        </w:tc>
        <w:tc>
          <w:tcPr>
            <w:tcW w:type="dxa" w:w="255"/>
            <w:tcBorders>
              <w:top w:val="nil" w:sz="6" w:color="D9CDD3"/>
              <w:bottom w:val="nil" w:sz="6" w:color="D9CDD3"/>
              <w:start w:val="nil" w:sz="6" w:color="D9CDD3"/>
              <w:end w:val="nil" w:sz="6" w:color="D9CDD3"/>
              <w:insideH w:val="nil" w:sz="6" w:color="D9CDD3"/>
              <w:insideV w:val="nil" w:sz="6" w:color="D9CDD3"/>
            </w:tcBorders>
            <w:tcMar>
              <w:top w:w="90" w:type="dxa"/>
              <w:start w:w="90" w:type="dxa"/>
              <w:bottom w:w="90" w:type="dxa"/>
              <w:end w:w="90" w:type="dxa"/>
            </w:tcMar>
            <w:shd w:fill="941E3D"/>
          </w:tcPr>
          <w:p>
            <w:r/>
          </w:p>
        </w:tc>
      </w:tr>
    </w:tbl>
    <w:p>
      <w:pPr>
        <w:spacing w:after="40"/>
      </w:pPr>
    </w:p>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النمو المؤسسي والموارد البشرية</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٠٥</w:t>
            </w:r>
          </w:p>
        </w:tc>
      </w:tr>
    </w:tbl>
    <w:tbl>
      <w:tblPr>
        <w:tblW w:type="auto" w:w="0"/>
        <w:jc w:val="center"/>
        <w:tblLayout w:type="fixed"/>
        <w:tblLook w:firstColumn="1" w:firstRow="1" w:lastColumn="0" w:lastRow="0" w:noHBand="0" w:noVBand="1" w:val="04A0"/>
        <w:bidiVisual w:val="1"/>
      </w:tblPr>
      <w:tblGrid>
        <w:gridCol w:w="3532"/>
        <w:gridCol w:w="3532"/>
        <w:gridCol w:w="3532"/>
      </w:tblGrid>
      <w:tr>
        <w:trPr>
          <w:tblHeader w:val="true"/>
          <w:cantSplit/>
        </w:trPr>
        <w:tc>
          <w:tcPr>
            <w:tcW w:type="dxa" w:w="2948"/>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8"/>
                <w:rtl w:val="1"/>
              </w:rPr>
              <w:t>المؤشر</w:t>
            </w:r>
          </w:p>
        </w:tc>
        <w:tc>
          <w:tcPr>
            <w:tcW w:type="dxa" w:w="3288"/>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8"/>
                <w:rtl w:val="1"/>
              </w:rPr>
              <w:t>٢٠٢٥م</w:t>
            </w:r>
          </w:p>
        </w:tc>
        <w:tc>
          <w:tcPr>
            <w:tcW w:type="dxa" w:w="3742"/>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8"/>
                <w:rtl w:val="1"/>
              </w:rPr>
              <w:t>٢٠٢٦م</w:t>
            </w:r>
          </w:p>
        </w:tc>
      </w:tr>
      <w:tr>
        <w:trPr>
          <w:cantSplit/>
        </w:trPr>
        <w:tc>
          <w:tcPr>
            <w:tcW w:type="dxa" w:w="3532"/>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الكادر الوظيفي</w:t>
            </w:r>
          </w:p>
        </w:tc>
        <w:tc>
          <w:tcPr>
            <w:tcW w:type="dxa" w:w="3532"/>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موظف + متعاون</w:t>
            </w:r>
          </w:p>
        </w:tc>
        <w:tc>
          <w:tcPr>
            <w:tcW w:type="dxa" w:w="3532"/>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٣ موظفين + متعاون</w:t>
            </w:r>
          </w:p>
        </w:tc>
      </w:tr>
      <w:tr>
        <w:trPr>
          <w:cantSplit/>
        </w:trPr>
        <w:tc>
          <w:tcPr>
            <w:tcW w:type="dxa" w:w="3532"/>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البرامج التشغيلية</w:t>
            </w:r>
          </w:p>
        </w:tc>
        <w:tc>
          <w:tcPr>
            <w:tcW w:type="dxa" w:w="3532"/>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برنامج جودة حياة</w:t>
            </w:r>
          </w:p>
        </w:tc>
        <w:tc>
          <w:tcPr>
            <w:tcW w:type="dxa" w:w="3532"/>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جودة حياة + وعي</w:t>
            </w:r>
          </w:p>
        </w:tc>
      </w:tr>
      <w:tr>
        <w:trPr>
          <w:cantSplit/>
        </w:trPr>
        <w:tc>
          <w:tcPr>
            <w:tcW w:type="dxa" w:w="3532"/>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الدورات التدريبية</w:t>
            </w:r>
          </w:p>
        </w:tc>
        <w:tc>
          <w:tcPr>
            <w:tcW w:type="dxa" w:w="3532"/>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غير مسجلة</w:t>
            </w:r>
          </w:p>
        </w:tc>
        <w:tc>
          <w:tcPr>
            <w:tcW w:type="dxa" w:w="3532"/>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٨ دورات - استفاد منها موظفان</w:t>
            </w:r>
          </w:p>
        </w:tc>
      </w:tr>
      <w:tr>
        <w:trPr>
          <w:cantSplit/>
        </w:trPr>
        <w:tc>
          <w:tcPr>
            <w:tcW w:type="dxa" w:w="3532"/>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الأنظمة الإدارية</w:t>
            </w:r>
          </w:p>
        </w:tc>
        <w:tc>
          <w:tcPr>
            <w:tcW w:type="dxa" w:w="3532"/>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لا أرشفة/اتصالات/مالي/حضور</w:t>
            </w:r>
          </w:p>
        </w:tc>
        <w:tc>
          <w:tcPr>
            <w:tcW w:type="dxa" w:w="3532"/>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أرشفة ورقية وإلكترونية + صادر ووارد + موارد بشرية</w:t>
            </w:r>
          </w:p>
        </w:tc>
      </w:tr>
      <w:tr>
        <w:trPr>
          <w:cantSplit/>
        </w:trPr>
        <w:tc>
          <w:tcPr>
            <w:tcW w:type="dxa" w:w="3532"/>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الفرص التطوعية</w:t>
            </w:r>
          </w:p>
        </w:tc>
        <w:tc>
          <w:tcPr>
            <w:tcW w:type="dxa" w:w="3532"/>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١٠٨ فرص</w:t>
            </w:r>
          </w:p>
        </w:tc>
        <w:tc>
          <w:tcPr>
            <w:tcW w:type="dxa" w:w="3532"/>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٤ فرص خلال الفترة</w:t>
            </w:r>
          </w:p>
        </w:tc>
      </w:tr>
      <w:tr>
        <w:trPr>
          <w:cantSplit/>
        </w:trPr>
        <w:tc>
          <w:tcPr>
            <w:tcW w:type="dxa" w:w="3532"/>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نسبة التوطين</w:t>
            </w:r>
          </w:p>
        </w:tc>
        <w:tc>
          <w:tcPr>
            <w:tcW w:type="dxa" w:w="3532"/>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١٠٠٪</w:t>
            </w:r>
          </w:p>
        </w:tc>
        <w:tc>
          <w:tcPr>
            <w:tcW w:type="dxa" w:w="3532"/>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١٠٠٪</w:t>
            </w:r>
          </w:p>
        </w:tc>
      </w:tr>
    </w:tbl>
    <w:p>
      <w:pPr>
        <w:spacing w:after="120" w:before="120"/>
        <w:jc w:val="right"/>
        <w:bidi w:val="1"/>
      </w:pPr>
      <w:r>
        <w:rPr>
          <w:rFonts w:ascii="Noto Kufi Arabic" w:hAnsi="Noto Kufi Arabic" w:eastAsia="Noto Kufi Arabic" w:cs="Noto Kufi Arabic"/>
          <w:b/>
          <w:color w:val="941E3D"/>
          <w:sz w:val="24"/>
          <w:rtl w:val="1"/>
        </w:rPr>
        <w:t>الكادر الحالي</w:t>
      </w:r>
    </w:p>
    <w:tbl>
      <w:tblPr>
        <w:tblW w:type="auto" w:w="0"/>
        <w:jc w:val="center"/>
        <w:tblLayout w:type="fixed"/>
        <w:tblLook w:firstColumn="1" w:firstRow="1" w:lastColumn="0" w:lastRow="0" w:noHBand="0" w:noVBand="1" w:val="04A0"/>
        <w:bidiVisual w:val="1"/>
      </w:tblPr>
      <w:tblGrid>
        <w:gridCol w:w="3532"/>
        <w:gridCol w:w="3532"/>
        <w:gridCol w:w="3532"/>
      </w:tblGrid>
      <w:tr>
        <w:trPr>
          <w:tblHeader w:val="true"/>
          <w:cantSplit/>
        </w:trPr>
        <w:tc>
          <w:tcPr>
            <w:tcW w:type="dxa" w:w="2835"/>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8"/>
                <w:rtl w:val="1"/>
              </w:rPr>
              <w:t>الاسم</w:t>
            </w:r>
          </w:p>
        </w:tc>
        <w:tc>
          <w:tcPr>
            <w:tcW w:type="dxa" w:w="4876"/>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8"/>
                <w:rtl w:val="1"/>
              </w:rPr>
              <w:t>المسمى</w:t>
            </w:r>
          </w:p>
        </w:tc>
        <w:tc>
          <w:tcPr>
            <w:tcW w:type="dxa" w:w="2154"/>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8"/>
                <w:rtl w:val="1"/>
              </w:rPr>
              <w:t>الحالة</w:t>
            </w:r>
          </w:p>
        </w:tc>
      </w:tr>
      <w:tr>
        <w:trPr>
          <w:cantSplit/>
        </w:trPr>
        <w:tc>
          <w:tcPr>
            <w:tcW w:type="dxa" w:w="3532"/>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أ. بيان سعد المحمدي</w:t>
            </w:r>
          </w:p>
        </w:tc>
        <w:tc>
          <w:tcPr>
            <w:tcW w:type="dxa" w:w="3532"/>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المدير التنفيذي</w:t>
            </w:r>
          </w:p>
        </w:tc>
        <w:tc>
          <w:tcPr>
            <w:tcW w:type="dxa" w:w="3532"/>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موظف</w:t>
            </w:r>
          </w:p>
        </w:tc>
      </w:tr>
      <w:tr>
        <w:trPr>
          <w:cantSplit/>
        </w:trPr>
        <w:tc>
          <w:tcPr>
            <w:tcW w:type="dxa" w:w="3532"/>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أ. غدير أحمد الحربي</w:t>
            </w:r>
          </w:p>
        </w:tc>
        <w:tc>
          <w:tcPr>
            <w:tcW w:type="dxa" w:w="3532"/>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المسؤول المالي والمشرفة على البرامج والمشاريع</w:t>
            </w:r>
          </w:p>
        </w:tc>
        <w:tc>
          <w:tcPr>
            <w:tcW w:type="dxa" w:w="3532"/>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موظفة</w:t>
            </w:r>
          </w:p>
        </w:tc>
      </w:tr>
      <w:tr>
        <w:trPr>
          <w:cantSplit/>
        </w:trPr>
        <w:tc>
          <w:tcPr>
            <w:tcW w:type="dxa" w:w="3532"/>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أ. طراد محمد سمان</w:t>
            </w:r>
          </w:p>
        </w:tc>
        <w:tc>
          <w:tcPr>
            <w:tcW w:type="dxa" w:w="3532"/>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سكرتير تنفيذي</w:t>
            </w:r>
          </w:p>
        </w:tc>
        <w:tc>
          <w:tcPr>
            <w:tcW w:type="dxa" w:w="3532"/>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موظف</w:t>
            </w:r>
          </w:p>
        </w:tc>
      </w:tr>
      <w:tr>
        <w:trPr>
          <w:cantSplit/>
        </w:trPr>
        <w:tc>
          <w:tcPr>
            <w:tcW w:type="dxa" w:w="3532"/>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أ. محمد الحسن بشير</w:t>
            </w:r>
          </w:p>
        </w:tc>
        <w:tc>
          <w:tcPr>
            <w:tcW w:type="dxa" w:w="3532"/>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محاسب متعاون</w:t>
            </w:r>
          </w:p>
        </w:tc>
        <w:tc>
          <w:tcPr>
            <w:tcW w:type="dxa" w:w="3532"/>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8"/>
                <w:rtl w:val="1"/>
              </w:rPr>
              <w:t>متعاون</w:t>
            </w:r>
          </w:p>
        </w:tc>
      </w:tr>
    </w:tbl>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الاحتياج الوظيفي والإنجازات المؤسسية</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٠٥</w:t>
            </w:r>
          </w:p>
        </w:tc>
      </w:tr>
    </w:tbl>
    <w:p>
      <w:pPr>
        <w:spacing w:after="120" w:before="120"/>
        <w:jc w:val="right"/>
        <w:bidi w:val="1"/>
      </w:pPr>
      <w:r>
        <w:rPr>
          <w:rFonts w:ascii="Noto Kufi Arabic" w:hAnsi="Noto Kufi Arabic" w:eastAsia="Noto Kufi Arabic" w:cs="Noto Kufi Arabic"/>
          <w:b/>
          <w:color w:val="941E3D"/>
          <w:sz w:val="24"/>
          <w:rtl w:val="1"/>
        </w:rPr>
        <w:t>الوظائف الشاغرة</w:t>
      </w:r>
    </w:p>
    <w:tbl>
      <w:tblPr>
        <w:tblW w:type="auto" w:w="0"/>
        <w:jc w:val="center"/>
        <w:tblLayout w:type="fixed"/>
        <w:tblLook w:firstColumn="1" w:firstRow="1" w:lastColumn="0" w:lastRow="0" w:noHBand="0" w:noVBand="1" w:val="04A0"/>
        <w:bidiVisual w:val="1"/>
      </w:tblPr>
      <w:tblGrid>
        <w:gridCol w:w="3532"/>
        <w:gridCol w:w="3532"/>
        <w:gridCol w:w="3532"/>
      </w:tblGrid>
      <w:tr>
        <w:trPr>
          <w:tblHeader w:val="true"/>
          <w:cantSplit/>
        </w:trPr>
        <w:tc>
          <w:tcPr>
            <w:tcW w:type="dxa" w:w="2324"/>
            <w:tcMar>
              <w:top w:w="55" w:type="dxa"/>
              <w:start w:w="55" w:type="dxa"/>
              <w:bottom w:w="55" w:type="dxa"/>
              <w:end w:w="55" w:type="dxa"/>
            </w:tcMar>
            <w:shd w:fill="941E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7"/>
                <w:rtl w:val="1"/>
              </w:rPr>
              <w:t>الوظيفة</w:t>
            </w:r>
          </w:p>
        </w:tc>
        <w:tc>
          <w:tcPr>
            <w:tcW w:type="dxa" w:w="1531"/>
            <w:tcMar>
              <w:top w:w="55" w:type="dxa"/>
              <w:start w:w="55" w:type="dxa"/>
              <w:bottom w:w="55" w:type="dxa"/>
              <w:end w:w="55" w:type="dxa"/>
            </w:tcMar>
            <w:shd w:fill="941E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7"/>
                <w:rtl w:val="1"/>
              </w:rPr>
              <w:t>الحالة</w:t>
            </w:r>
          </w:p>
        </w:tc>
        <w:tc>
          <w:tcPr>
            <w:tcW w:type="dxa" w:w="6066"/>
            <w:tcMar>
              <w:top w:w="55" w:type="dxa"/>
              <w:start w:w="55" w:type="dxa"/>
              <w:bottom w:w="55" w:type="dxa"/>
              <w:end w:w="55" w:type="dxa"/>
            </w:tcMar>
            <w:shd w:fill="941E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7"/>
                <w:rtl w:val="1"/>
              </w:rPr>
              <w:t>التوضيح</w:t>
            </w:r>
          </w:p>
        </w:tc>
      </w:tr>
      <w:tr>
        <w:trPr>
          <w:cantSplit/>
        </w:trPr>
        <w:tc>
          <w:tcPr>
            <w:tcW w:type="dxa" w:w="3532"/>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7"/>
                <w:rtl w:val="1"/>
              </w:rPr>
              <w:t>علاقات عامة وإعلام</w:t>
            </w:r>
          </w:p>
        </w:tc>
        <w:tc>
          <w:tcPr>
            <w:tcW w:type="dxa" w:w="3532"/>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قيد الترسيم</w:t>
            </w:r>
          </w:p>
        </w:tc>
        <w:tc>
          <w:tcPr>
            <w:tcW w:type="dxa" w:w="3532"/>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تم ترشيح أ. فيصل الجهني، ويعمل مع الجمعية منذ ٣ أشهر كمتعاون دون أجر حتى الترسيم</w:t>
            </w:r>
          </w:p>
        </w:tc>
      </w:tr>
      <w:tr>
        <w:trPr>
          <w:cantSplit/>
        </w:trPr>
        <w:tc>
          <w:tcPr>
            <w:tcW w:type="dxa" w:w="3532"/>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7"/>
                <w:rtl w:val="1"/>
              </w:rPr>
              <w:t>تنمية موارد مالية</w:t>
            </w:r>
          </w:p>
        </w:tc>
        <w:tc>
          <w:tcPr>
            <w:tcW w:type="dxa" w:w="3532"/>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شاغرة</w:t>
            </w:r>
          </w:p>
        </w:tc>
        <w:tc>
          <w:tcPr>
            <w:tcW w:type="dxa" w:w="3532"/>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استقطاب كفاءة متخصصة لرفع كفاءة تنمية الموارد</w:t>
            </w:r>
          </w:p>
        </w:tc>
      </w:tr>
      <w:tr>
        <w:trPr>
          <w:cantSplit/>
        </w:trPr>
        <w:tc>
          <w:tcPr>
            <w:tcW w:type="dxa" w:w="3532"/>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7"/>
                <w:rtl w:val="1"/>
              </w:rPr>
              <w:t>موارد بشرية</w:t>
            </w:r>
          </w:p>
        </w:tc>
        <w:tc>
          <w:tcPr>
            <w:tcW w:type="dxa" w:w="3532"/>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شاغرة</w:t>
            </w:r>
          </w:p>
        </w:tc>
        <w:tc>
          <w:tcPr>
            <w:tcW w:type="dxa" w:w="3532"/>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وظيفة أساسية لدعم الهيكل الإداري</w:t>
            </w:r>
          </w:p>
        </w:tc>
      </w:tr>
    </w:tbl>
    <w:p>
      <w:pPr>
        <w:spacing w:after="120" w:before="120"/>
        <w:jc w:val="right"/>
        <w:bidi w:val="1"/>
      </w:pPr>
      <w:r>
        <w:rPr>
          <w:rFonts w:ascii="Noto Kufi Arabic" w:hAnsi="Noto Kufi Arabic" w:eastAsia="Noto Kufi Arabic" w:cs="Noto Kufi Arabic"/>
          <w:b/>
          <w:color w:val="941E3D"/>
          <w:sz w:val="24"/>
          <w:rtl w:val="1"/>
        </w:rPr>
        <w:t>أبرز الإنجازات الإدارية والمالية</w:t>
      </w:r>
    </w:p>
    <w:tbl>
      <w:tblPr>
        <w:tblW w:type="auto" w:w="0"/>
        <w:jc w:val="center"/>
        <w:tblLook w:firstColumn="1" w:firstRow="1" w:lastColumn="0" w:lastRow="0" w:noHBand="0" w:noVBand="1" w:val="04A0"/>
        <w:bidiVisual w:val="1"/>
      </w:tblPr>
      <w:tblGrid>
        <w:gridCol w:w="5298"/>
        <w:gridCol w:w="5298"/>
      </w:tblGrid>
      <w:tr>
        <w:trPr>
          <w:cantSplit/>
        </w:trPr>
        <w:tc>
          <w:tcPr>
            <w:tcW w:type="dxa" w:w="4932"/>
            <w:tcBorders>
              <w:top w:val="single" w:sz="10" w:color="941E3D"/>
              <w:bottom w:val="nil" w:sz="6" w:color="D9CDD3"/>
              <w:start w:val="nil" w:sz="6" w:color="D9CDD3"/>
              <w:end w:val="nil" w:sz="6" w:color="D9CDD3"/>
              <w:insideH w:val="nil" w:sz="6" w:color="D9CDD3"/>
              <w:insideV w:val="nil" w:sz="6" w:color="D9CDD3"/>
            </w:tcBorders>
            <w:tcMar>
              <w:top w:w="100" w:type="dxa"/>
              <w:start w:w="120" w:type="dxa"/>
              <w:bottom w:w="100" w:type="dxa"/>
              <w:end w:w="120" w:type="dxa"/>
            </w:tcMar>
            <w:shd w:fill="FBFAFB"/>
          </w:tcPr>
          <w:p>
            <w:pPr>
              <w:spacing w:after="80"/>
              <w:jc w:val="right"/>
              <w:bidi w:val="1"/>
            </w:pPr>
            <w:r/>
            <w:r>
              <w:rPr>
                <w:rFonts w:ascii="Noto Kufi Arabic" w:hAnsi="Noto Kufi Arabic" w:eastAsia="Noto Kufi Arabic" w:cs="Noto Kufi Arabic"/>
                <w:b/>
                <w:color w:val="941E3D"/>
                <w:sz w:val="17"/>
                <w:rtl w:val="1"/>
              </w:rPr>
              <w:t xml:space="preserve">● </w:t>
            </w:r>
            <w:r>
              <w:rPr>
                <w:rFonts w:ascii="Noto Sans Arabic" w:hAnsi="Noto Sans Arabic" w:eastAsia="Noto Sans Arabic" w:cs="Noto Sans Arabic"/>
                <w:b w:val="0"/>
                <w:color w:val="243044"/>
                <w:sz w:val="17"/>
                <w:rtl w:val="1"/>
              </w:rPr>
              <w:t>استكمال العمل المحاسبي وإدخال برنامج «قيود» المجاز من المركز الوطني.</w:t>
            </w:r>
          </w:p>
          <w:p>
            <w:pPr>
              <w:spacing w:after="80"/>
              <w:jc w:val="right"/>
              <w:bidi w:val="1"/>
            </w:pPr>
            <w:r>
              <w:rPr>
                <w:rFonts w:ascii="Noto Kufi Arabic" w:hAnsi="Noto Kufi Arabic" w:eastAsia="Noto Kufi Arabic" w:cs="Noto Kufi Arabic"/>
                <w:b/>
                <w:color w:val="941E3D"/>
                <w:sz w:val="17"/>
                <w:rtl w:val="1"/>
              </w:rPr>
              <w:t xml:space="preserve">● </w:t>
            </w:r>
            <w:r>
              <w:rPr>
                <w:rFonts w:ascii="Noto Sans Arabic" w:hAnsi="Noto Sans Arabic" w:eastAsia="Noto Sans Arabic" w:cs="Noto Sans Arabic"/>
                <w:b w:val="0"/>
                <w:color w:val="243044"/>
                <w:sz w:val="17"/>
                <w:rtl w:val="1"/>
              </w:rPr>
              <w:t>بناء الشجرة المحاسبية وفق الدليل المعتمد للجمعيات.</w:t>
            </w:r>
          </w:p>
          <w:p>
            <w:pPr>
              <w:spacing w:after="80"/>
              <w:jc w:val="right"/>
              <w:bidi w:val="1"/>
            </w:pPr>
            <w:r>
              <w:rPr>
                <w:rFonts w:ascii="Noto Kufi Arabic" w:hAnsi="Noto Kufi Arabic" w:eastAsia="Noto Kufi Arabic" w:cs="Noto Kufi Arabic"/>
                <w:b/>
                <w:color w:val="941E3D"/>
                <w:sz w:val="17"/>
                <w:rtl w:val="1"/>
              </w:rPr>
              <w:t xml:space="preserve">● </w:t>
            </w:r>
            <w:r>
              <w:rPr>
                <w:rFonts w:ascii="Noto Sans Arabic" w:hAnsi="Noto Sans Arabic" w:eastAsia="Noto Sans Arabic" w:cs="Noto Sans Arabic"/>
                <w:b w:val="0"/>
                <w:color w:val="243044"/>
                <w:sz w:val="17"/>
                <w:rtl w:val="1"/>
              </w:rPr>
              <w:t>إقفال الأرباع السنوية لعام ٢٠٢٥م وإعداد موازنة ٢٠٢٦م واعتمادها.</w:t>
            </w:r>
          </w:p>
          <w:p>
            <w:pPr>
              <w:spacing w:after="80"/>
              <w:jc w:val="right"/>
              <w:bidi w:val="1"/>
            </w:pPr>
            <w:r>
              <w:rPr>
                <w:rFonts w:ascii="Noto Kufi Arabic" w:hAnsi="Noto Kufi Arabic" w:eastAsia="Noto Kufi Arabic" w:cs="Noto Kufi Arabic"/>
                <w:b/>
                <w:color w:val="941E3D"/>
                <w:sz w:val="17"/>
                <w:rtl w:val="1"/>
              </w:rPr>
              <w:t xml:space="preserve">● </w:t>
            </w:r>
            <w:r>
              <w:rPr>
                <w:rFonts w:ascii="Noto Sans Arabic" w:hAnsi="Noto Sans Arabic" w:eastAsia="Noto Sans Arabic" w:cs="Noto Sans Arabic"/>
                <w:b w:val="0"/>
                <w:color w:val="243044"/>
                <w:sz w:val="17"/>
                <w:rtl w:val="1"/>
              </w:rPr>
              <w:t>تنفيذ جرد فعلي شامل لأصول الجمعية وتوثيقها.</w:t>
            </w:r>
          </w:p>
        </w:tc>
        <w:tc>
          <w:tcPr>
            <w:tcW w:type="dxa" w:w="4932"/>
            <w:tcBorders>
              <w:top w:val="single" w:sz="10" w:color="941E3D"/>
              <w:bottom w:val="nil" w:sz="6" w:color="D9CDD3"/>
              <w:start w:val="nil" w:sz="6" w:color="D9CDD3"/>
              <w:end w:val="nil" w:sz="6" w:color="D9CDD3"/>
              <w:insideH w:val="nil" w:sz="6" w:color="D9CDD3"/>
              <w:insideV w:val="nil" w:sz="6" w:color="D9CDD3"/>
            </w:tcBorders>
            <w:tcMar>
              <w:top w:w="100" w:type="dxa"/>
              <w:start w:w="120" w:type="dxa"/>
              <w:bottom w:w="100" w:type="dxa"/>
              <w:end w:w="120" w:type="dxa"/>
            </w:tcMar>
            <w:shd w:fill="FBFAFB"/>
          </w:tcPr>
          <w:p>
            <w:pPr>
              <w:spacing w:after="80"/>
              <w:jc w:val="right"/>
              <w:bidi w:val="1"/>
            </w:pPr>
            <w:r/>
            <w:r>
              <w:rPr>
                <w:rFonts w:ascii="Noto Kufi Arabic" w:hAnsi="Noto Kufi Arabic" w:eastAsia="Noto Kufi Arabic" w:cs="Noto Kufi Arabic"/>
                <w:b/>
                <w:color w:val="941E3D"/>
                <w:sz w:val="17"/>
                <w:rtl w:val="1"/>
              </w:rPr>
              <w:t xml:space="preserve">● </w:t>
            </w:r>
            <w:r>
              <w:rPr>
                <w:rFonts w:ascii="Noto Sans Arabic" w:hAnsi="Noto Sans Arabic" w:eastAsia="Noto Sans Arabic" w:cs="Noto Sans Arabic"/>
                <w:b w:val="0"/>
                <w:color w:val="243044"/>
                <w:sz w:val="17"/>
                <w:rtl w:val="1"/>
              </w:rPr>
              <w:t>إعداد القوائم المالية واعتمادها من المركز الوطني لتنمية القطاع غير الربحي.</w:t>
            </w:r>
          </w:p>
          <w:p>
            <w:pPr>
              <w:spacing w:after="80"/>
              <w:jc w:val="right"/>
              <w:bidi w:val="1"/>
            </w:pPr>
            <w:r>
              <w:rPr>
                <w:rFonts w:ascii="Noto Kufi Arabic" w:hAnsi="Noto Kufi Arabic" w:eastAsia="Noto Kufi Arabic" w:cs="Noto Kufi Arabic"/>
                <w:b/>
                <w:color w:val="941E3D"/>
                <w:sz w:val="17"/>
                <w:rtl w:val="1"/>
              </w:rPr>
              <w:t xml:space="preserve">● </w:t>
            </w:r>
            <w:r>
              <w:rPr>
                <w:rFonts w:ascii="Noto Sans Arabic" w:hAnsi="Noto Sans Arabic" w:eastAsia="Noto Sans Arabic" w:cs="Noto Sans Arabic"/>
                <w:b w:val="0"/>
                <w:color w:val="243044"/>
                <w:sz w:val="17"/>
                <w:rtl w:val="1"/>
              </w:rPr>
              <w:t>أرشفة المستندات ورقيًا وإلكترونيًا وإنشاء نظام الصادر والوارد.</w:t>
            </w:r>
          </w:p>
          <w:p>
            <w:pPr>
              <w:spacing w:after="80"/>
              <w:jc w:val="right"/>
              <w:bidi w:val="1"/>
            </w:pPr>
            <w:r>
              <w:rPr>
                <w:rFonts w:ascii="Noto Kufi Arabic" w:hAnsi="Noto Kufi Arabic" w:eastAsia="Noto Kufi Arabic" w:cs="Noto Kufi Arabic"/>
                <w:b/>
                <w:color w:val="941E3D"/>
                <w:sz w:val="17"/>
                <w:rtl w:val="1"/>
              </w:rPr>
              <w:t xml:space="preserve">● </w:t>
            </w:r>
            <w:r>
              <w:rPr>
                <w:rFonts w:ascii="Noto Sans Arabic" w:hAnsi="Noto Sans Arabic" w:eastAsia="Noto Sans Arabic" w:cs="Noto Sans Arabic"/>
                <w:b w:val="0"/>
                <w:color w:val="243044"/>
                <w:sz w:val="17"/>
                <w:rtl w:val="1"/>
              </w:rPr>
              <w:t>تطوير الموقع الإلكتروني والسياسات الداخلية ومتابعة ملف الالتزام والحوكمة.</w:t>
            </w:r>
          </w:p>
          <w:p>
            <w:pPr>
              <w:spacing w:after="80"/>
              <w:jc w:val="right"/>
              <w:bidi w:val="1"/>
            </w:pPr>
            <w:r>
              <w:rPr>
                <w:rFonts w:ascii="Noto Kufi Arabic" w:hAnsi="Noto Kufi Arabic" w:eastAsia="Noto Kufi Arabic" w:cs="Noto Kufi Arabic"/>
                <w:b/>
                <w:color w:val="941E3D"/>
                <w:sz w:val="17"/>
                <w:rtl w:val="1"/>
              </w:rPr>
              <w:t xml:space="preserve">● </w:t>
            </w:r>
            <w:r>
              <w:rPr>
                <w:rFonts w:ascii="Noto Sans Arabic" w:hAnsi="Noto Sans Arabic" w:eastAsia="Noto Sans Arabic" w:cs="Noto Sans Arabic"/>
                <w:b w:val="0"/>
                <w:color w:val="243044"/>
                <w:sz w:val="17"/>
                <w:rtl w:val="1"/>
              </w:rPr>
              <w:t>إعادة هيكلة اللجان والاكتفاء باللجنة التنفيذية ولجنة المساعدات الطبية.</w:t>
            </w:r>
          </w:p>
        </w:tc>
      </w:tr>
    </w:tbl>
    <w:p>
      <w:pPr>
        <w:spacing w:after="40" w:line="293" w:lineRule="auto"/>
        <w:jc w:val="right"/>
        <w:bidi w:val="1"/>
      </w:pPr>
      <w:r>
        <w:rPr>
          <w:rFonts w:ascii="Noto Kufi Arabic" w:hAnsi="Noto Kufi Arabic" w:eastAsia="Noto Kufi Arabic" w:cs="Noto Kufi Arabic"/>
          <w:b/>
          <w:color w:val="941E3D"/>
          <w:sz w:val="18"/>
          <w:rtl w:val="1"/>
        </w:rPr>
        <w:t>● الانتقال إلى مقر جديد بإيجار سنوي ٤٥٬٠٠٠ ريال بدلًا من ٧٠٬٠٠٠ ريال، وبدعم من نائب رئيس مجلس الإدارة.</w:t>
      </w:r>
    </w:p>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تنمية الموارد والاستدامة</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٠٦</w:t>
            </w:r>
          </w:p>
        </w:tc>
      </w:tr>
    </w:tbl>
    <w:tbl>
      <w:tblPr>
        <w:tblW w:type="auto" w:w="0"/>
        <w:jc w:val="center"/>
        <w:tblLook w:firstColumn="1" w:firstRow="1" w:lastColumn="0" w:lastRow="0" w:noHBand="0" w:noVBand="1" w:val="04A0"/>
        <w:bidiVisual w:val="1"/>
      </w:tblPr>
      <w:tblGrid>
        <w:gridCol w:w="2649"/>
        <w:gridCol w:w="2649"/>
        <w:gridCol w:w="2649"/>
        <w:gridCol w:w="2649"/>
      </w:tblGrid>
      <w:tr>
        <w:tc>
          <w:tcPr>
            <w:tcW w:type="dxa" w:w="2509"/>
            <w:tcBorders>
              <w:top w:val="single" w:sz="18" w:color="941E3D"/>
              <w:bottom w:val="single" w:sz="4" w:color="E4DCE0"/>
              <w:start w:val="single" w:sz="4" w:color="E4DCE0"/>
              <w:end w:val="single" w:sz="4" w:color="E4DCE0"/>
              <w:insideH w:val="nil" w:sz="6" w:color="D9CDD3"/>
              <w:insideV w:val="nil" w:sz="6" w:color="D9CDD3"/>
            </w:tcBorders>
            <w:tcMar>
              <w:top w:w="120" w:type="dxa"/>
              <w:start w:w="100" w:type="dxa"/>
              <w:bottom w:w="120" w:type="dxa"/>
              <w:end w:w="100" w:type="dxa"/>
            </w:tcMar>
            <w:shd w:fill="F7F4F6"/>
          </w:tcPr>
          <w:p>
            <w:pPr>
              <w:spacing w:after="0"/>
              <w:jc w:val="center"/>
              <w:bidi w:val="1"/>
            </w:pPr>
            <w:r/>
            <w:r>
              <w:rPr>
                <w:rFonts w:ascii="Noto Kufi Arabic" w:hAnsi="Noto Kufi Arabic" w:eastAsia="Noto Kufi Arabic" w:cs="Noto Kufi Arabic"/>
                <w:b/>
                <w:color w:val="941E3D"/>
                <w:sz w:val="34"/>
                <w:rtl w:val="1"/>
              </w:rPr>
              <w:t>٢٧</w:t>
            </w:r>
          </w:p>
          <w:p>
            <w:pPr>
              <w:spacing w:after="0"/>
              <w:jc w:val="center"/>
              <w:bidi w:val="1"/>
            </w:pPr>
            <w:r>
              <w:rPr>
                <w:rFonts w:ascii="Noto Sans Arabic" w:hAnsi="Noto Sans Arabic" w:eastAsia="Noto Sans Arabic" w:cs="Noto Sans Arabic"/>
                <w:b w:val="0"/>
                <w:color w:val="14253D"/>
                <w:sz w:val="17"/>
                <w:rtl w:val="1"/>
              </w:rPr>
              <w:t>طلبات منح تم التقديم عليها</w:t>
            </w:r>
          </w:p>
        </w:tc>
        <w:tc>
          <w:tcPr>
            <w:tcW w:type="dxa" w:w="2509"/>
            <w:tcBorders>
              <w:top w:val="single" w:sz="18" w:color="941E3D"/>
              <w:bottom w:val="single" w:sz="4" w:color="E4DCE0"/>
              <w:start w:val="single" w:sz="4" w:color="E4DCE0"/>
              <w:end w:val="single" w:sz="4" w:color="E4DCE0"/>
              <w:insideH w:val="nil" w:sz="6" w:color="D9CDD3"/>
              <w:insideV w:val="nil" w:sz="6" w:color="D9CDD3"/>
            </w:tcBorders>
            <w:tcMar>
              <w:top w:w="120" w:type="dxa"/>
              <w:start w:w="100" w:type="dxa"/>
              <w:bottom w:w="120" w:type="dxa"/>
              <w:end w:w="100" w:type="dxa"/>
            </w:tcMar>
            <w:shd w:fill="F7F4F6"/>
          </w:tcPr>
          <w:p>
            <w:pPr>
              <w:spacing w:after="0"/>
              <w:jc w:val="center"/>
              <w:bidi w:val="1"/>
            </w:pPr>
            <w:r/>
            <w:r>
              <w:rPr>
                <w:rFonts w:ascii="Noto Kufi Arabic" w:hAnsi="Noto Kufi Arabic" w:eastAsia="Noto Kufi Arabic" w:cs="Noto Kufi Arabic"/>
                <w:b/>
                <w:color w:val="941E3D"/>
                <w:sz w:val="34"/>
                <w:rtl w:val="1"/>
              </w:rPr>
              <w:t>٢</w:t>
            </w:r>
          </w:p>
          <w:p>
            <w:pPr>
              <w:spacing w:after="0"/>
              <w:jc w:val="center"/>
              <w:bidi w:val="1"/>
            </w:pPr>
            <w:r>
              <w:rPr>
                <w:rFonts w:ascii="Noto Sans Arabic" w:hAnsi="Noto Sans Arabic" w:eastAsia="Noto Sans Arabic" w:cs="Noto Sans Arabic"/>
                <w:b w:val="0"/>
                <w:color w:val="14253D"/>
                <w:sz w:val="17"/>
                <w:rtl w:val="1"/>
              </w:rPr>
              <w:t>منح مقبولة</w:t>
            </w:r>
          </w:p>
        </w:tc>
        <w:tc>
          <w:tcPr>
            <w:tcW w:type="dxa" w:w="2509"/>
            <w:tcBorders>
              <w:top w:val="single" w:sz="18" w:color="941E3D"/>
              <w:bottom w:val="single" w:sz="4" w:color="E4DCE0"/>
              <w:start w:val="single" w:sz="4" w:color="E4DCE0"/>
              <w:end w:val="single" w:sz="4" w:color="E4DCE0"/>
              <w:insideH w:val="nil" w:sz="6" w:color="D9CDD3"/>
              <w:insideV w:val="nil" w:sz="6" w:color="D9CDD3"/>
            </w:tcBorders>
            <w:tcMar>
              <w:top w:w="120" w:type="dxa"/>
              <w:start w:w="100" w:type="dxa"/>
              <w:bottom w:w="120" w:type="dxa"/>
              <w:end w:w="100" w:type="dxa"/>
            </w:tcMar>
            <w:shd w:fill="F7F4F6"/>
          </w:tcPr>
          <w:p>
            <w:pPr>
              <w:spacing w:after="0"/>
              <w:jc w:val="center"/>
              <w:bidi w:val="1"/>
            </w:pPr>
            <w:r/>
            <w:r>
              <w:rPr>
                <w:rFonts w:ascii="Noto Kufi Arabic" w:hAnsi="Noto Kufi Arabic" w:eastAsia="Noto Kufi Arabic" w:cs="Noto Kufi Arabic"/>
                <w:b/>
                <w:color w:val="941E3D"/>
                <w:sz w:val="34"/>
                <w:rtl w:val="1"/>
              </w:rPr>
              <w:t>٠٪</w:t>
            </w:r>
          </w:p>
          <w:p>
            <w:pPr>
              <w:spacing w:after="0"/>
              <w:jc w:val="center"/>
              <w:bidi w:val="1"/>
            </w:pPr>
            <w:r>
              <w:rPr>
                <w:rFonts w:ascii="Noto Sans Arabic" w:hAnsi="Noto Sans Arabic" w:eastAsia="Noto Sans Arabic" w:cs="Noto Sans Arabic"/>
                <w:b w:val="0"/>
                <w:color w:val="14253D"/>
                <w:sz w:val="17"/>
                <w:rtl w:val="1"/>
              </w:rPr>
              <w:t>تكلفة جمع التبرعات</w:t>
            </w:r>
          </w:p>
        </w:tc>
        <w:tc>
          <w:tcPr>
            <w:tcW w:type="dxa" w:w="2509"/>
            <w:tcBorders>
              <w:top w:val="single" w:sz="18" w:color="941E3D"/>
              <w:bottom w:val="single" w:sz="4" w:color="E4DCE0"/>
              <w:start w:val="single" w:sz="4" w:color="E4DCE0"/>
              <w:end w:val="single" w:sz="4" w:color="E4DCE0"/>
              <w:insideH w:val="nil" w:sz="6" w:color="D9CDD3"/>
              <w:insideV w:val="nil" w:sz="6" w:color="D9CDD3"/>
            </w:tcBorders>
            <w:tcMar>
              <w:top w:w="120" w:type="dxa"/>
              <w:start w:w="100" w:type="dxa"/>
              <w:bottom w:w="120" w:type="dxa"/>
              <w:end w:w="100" w:type="dxa"/>
            </w:tcMar>
            <w:shd w:fill="F7F4F6"/>
          </w:tcPr>
          <w:p>
            <w:pPr>
              <w:spacing w:after="0"/>
              <w:jc w:val="center"/>
              <w:bidi w:val="1"/>
            </w:pPr>
            <w:r/>
            <w:r>
              <w:rPr>
                <w:rFonts w:ascii="Noto Kufi Arabic" w:hAnsi="Noto Kufi Arabic" w:eastAsia="Noto Kufi Arabic" w:cs="Noto Kufi Arabic"/>
                <w:b/>
                <w:color w:val="941E3D"/>
                <w:sz w:val="34"/>
                <w:rtl w:val="1"/>
              </w:rPr>
              <w:t>١١</w:t>
            </w:r>
          </w:p>
          <w:p>
            <w:pPr>
              <w:spacing w:after="0"/>
              <w:jc w:val="center"/>
              <w:bidi w:val="1"/>
            </w:pPr>
            <w:r>
              <w:rPr>
                <w:rFonts w:ascii="Noto Sans Arabic" w:hAnsi="Noto Sans Arabic" w:eastAsia="Noto Sans Arabic" w:cs="Noto Sans Arabic"/>
                <w:b w:val="0"/>
                <w:color w:val="14253D"/>
                <w:sz w:val="17"/>
                <w:rtl w:val="1"/>
              </w:rPr>
              <w:t>جهات متابعة نشطة</w:t>
            </w:r>
          </w:p>
        </w:tc>
      </w:tr>
    </w:tbl>
    <w:p>
      <w:pPr>
        <w:spacing w:after="20"/>
      </w:pPr>
    </w:p>
    <w:p>
      <w:pPr>
        <w:spacing w:after="120" w:before="120"/>
        <w:jc w:val="right"/>
        <w:bidi w:val="1"/>
      </w:pPr>
      <w:r>
        <w:rPr>
          <w:rFonts w:ascii="Noto Kufi Arabic" w:hAnsi="Noto Kufi Arabic" w:eastAsia="Noto Kufi Arabic" w:cs="Noto Kufi Arabic"/>
          <w:b/>
          <w:color w:val="941E3D"/>
          <w:sz w:val="24"/>
          <w:rtl w:val="1"/>
        </w:rPr>
        <w:t>المنح المقبولة</w:t>
      </w:r>
    </w:p>
    <w:p>
      <w:pPr>
        <w:spacing w:after="80"/>
        <w:ind w:left="113"/>
        <w:jc w:val="right"/>
        <w:bidi w:val="1"/>
      </w:pPr>
      <w:r>
        <w:rPr>
          <w:rFonts w:ascii="Noto Kufi Arabic" w:hAnsi="Noto Kufi Arabic" w:eastAsia="Noto Kufi Arabic" w:cs="Noto Kufi Arabic"/>
          <w:b/>
          <w:color w:val="941E3D"/>
          <w:sz w:val="19"/>
          <w:rtl w:val="1"/>
        </w:rPr>
        <w:t xml:space="preserve">● </w:t>
      </w:r>
      <w:r>
        <w:rPr>
          <w:rFonts w:ascii="Noto Sans Arabic" w:hAnsi="Noto Sans Arabic" w:eastAsia="Noto Sans Arabic" w:cs="Noto Sans Arabic"/>
          <w:b w:val="0"/>
          <w:color w:val="243044"/>
          <w:sz w:val="19"/>
          <w:rtl w:val="1"/>
        </w:rPr>
        <w:t>مؤسسة إبراهيم العنقري: ٢٠٬٠٠٠ ريال.</w:t>
      </w:r>
    </w:p>
    <w:p>
      <w:pPr>
        <w:spacing w:after="80"/>
        <w:ind w:left="113"/>
        <w:jc w:val="right"/>
        <w:bidi w:val="1"/>
      </w:pPr>
      <w:r>
        <w:rPr>
          <w:rFonts w:ascii="Noto Kufi Arabic" w:hAnsi="Noto Kufi Arabic" w:eastAsia="Noto Kufi Arabic" w:cs="Noto Kufi Arabic"/>
          <w:b/>
          <w:color w:val="941E3D"/>
          <w:sz w:val="19"/>
          <w:rtl w:val="1"/>
        </w:rPr>
        <w:t xml:space="preserve">● </w:t>
      </w:r>
      <w:r>
        <w:rPr>
          <w:rFonts w:ascii="Noto Sans Arabic" w:hAnsi="Noto Sans Arabic" w:eastAsia="Noto Sans Arabic" w:cs="Noto Sans Arabic"/>
          <w:b w:val="0"/>
          <w:color w:val="243044"/>
          <w:sz w:val="19"/>
          <w:rtl w:val="1"/>
        </w:rPr>
        <w:t>وقف الشيخ عبدالعزيز أبو زيد: ٢٠٬٠٠٠ ريال.</w:t>
      </w:r>
    </w:p>
    <w:p>
      <w:pPr>
        <w:spacing w:after="80"/>
        <w:ind w:left="113"/>
        <w:jc w:val="right"/>
        <w:bidi w:val="1"/>
      </w:pPr>
      <w:r>
        <w:rPr>
          <w:rFonts w:ascii="Noto Kufi Arabic" w:hAnsi="Noto Kufi Arabic" w:eastAsia="Noto Kufi Arabic" w:cs="Noto Kufi Arabic"/>
          <w:b/>
          <w:color w:val="941E3D"/>
          <w:sz w:val="19"/>
          <w:rtl w:val="1"/>
        </w:rPr>
        <w:t xml:space="preserve">● </w:t>
      </w:r>
      <w:r>
        <w:rPr>
          <w:rFonts w:ascii="Noto Sans Arabic" w:hAnsi="Noto Sans Arabic" w:eastAsia="Noto Sans Arabic" w:cs="Noto Sans Arabic"/>
          <w:b w:val="0"/>
          <w:color w:val="243044"/>
          <w:sz w:val="19"/>
          <w:rtl w:val="1"/>
        </w:rPr>
        <w:t>تحققت المنحتان رغم عدم اكتمال الحوكمة والقوائم المالية في ذلك الوقت، وفق ما ورد في التقرير.</w:t>
      </w:r>
    </w:p>
    <w:p>
      <w:pPr>
        <w:spacing w:after="120" w:before="120"/>
        <w:jc w:val="right"/>
        <w:bidi w:val="1"/>
      </w:pPr>
      <w:r>
        <w:rPr>
          <w:rFonts w:ascii="Noto Kufi Arabic" w:hAnsi="Noto Kufi Arabic" w:eastAsia="Noto Kufi Arabic" w:cs="Noto Kufi Arabic"/>
          <w:b/>
          <w:color w:val="941E3D"/>
          <w:sz w:val="24"/>
          <w:rtl w:val="1"/>
        </w:rPr>
        <w:t>طلبات وجهات قيد الدراسة والمتابعة</w:t>
      </w:r>
    </w:p>
    <w:tbl>
      <w:tblPr>
        <w:tblW w:type="auto" w:w="0"/>
        <w:jc w:val="center"/>
        <w:tblLayout w:type="fixed"/>
        <w:tblLook w:firstColumn="1" w:firstRow="1" w:lastColumn="0" w:lastRow="0" w:noHBand="0" w:noVBand="1" w:val="04A0"/>
        <w:bidiVisual w:val="1"/>
      </w:tblPr>
      <w:tblGrid>
        <w:gridCol w:w="2649"/>
        <w:gridCol w:w="2649"/>
        <w:gridCol w:w="2649"/>
        <w:gridCol w:w="2649"/>
      </w:tblGrid>
      <w:tr>
        <w:trPr>
          <w:tblHeader w:val="true"/>
          <w:cantSplit/>
        </w:trPr>
        <w:tc>
          <w:tcPr>
            <w:tcW w:type="dxa" w:w="2891"/>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4"/>
                <w:rtl w:val="1"/>
              </w:rPr>
              <w:t>الجهة</w:t>
            </w:r>
          </w:p>
        </w:tc>
        <w:tc>
          <w:tcPr>
            <w:tcW w:type="dxa" w:w="3515"/>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4"/>
                <w:rtl w:val="1"/>
              </w:rPr>
              <w:t>المشروع</w:t>
            </w:r>
          </w:p>
        </w:tc>
        <w:tc>
          <w:tcPr>
            <w:tcW w:type="dxa" w:w="1587"/>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4"/>
                <w:rtl w:val="1"/>
              </w:rPr>
              <w:t>التاريخ</w:t>
            </w:r>
          </w:p>
        </w:tc>
        <w:tc>
          <w:tcPr>
            <w:tcW w:type="dxa" w:w="1928"/>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4"/>
                <w:rtl w:val="1"/>
              </w:rPr>
              <w:t>الحالة</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صندوق دعم الجمعيات</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جودة حياة</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٠١/٠٨/٢٠٢٦</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قيد الدراسة</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محمد صالح الشاوي الخيرية</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عون للرعاية المستدامة والدواء</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٠٦/٠٨/٢٠٢٦</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قيد الدراسة</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أوقاف الشيخ صالح الراجحي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دفء وغذاء ٢٠٢٧م</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١٢/٠٨/٢٠٢٦</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قيد الدراسة</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مجلس الأوقاف الرائدة</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٣ برامج - وافق على جودة الحياة</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موافقة جزئية</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بنك الرياض</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دعم المشاريع</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٠٦/٠٧/٢٠٢٦</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قيد المتابعة</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بنك البلاد</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دعم المشاريع</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يوليو ٢٠٢٦</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قيد المتابعة</w:t>
            </w:r>
          </w:p>
        </w:tc>
      </w:tr>
    </w:tbl>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القطاع الخاص وتحديثات ما بعد الفترة</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٠٦</w:t>
            </w:r>
          </w:p>
        </w:tc>
      </w:tr>
    </w:tbl>
    <w:p>
      <w:pPr>
        <w:spacing w:after="120" w:before="120"/>
        <w:jc w:val="right"/>
        <w:bidi w:val="1"/>
      </w:pPr>
      <w:r>
        <w:rPr>
          <w:rFonts w:ascii="Noto Kufi Arabic" w:hAnsi="Noto Kufi Arabic" w:eastAsia="Noto Kufi Arabic" w:cs="Noto Kufi Arabic"/>
          <w:b/>
          <w:color w:val="941E3D"/>
          <w:sz w:val="24"/>
          <w:rtl w:val="1"/>
        </w:rPr>
        <w:t>طلبات المسؤولية المجتمعية المقدمة بتاريخ ٠٧/٠٥/٢٠٢٦م</w:t>
      </w:r>
    </w:p>
    <w:p>
      <w:pPr>
        <w:spacing w:after="80"/>
        <w:ind w:left="113"/>
        <w:jc w:val="right"/>
        <w:bidi w:val="1"/>
      </w:pPr>
      <w:r>
        <w:rPr>
          <w:rFonts w:ascii="Noto Kufi Arabic" w:hAnsi="Noto Kufi Arabic" w:eastAsia="Noto Kufi Arabic" w:cs="Noto Kufi Arabic"/>
          <w:b/>
          <w:color w:val="941E3D"/>
          <w:sz w:val="19"/>
          <w:rtl w:val="1"/>
        </w:rPr>
        <w:t xml:space="preserve">● </w:t>
      </w:r>
      <w:r>
        <w:rPr>
          <w:rFonts w:ascii="Noto Sans Arabic" w:hAnsi="Noto Sans Arabic" w:eastAsia="Noto Sans Arabic" w:cs="Noto Sans Arabic"/>
          <w:b w:val="0"/>
          <w:color w:val="243044"/>
          <w:sz w:val="19"/>
          <w:rtl w:val="1"/>
        </w:rPr>
        <w:t>شركة الراجحي للخدمات التجارية المساندة.</w:t>
      </w:r>
    </w:p>
    <w:p>
      <w:pPr>
        <w:spacing w:after="80"/>
        <w:ind w:left="113"/>
        <w:jc w:val="right"/>
        <w:bidi w:val="1"/>
      </w:pPr>
      <w:r>
        <w:rPr>
          <w:rFonts w:ascii="Noto Kufi Arabic" w:hAnsi="Noto Kufi Arabic" w:eastAsia="Noto Kufi Arabic" w:cs="Noto Kufi Arabic"/>
          <w:b/>
          <w:color w:val="941E3D"/>
          <w:sz w:val="19"/>
          <w:rtl w:val="1"/>
        </w:rPr>
        <w:t xml:space="preserve">● </w:t>
      </w:r>
      <w:r>
        <w:rPr>
          <w:rFonts w:ascii="Noto Sans Arabic" w:hAnsi="Noto Sans Arabic" w:eastAsia="Noto Sans Arabic" w:cs="Noto Sans Arabic"/>
          <w:b w:val="0"/>
          <w:color w:val="243044"/>
          <w:sz w:val="19"/>
          <w:rtl w:val="1"/>
        </w:rPr>
        <w:t>شركة ضيوف البيت لخدمات الحجاج.</w:t>
      </w:r>
    </w:p>
    <w:p>
      <w:pPr>
        <w:spacing w:after="80"/>
        <w:ind w:left="113"/>
        <w:jc w:val="right"/>
        <w:bidi w:val="1"/>
      </w:pPr>
      <w:r>
        <w:rPr>
          <w:rFonts w:ascii="Noto Kufi Arabic" w:hAnsi="Noto Kufi Arabic" w:eastAsia="Noto Kufi Arabic" w:cs="Noto Kufi Arabic"/>
          <w:b/>
          <w:color w:val="941E3D"/>
          <w:sz w:val="19"/>
          <w:rtl w:val="1"/>
        </w:rPr>
        <w:t xml:space="preserve">● </w:t>
      </w:r>
      <w:r>
        <w:rPr>
          <w:rFonts w:ascii="Noto Sans Arabic" w:hAnsi="Noto Sans Arabic" w:eastAsia="Noto Sans Arabic" w:cs="Noto Sans Arabic"/>
          <w:b w:val="0"/>
          <w:color w:val="243044"/>
          <w:sz w:val="19"/>
          <w:rtl w:val="1"/>
        </w:rPr>
        <w:t>شركة فندق هوليدي إن بمكة.</w:t>
      </w:r>
    </w:p>
    <w:p>
      <w:pPr>
        <w:spacing w:after="80"/>
        <w:ind w:left="113"/>
        <w:jc w:val="right"/>
        <w:bidi w:val="1"/>
      </w:pPr>
      <w:r>
        <w:rPr>
          <w:rFonts w:ascii="Noto Kufi Arabic" w:hAnsi="Noto Kufi Arabic" w:eastAsia="Noto Kufi Arabic" w:cs="Noto Kufi Arabic"/>
          <w:b/>
          <w:color w:val="941E3D"/>
          <w:sz w:val="19"/>
          <w:rtl w:val="1"/>
        </w:rPr>
        <w:t xml:space="preserve">● </w:t>
      </w:r>
      <w:r>
        <w:rPr>
          <w:rFonts w:ascii="Noto Sans Arabic" w:hAnsi="Noto Sans Arabic" w:eastAsia="Noto Sans Arabic" w:cs="Noto Sans Arabic"/>
          <w:b w:val="0"/>
          <w:color w:val="243044"/>
          <w:sz w:val="19"/>
          <w:rtl w:val="1"/>
        </w:rPr>
        <w:t>شركة فندق أبراج مكة الفندقية.</w:t>
      </w:r>
    </w:p>
    <w:p>
      <w:pPr>
        <w:spacing w:after="80"/>
        <w:ind w:left="113"/>
        <w:jc w:val="right"/>
        <w:bidi w:val="1"/>
      </w:pPr>
      <w:r>
        <w:rPr>
          <w:rFonts w:ascii="Noto Kufi Arabic" w:hAnsi="Noto Kufi Arabic" w:eastAsia="Noto Kufi Arabic" w:cs="Noto Kufi Arabic"/>
          <w:b/>
          <w:color w:val="941E3D"/>
          <w:sz w:val="19"/>
          <w:rtl w:val="1"/>
        </w:rPr>
        <w:t xml:space="preserve">● </w:t>
      </w:r>
      <w:r>
        <w:rPr>
          <w:rFonts w:ascii="Noto Sans Arabic" w:hAnsi="Noto Sans Arabic" w:eastAsia="Noto Sans Arabic" w:cs="Noto Sans Arabic"/>
          <w:b w:val="0"/>
          <w:color w:val="243044"/>
          <w:sz w:val="19"/>
          <w:rtl w:val="1"/>
        </w:rPr>
        <w:t>شركة مشارق الماسية لخدمات الحجاج.</w:t>
      </w:r>
    </w:p>
    <w:p>
      <w:pPr>
        <w:spacing w:after="80"/>
        <w:ind w:left="113"/>
        <w:jc w:val="right"/>
        <w:bidi w:val="1"/>
      </w:pPr>
      <w:r>
        <w:rPr>
          <w:rFonts w:ascii="Noto Kufi Arabic" w:hAnsi="Noto Kufi Arabic" w:eastAsia="Noto Kufi Arabic" w:cs="Noto Kufi Arabic"/>
          <w:b/>
          <w:color w:val="941E3D"/>
          <w:sz w:val="19"/>
          <w:rtl w:val="1"/>
        </w:rPr>
        <w:t xml:space="preserve">● </w:t>
      </w:r>
      <w:r>
        <w:rPr>
          <w:rFonts w:ascii="Noto Sans Arabic" w:hAnsi="Noto Sans Arabic" w:eastAsia="Noto Sans Arabic" w:cs="Noto Sans Arabic"/>
          <w:b w:val="0"/>
          <w:color w:val="243044"/>
          <w:sz w:val="19"/>
          <w:rtl w:val="1"/>
        </w:rPr>
        <w:t>شركة الرفادة لخدمات الحجاج.</w:t>
      </w:r>
    </w:p>
    <w:tbl>
      <w:tblPr>
        <w:tblW w:type="auto" w:w="0"/>
        <w:jc w:val="center"/>
        <w:tblLook w:firstColumn="1" w:firstRow="1" w:lastColumn="0" w:lastRow="0" w:noHBand="0" w:noVBand="1" w:val="04A0"/>
        <w:bidiVisual w:val="1"/>
      </w:tblPr>
      <w:tblGrid>
        <w:gridCol w:w="5298"/>
        <w:gridCol w:w="5298"/>
      </w:tblGrid>
      <w:tr>
        <w:trPr>
          <w:cantSplit/>
        </w:trPr>
        <w:tc>
          <w:tcPr>
            <w:tcW w:type="dxa" w:w="9581"/>
            <w:tcBorders>
              <w:top w:val="nil" w:sz="6" w:color="D9CDD3"/>
              <w:bottom w:val="nil" w:sz="6" w:color="D9CDD3"/>
              <w:start w:val="nil" w:sz="6" w:color="D9CDD3"/>
              <w:end w:val="nil" w:sz="6" w:color="D9CDD3"/>
              <w:insideH w:val="nil" w:sz="6" w:color="D9CDD3"/>
              <w:insideV w:val="nil" w:sz="6" w:color="D9CDD3"/>
            </w:tcBorders>
            <w:tcMar>
              <w:top w:w="120" w:type="dxa"/>
              <w:start w:w="160" w:type="dxa"/>
              <w:bottom w:w="120" w:type="dxa"/>
              <w:end w:w="160" w:type="dxa"/>
            </w:tcMar>
            <w:shd w:fill="FFF8E8"/>
          </w:tcPr>
          <w:p>
            <w:pPr>
              <w:spacing w:after="0"/>
              <w:jc w:val="right"/>
              <w:bidi w:val="1"/>
            </w:pPr>
            <w:r/>
            <w:r>
              <w:rPr>
                <w:rFonts w:ascii="Noto Kufi Arabic" w:hAnsi="Noto Kufi Arabic" w:eastAsia="Noto Kufi Arabic" w:cs="Noto Kufi Arabic"/>
                <w:b/>
                <w:color w:val="B99B5A"/>
                <w:sz w:val="19"/>
                <w:rtl w:val="1"/>
              </w:rPr>
              <w:t>الفترة الزمنية</w:t>
            </w:r>
          </w:p>
          <w:p>
            <w:pPr>
              <w:spacing w:after="0"/>
              <w:jc w:val="right"/>
              <w:bidi w:val="1"/>
            </w:pPr>
            <w:r>
              <w:rPr>
                <w:rFonts w:ascii="Noto Sans Arabic" w:hAnsi="Noto Sans Arabic" w:eastAsia="Noto Sans Arabic" w:cs="Noto Sans Arabic"/>
                <w:b w:val="0"/>
                <w:color w:val="243044"/>
                <w:sz w:val="19"/>
                <w:rtl w:val="1"/>
              </w:rPr>
              <w:t>تتضمن متابعة تنمية الموارد طلبات مؤرخة في يوليو وأغسطس ٢٠٢٦م، أي بعد نهاية فترة التقرير في ٣٠ يونيو؛ ولذلك تم تمييزها بوضوح كتحديثات لاحقة.</w:t>
            </w:r>
          </w:p>
        </w:tc>
        <w:tc>
          <w:tcPr>
            <w:tcW w:type="dxa" w:w="255"/>
            <w:tcBorders>
              <w:top w:val="nil" w:sz="6" w:color="D9CDD3"/>
              <w:bottom w:val="nil" w:sz="6" w:color="D9CDD3"/>
              <w:start w:val="nil" w:sz="6" w:color="D9CDD3"/>
              <w:end w:val="nil" w:sz="6" w:color="D9CDD3"/>
              <w:insideH w:val="nil" w:sz="6" w:color="D9CDD3"/>
              <w:insideV w:val="nil" w:sz="6" w:color="D9CDD3"/>
            </w:tcBorders>
            <w:tcMar>
              <w:top w:w="90" w:type="dxa"/>
              <w:start w:w="90" w:type="dxa"/>
              <w:bottom w:w="90" w:type="dxa"/>
              <w:end w:w="90" w:type="dxa"/>
            </w:tcMar>
            <w:shd w:fill="B99B5A"/>
          </w:tcPr>
          <w:p>
            <w:r/>
          </w:p>
        </w:tc>
      </w:tr>
    </w:tbl>
    <w:p>
      <w:pPr>
        <w:spacing w:after="40"/>
      </w:pPr>
    </w:p>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الفرص المؤجلة والمرفوضة - متابعة لاحقة</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٠٦</w:t>
            </w:r>
          </w:p>
        </w:tc>
      </w:tr>
    </w:tbl>
    <w:p>
      <w:pPr>
        <w:spacing w:after="120" w:before="120"/>
        <w:jc w:val="right"/>
        <w:bidi w:val="1"/>
      </w:pPr>
      <w:r>
        <w:rPr>
          <w:rFonts w:ascii="Noto Kufi Arabic" w:hAnsi="Noto Kufi Arabic" w:eastAsia="Noto Kufi Arabic" w:cs="Noto Kufi Arabic"/>
          <w:b/>
          <w:color w:val="941E3D"/>
          <w:sz w:val="24"/>
          <w:rtl w:val="1"/>
        </w:rPr>
        <w:t>منصة إحسان</w:t>
      </w:r>
    </w:p>
    <w:p>
      <w:pPr>
        <w:spacing w:after="80"/>
        <w:ind w:left="113"/>
        <w:jc w:val="right"/>
        <w:bidi w:val="1"/>
      </w:pPr>
      <w:r>
        <w:rPr>
          <w:rFonts w:ascii="Noto Kufi Arabic" w:hAnsi="Noto Kufi Arabic" w:eastAsia="Noto Kufi Arabic" w:cs="Noto Kufi Arabic"/>
          <w:b/>
          <w:color w:val="941E3D"/>
          <w:sz w:val="18"/>
          <w:rtl w:val="1"/>
        </w:rPr>
        <w:t xml:space="preserve">● </w:t>
      </w:r>
      <w:r>
        <w:rPr>
          <w:rFonts w:ascii="Noto Sans Arabic" w:hAnsi="Noto Sans Arabic" w:eastAsia="Noto Sans Arabic" w:cs="Noto Sans Arabic"/>
          <w:b w:val="0"/>
          <w:color w:val="243044"/>
          <w:sz w:val="18"/>
          <w:rtl w:val="1"/>
        </w:rPr>
        <w:t>دعم المصاريف التشغيلية (٠١/٠٨/٢٠٢٦): ورد في التقرير «رفض بسبب مطابقة المجال»، وتم التواصل مع إدارة المنصة للتوضيح وتعديل التصنيف.</w:t>
      </w:r>
    </w:p>
    <w:p>
      <w:pPr>
        <w:spacing w:after="80"/>
        <w:ind w:left="113"/>
        <w:jc w:val="right"/>
        <w:bidi w:val="1"/>
      </w:pPr>
      <w:r>
        <w:rPr>
          <w:rFonts w:ascii="Noto Kufi Arabic" w:hAnsi="Noto Kufi Arabic" w:eastAsia="Noto Kufi Arabic" w:cs="Noto Kufi Arabic"/>
          <w:b/>
          <w:color w:val="941E3D"/>
          <w:sz w:val="18"/>
          <w:rtl w:val="1"/>
        </w:rPr>
        <w:t xml:space="preserve">● </w:t>
      </w:r>
      <w:r>
        <w:rPr>
          <w:rFonts w:ascii="Noto Sans Arabic" w:hAnsi="Noto Sans Arabic" w:eastAsia="Noto Sans Arabic" w:cs="Noto Sans Arabic"/>
          <w:b w:val="0"/>
          <w:color w:val="243044"/>
          <w:sz w:val="18"/>
          <w:rtl w:val="1"/>
        </w:rPr>
        <w:t>جلسات غسيل الكلى (٠٥/٠٨/٢٠٢٦): رفض لوجود ملاحظات تقنية في التقارير، وتم إرسال استفسار وتحديث التقارير عبر البوابة.</w:t>
      </w:r>
    </w:p>
    <w:p>
      <w:pPr>
        <w:spacing w:after="120" w:before="120"/>
        <w:jc w:val="right"/>
        <w:bidi w:val="1"/>
      </w:pPr>
      <w:r>
        <w:rPr>
          <w:rFonts w:ascii="Noto Kufi Arabic" w:hAnsi="Noto Kufi Arabic" w:eastAsia="Noto Kufi Arabic" w:cs="Noto Kufi Arabic"/>
          <w:b/>
          <w:color w:val="941E3D"/>
          <w:sz w:val="24"/>
          <w:rtl w:val="1"/>
        </w:rPr>
        <w:t>اعتذارات بسبب انتهاء الموازنات السنوية</w:t>
      </w:r>
    </w:p>
    <w:p>
      <w:pPr>
        <w:spacing w:after="80"/>
        <w:ind w:left="113"/>
        <w:jc w:val="right"/>
        <w:bidi w:val="1"/>
      </w:pPr>
      <w:r>
        <w:rPr>
          <w:rFonts w:ascii="Noto Kufi Arabic" w:hAnsi="Noto Kufi Arabic" w:eastAsia="Noto Kufi Arabic" w:cs="Noto Kufi Arabic"/>
          <w:b/>
          <w:color w:val="941E3D"/>
          <w:sz w:val="18"/>
          <w:rtl w:val="1"/>
        </w:rPr>
        <w:t xml:space="preserve">● </w:t>
      </w:r>
      <w:r>
        <w:rPr>
          <w:rFonts w:ascii="Noto Sans Arabic" w:hAnsi="Noto Sans Arabic" w:eastAsia="Noto Sans Arabic" w:cs="Noto Sans Arabic"/>
          <w:b w:val="0"/>
          <w:color w:val="243044"/>
          <w:sz w:val="18"/>
          <w:rtl w:val="1"/>
        </w:rPr>
        <w:t>مؤسسة الماجد الأهلية - جودة الحياة الصحية.</w:t>
      </w:r>
    </w:p>
    <w:p>
      <w:pPr>
        <w:spacing w:after="80"/>
        <w:ind w:left="113"/>
        <w:jc w:val="right"/>
        <w:bidi w:val="1"/>
      </w:pPr>
      <w:r>
        <w:rPr>
          <w:rFonts w:ascii="Noto Kufi Arabic" w:hAnsi="Noto Kufi Arabic" w:eastAsia="Noto Kufi Arabic" w:cs="Noto Kufi Arabic"/>
          <w:b/>
          <w:color w:val="941E3D"/>
          <w:sz w:val="18"/>
          <w:rtl w:val="1"/>
        </w:rPr>
        <w:t xml:space="preserve">● </w:t>
      </w:r>
      <w:r>
        <w:rPr>
          <w:rFonts w:ascii="Noto Sans Arabic" w:hAnsi="Noto Sans Arabic" w:eastAsia="Noto Sans Arabic" w:cs="Noto Sans Arabic"/>
          <w:b w:val="0"/>
          <w:color w:val="243044"/>
          <w:sz w:val="18"/>
          <w:rtl w:val="1"/>
        </w:rPr>
        <w:t>مؤسسة الشاوي الخيرية - برنامج دوائك في رمضان.</w:t>
      </w:r>
    </w:p>
    <w:p>
      <w:pPr>
        <w:spacing w:after="80"/>
        <w:ind w:left="113"/>
        <w:jc w:val="right"/>
        <w:bidi w:val="1"/>
      </w:pPr>
      <w:r>
        <w:rPr>
          <w:rFonts w:ascii="Noto Kufi Arabic" w:hAnsi="Noto Kufi Arabic" w:eastAsia="Noto Kufi Arabic" w:cs="Noto Kufi Arabic"/>
          <w:b/>
          <w:color w:val="941E3D"/>
          <w:sz w:val="18"/>
          <w:rtl w:val="1"/>
        </w:rPr>
        <w:t xml:space="preserve">● </w:t>
      </w:r>
      <w:r>
        <w:rPr>
          <w:rFonts w:ascii="Noto Sans Arabic" w:hAnsi="Noto Sans Arabic" w:eastAsia="Noto Sans Arabic" w:cs="Noto Sans Arabic"/>
          <w:b w:val="0"/>
          <w:color w:val="243044"/>
          <w:sz w:val="18"/>
          <w:rtl w:val="1"/>
        </w:rPr>
        <w:t>شركة طيبة للاستثمار - عمليات العيون وبرنامج الإسعافات الأولية.</w:t>
      </w:r>
    </w:p>
    <w:p>
      <w:pPr>
        <w:spacing w:after="80"/>
        <w:ind w:left="113"/>
        <w:jc w:val="right"/>
        <w:bidi w:val="1"/>
      </w:pPr>
      <w:r>
        <w:rPr>
          <w:rFonts w:ascii="Noto Kufi Arabic" w:hAnsi="Noto Kufi Arabic" w:eastAsia="Noto Kufi Arabic" w:cs="Noto Kufi Arabic"/>
          <w:b/>
          <w:color w:val="941E3D"/>
          <w:sz w:val="18"/>
          <w:rtl w:val="1"/>
        </w:rPr>
        <w:t xml:space="preserve">● </w:t>
      </w:r>
      <w:r>
        <w:rPr>
          <w:rFonts w:ascii="Noto Sans Arabic" w:hAnsi="Noto Sans Arabic" w:eastAsia="Noto Sans Arabic" w:cs="Noto Sans Arabic"/>
          <w:b w:val="0"/>
          <w:color w:val="243044"/>
          <w:sz w:val="18"/>
          <w:rtl w:val="1"/>
        </w:rPr>
        <w:t>مجموعة فنادق - عدم وجود ميزانية متاحة لدعم الجمعيات لعام ٢٠٢٦م.</w:t>
      </w:r>
    </w:p>
    <w:p>
      <w:pPr>
        <w:spacing w:after="120" w:before="120"/>
        <w:jc w:val="right"/>
        <w:bidi w:val="1"/>
      </w:pPr>
      <w:r>
        <w:rPr>
          <w:rFonts w:ascii="Noto Kufi Arabic" w:hAnsi="Noto Kufi Arabic" w:eastAsia="Noto Kufi Arabic" w:cs="Noto Kufi Arabic"/>
          <w:b/>
          <w:color w:val="941E3D"/>
          <w:sz w:val="24"/>
          <w:rtl w:val="1"/>
        </w:rPr>
        <w:t>اعتذارات لعدم التوافق المباشر مع شروط المانح</w:t>
      </w:r>
    </w:p>
    <w:p>
      <w:pPr>
        <w:spacing w:after="80"/>
        <w:ind w:left="113"/>
        <w:jc w:val="right"/>
        <w:bidi w:val="1"/>
      </w:pPr>
      <w:r>
        <w:rPr>
          <w:rFonts w:ascii="Noto Kufi Arabic" w:hAnsi="Noto Kufi Arabic" w:eastAsia="Noto Kufi Arabic" w:cs="Noto Kufi Arabic"/>
          <w:b/>
          <w:color w:val="941E3D"/>
          <w:sz w:val="18"/>
          <w:rtl w:val="1"/>
        </w:rPr>
        <w:t xml:space="preserve">● </w:t>
      </w:r>
      <w:r>
        <w:rPr>
          <w:rFonts w:ascii="Noto Sans Arabic" w:hAnsi="Noto Sans Arabic" w:eastAsia="Noto Sans Arabic" w:cs="Noto Sans Arabic"/>
          <w:b w:val="0"/>
          <w:color w:val="243044"/>
          <w:sz w:val="18"/>
          <w:rtl w:val="1"/>
        </w:rPr>
        <w:t>أوقاف الضحيان - اعتذار عن مشروع جودة الحياة للأجهزة الطبية.</w:t>
      </w:r>
    </w:p>
    <w:p>
      <w:pPr>
        <w:spacing w:after="80"/>
        <w:ind w:left="113"/>
        <w:jc w:val="right"/>
        <w:bidi w:val="1"/>
      </w:pPr>
      <w:r>
        <w:rPr>
          <w:rFonts w:ascii="Noto Kufi Arabic" w:hAnsi="Noto Kufi Arabic" w:eastAsia="Noto Kufi Arabic" w:cs="Noto Kufi Arabic"/>
          <w:b/>
          <w:color w:val="941E3D"/>
          <w:sz w:val="18"/>
          <w:rtl w:val="1"/>
        </w:rPr>
        <w:t xml:space="preserve">● </w:t>
      </w:r>
      <w:r>
        <w:rPr>
          <w:rFonts w:ascii="Noto Sans Arabic" w:hAnsi="Noto Sans Arabic" w:eastAsia="Noto Sans Arabic" w:cs="Noto Sans Arabic"/>
          <w:b w:val="0"/>
          <w:color w:val="243044"/>
          <w:sz w:val="18"/>
          <w:rtl w:val="1"/>
        </w:rPr>
        <w:t>مؤسسة طلال الخيرية - اشتراط درجة الحوكمة المعتمدة.</w:t>
      </w:r>
    </w:p>
    <w:p>
      <w:pPr>
        <w:spacing w:after="80"/>
        <w:ind w:left="113"/>
        <w:jc w:val="right"/>
        <w:bidi w:val="1"/>
      </w:pPr>
      <w:r>
        <w:rPr>
          <w:rFonts w:ascii="Noto Kufi Arabic" w:hAnsi="Noto Kufi Arabic" w:eastAsia="Noto Kufi Arabic" w:cs="Noto Kufi Arabic"/>
          <w:b/>
          <w:color w:val="941E3D"/>
          <w:sz w:val="18"/>
          <w:rtl w:val="1"/>
        </w:rPr>
        <w:t xml:space="preserve">● </w:t>
      </w:r>
      <w:r>
        <w:rPr>
          <w:rFonts w:ascii="Noto Sans Arabic" w:hAnsi="Noto Sans Arabic" w:eastAsia="Noto Sans Arabic" w:cs="Noto Sans Arabic"/>
          <w:b w:val="0"/>
          <w:color w:val="243044"/>
          <w:sz w:val="18"/>
          <w:rtl w:val="1"/>
        </w:rPr>
        <w:t>مؤسسة الحمدان الخيرية - عدم توفر مسار متخصص للقطاع الصحي.</w:t>
      </w:r>
    </w:p>
    <w:p>
      <w:pPr>
        <w:spacing w:after="80"/>
        <w:ind w:left="113"/>
        <w:jc w:val="right"/>
        <w:bidi w:val="1"/>
      </w:pPr>
      <w:r>
        <w:rPr>
          <w:rFonts w:ascii="Noto Kufi Arabic" w:hAnsi="Noto Kufi Arabic" w:eastAsia="Noto Kufi Arabic" w:cs="Noto Kufi Arabic"/>
          <w:b/>
          <w:color w:val="941E3D"/>
          <w:sz w:val="18"/>
          <w:rtl w:val="1"/>
        </w:rPr>
        <w:t xml:space="preserve">● </w:t>
      </w:r>
      <w:r>
        <w:rPr>
          <w:rFonts w:ascii="Noto Sans Arabic" w:hAnsi="Noto Sans Arabic" w:eastAsia="Noto Sans Arabic" w:cs="Noto Sans Arabic"/>
          <w:b w:val="0"/>
          <w:color w:val="243044"/>
          <w:sz w:val="18"/>
          <w:rtl w:val="1"/>
        </w:rPr>
        <w:t>مؤسسة عبدالقادر المهيدب لخدمة المجتمع - تركيز الدعم حاليًا على مبادرات الطفولة المبكرة.</w:t>
      </w:r>
    </w:p>
    <w:tbl>
      <w:tblPr>
        <w:tblW w:type="auto" w:w="0"/>
        <w:jc w:val="center"/>
        <w:tblLook w:firstColumn="1" w:firstRow="1" w:lastColumn="0" w:lastRow="0" w:noHBand="0" w:noVBand="1" w:val="04A0"/>
        <w:bidiVisual w:val="1"/>
      </w:tblPr>
      <w:tblGrid>
        <w:gridCol w:w="5298"/>
        <w:gridCol w:w="5298"/>
      </w:tblGrid>
      <w:tr>
        <w:trPr>
          <w:cantSplit/>
        </w:trPr>
        <w:tc>
          <w:tcPr>
            <w:tcW w:type="dxa" w:w="9581"/>
            <w:tcBorders>
              <w:top w:val="nil" w:sz="6" w:color="D9CDD3"/>
              <w:bottom w:val="nil" w:sz="6" w:color="D9CDD3"/>
              <w:start w:val="nil" w:sz="6" w:color="D9CDD3"/>
              <w:end w:val="nil" w:sz="6" w:color="D9CDD3"/>
              <w:insideH w:val="nil" w:sz="6" w:color="D9CDD3"/>
              <w:insideV w:val="nil" w:sz="6" w:color="D9CDD3"/>
            </w:tcBorders>
            <w:tcMar>
              <w:top w:w="120" w:type="dxa"/>
              <w:start w:w="160" w:type="dxa"/>
              <w:bottom w:w="120" w:type="dxa"/>
              <w:end w:w="160" w:type="dxa"/>
            </w:tcMar>
            <w:shd w:fill="F4EDF0"/>
          </w:tcPr>
          <w:p>
            <w:pPr>
              <w:spacing w:after="0"/>
              <w:jc w:val="right"/>
              <w:bidi w:val="1"/>
            </w:pPr>
            <w:r/>
            <w:r>
              <w:rPr>
                <w:rFonts w:ascii="Noto Kufi Arabic" w:hAnsi="Noto Kufi Arabic" w:eastAsia="Noto Kufi Arabic" w:cs="Noto Kufi Arabic"/>
                <w:b/>
                <w:color w:val="941E3D"/>
                <w:sz w:val="19"/>
                <w:rtl w:val="1"/>
              </w:rPr>
              <w:t>التوصيات الواردة بالتقرير</w:t>
            </w:r>
          </w:p>
          <w:p>
            <w:pPr>
              <w:spacing w:after="0"/>
              <w:jc w:val="right"/>
              <w:bidi w:val="1"/>
            </w:pPr>
            <w:r>
              <w:rPr>
                <w:rFonts w:ascii="Noto Sans Arabic" w:hAnsi="Noto Sans Arabic" w:eastAsia="Noto Sans Arabic" w:cs="Noto Sans Arabic"/>
                <w:b w:val="0"/>
                <w:color w:val="243044"/>
                <w:sz w:val="19"/>
                <w:rtl w:val="1"/>
              </w:rPr>
              <w:t>إعادة التقديم المبكر في الربع الأول ٢٠٢٧م للجهات التي انتهت موازناتها، وتسريع ملف الحوكمة، واستكمال معالجة الملاحظات الفنية في منصة إحسان.</w:t>
            </w:r>
          </w:p>
        </w:tc>
        <w:tc>
          <w:tcPr>
            <w:tcW w:type="dxa" w:w="255"/>
            <w:tcBorders>
              <w:top w:val="nil" w:sz="6" w:color="D9CDD3"/>
              <w:bottom w:val="nil" w:sz="6" w:color="D9CDD3"/>
              <w:start w:val="nil" w:sz="6" w:color="D9CDD3"/>
              <w:end w:val="nil" w:sz="6" w:color="D9CDD3"/>
              <w:insideH w:val="nil" w:sz="6" w:color="D9CDD3"/>
              <w:insideV w:val="nil" w:sz="6" w:color="D9CDD3"/>
            </w:tcBorders>
            <w:tcMar>
              <w:top w:w="90" w:type="dxa"/>
              <w:start w:w="90" w:type="dxa"/>
              <w:bottom w:w="90" w:type="dxa"/>
              <w:end w:w="90" w:type="dxa"/>
            </w:tcMar>
            <w:shd w:fill="941E3D"/>
          </w:tcPr>
          <w:p>
            <w:r/>
          </w:p>
        </w:tc>
      </w:tr>
    </w:tbl>
    <w:p>
      <w:pPr>
        <w:spacing w:after="40"/>
      </w:pPr>
    </w:p>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التطلعات للنصف الثاني من عام ٢٠٢٦م</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٠٧</w:t>
            </w:r>
          </w:p>
        </w:tc>
      </w:tr>
    </w:tbl>
    <w:p>
      <w:pPr>
        <w:spacing w:after="120" w:line="293" w:lineRule="auto"/>
        <w:jc w:val="right"/>
        <w:bidi w:val="1"/>
      </w:pPr>
      <w:r>
        <w:rPr>
          <w:rFonts w:ascii="Noto Sans Arabic" w:hAnsi="Noto Sans Arabic" w:eastAsia="Noto Sans Arabic" w:cs="Noto Sans Arabic"/>
          <w:b w:val="0"/>
          <w:color w:val="243044"/>
          <w:sz w:val="20"/>
          <w:rtl w:val="1"/>
        </w:rPr>
        <w:t>تُظهر مراجعة النصف الأول أن الأولوية ليست تنفيذ مهام متفرقة، بل استكمال منظومة مؤسسية تربط الحوكمة والتمويل والأنظمة والبرامج وقياس الأثر في مسار واحد.</w:t>
      </w:r>
    </w:p>
    <w:tbl>
      <w:tblPr>
        <w:tblW w:type="auto" w:w="0"/>
        <w:jc w:val="center"/>
        <w:tblLook w:firstColumn="1" w:firstRow="1" w:lastColumn="0" w:lastRow="0" w:noHBand="0" w:noVBand="1" w:val="04A0"/>
        <w:bidiVisual w:val="1"/>
      </w:tblPr>
      <w:tblGrid>
        <w:gridCol w:w="5298"/>
        <w:gridCol w:w="5298"/>
      </w:tblGrid>
      <w:tr>
        <w:tc>
          <w:tcPr>
            <w:tcW w:type="dxa" w:w="4932"/>
            <w:tcBorders>
              <w:top w:val="nil" w:sz="6" w:color="D9CDD3"/>
              <w:bottom w:val="single" w:sz="4" w:color="E1D9DD"/>
              <w:start w:val="single" w:sz="14" w:color="D51B52"/>
              <w:end w:val="nil" w:sz="6" w:color="D9CDD3"/>
              <w:insideH w:val="nil" w:sz="6" w:color="D9CDD3"/>
              <w:insideV w:val="nil" w:sz="6" w:color="D9CDD3"/>
            </w:tcBorders>
            <w:tcMar>
              <w:top w:w="135" w:type="dxa"/>
              <w:start w:w="120" w:type="dxa"/>
              <w:bottom w:w="135" w:type="dxa"/>
              <w:end w:w="120" w:type="dxa"/>
            </w:tcMar>
            <w:shd w:fill="F7F4F6"/>
          </w:tcPr>
          <w:p>
            <w:pPr>
              <w:spacing w:after="0"/>
              <w:jc w:val="center"/>
              <w:bidi w:val="1"/>
            </w:pPr>
            <w:r/>
            <w:r>
              <w:rPr>
                <w:rFonts w:ascii="Noto Kufi Arabic" w:hAnsi="Noto Kufi Arabic" w:eastAsia="Noto Kufi Arabic" w:cs="Noto Kufi Arabic"/>
                <w:b/>
                <w:color w:val="14253D"/>
                <w:sz w:val="20"/>
                <w:rtl w:val="1"/>
              </w:rPr>
              <w:t>استكمال الحوكمة والامتثال</w:t>
            </w:r>
          </w:p>
        </w:tc>
        <w:tc>
          <w:tcPr>
            <w:tcW w:type="dxa" w:w="4932"/>
            <w:tcBorders>
              <w:top w:val="nil" w:sz="6" w:color="D9CDD3"/>
              <w:bottom w:val="single" w:sz="4" w:color="E1D9DD"/>
              <w:start w:val="single" w:sz="14" w:color="D51B52"/>
              <w:end w:val="nil" w:sz="6" w:color="D9CDD3"/>
              <w:insideH w:val="nil" w:sz="6" w:color="D9CDD3"/>
              <w:insideV w:val="nil" w:sz="6" w:color="D9CDD3"/>
            </w:tcBorders>
            <w:tcMar>
              <w:top w:w="135" w:type="dxa"/>
              <w:start w:w="120" w:type="dxa"/>
              <w:bottom w:w="135" w:type="dxa"/>
              <w:end w:w="120" w:type="dxa"/>
            </w:tcMar>
            <w:shd w:fill="F7F4F6"/>
          </w:tcPr>
          <w:p>
            <w:pPr>
              <w:spacing w:after="0"/>
              <w:jc w:val="center"/>
              <w:bidi w:val="1"/>
            </w:pPr>
            <w:r/>
            <w:r>
              <w:rPr>
                <w:rFonts w:ascii="Noto Kufi Arabic" w:hAnsi="Noto Kufi Arabic" w:eastAsia="Noto Kufi Arabic" w:cs="Noto Kufi Arabic"/>
                <w:b/>
                <w:color w:val="14253D"/>
                <w:sz w:val="20"/>
                <w:rtl w:val="1"/>
              </w:rPr>
              <w:t>توظيف القوائم المالية للمنح</w:t>
            </w:r>
          </w:p>
        </w:tc>
      </w:tr>
      <w:tr>
        <w:tc>
          <w:tcPr>
            <w:tcW w:type="dxa" w:w="4932"/>
            <w:tcBorders>
              <w:top w:val="nil" w:sz="6" w:color="D9CDD3"/>
              <w:bottom w:val="single" w:sz="4" w:color="E1D9DD"/>
              <w:start w:val="single" w:sz="14" w:color="D51B52"/>
              <w:end w:val="nil" w:sz="6" w:color="D9CDD3"/>
              <w:insideH w:val="nil" w:sz="6" w:color="D9CDD3"/>
              <w:insideV w:val="nil" w:sz="6" w:color="D9CDD3"/>
            </w:tcBorders>
            <w:tcMar>
              <w:top w:w="135" w:type="dxa"/>
              <w:start w:w="120" w:type="dxa"/>
              <w:bottom w:w="135" w:type="dxa"/>
              <w:end w:w="120" w:type="dxa"/>
            </w:tcMar>
            <w:shd w:fill="F7F4F6"/>
          </w:tcPr>
          <w:p>
            <w:pPr>
              <w:spacing w:after="0"/>
              <w:jc w:val="center"/>
              <w:bidi w:val="1"/>
            </w:pPr>
            <w:r/>
            <w:r>
              <w:rPr>
                <w:rFonts w:ascii="Noto Kufi Arabic" w:hAnsi="Noto Kufi Arabic" w:eastAsia="Noto Kufi Arabic" w:cs="Noto Kufi Arabic"/>
                <w:b/>
                <w:color w:val="14253D"/>
                <w:sz w:val="20"/>
                <w:rtl w:val="1"/>
              </w:rPr>
              <w:t>تفعيل المنصات الإلكترونية</w:t>
            </w:r>
          </w:p>
        </w:tc>
        <w:tc>
          <w:tcPr>
            <w:tcW w:type="dxa" w:w="4932"/>
            <w:tcBorders>
              <w:top w:val="nil" w:sz="6" w:color="D9CDD3"/>
              <w:bottom w:val="single" w:sz="4" w:color="E1D9DD"/>
              <w:start w:val="single" w:sz="14" w:color="D51B52"/>
              <w:end w:val="nil" w:sz="6" w:color="D9CDD3"/>
              <w:insideH w:val="nil" w:sz="6" w:color="D9CDD3"/>
              <w:insideV w:val="nil" w:sz="6" w:color="D9CDD3"/>
            </w:tcBorders>
            <w:tcMar>
              <w:top w:w="135" w:type="dxa"/>
              <w:start w:w="120" w:type="dxa"/>
              <w:bottom w:w="135" w:type="dxa"/>
              <w:end w:w="120" w:type="dxa"/>
            </w:tcMar>
            <w:shd w:fill="F7F4F6"/>
          </w:tcPr>
          <w:p>
            <w:pPr>
              <w:spacing w:after="0"/>
              <w:jc w:val="center"/>
              <w:bidi w:val="1"/>
            </w:pPr>
            <w:r/>
            <w:r>
              <w:rPr>
                <w:rFonts w:ascii="Noto Kufi Arabic" w:hAnsi="Noto Kufi Arabic" w:eastAsia="Noto Kufi Arabic" w:cs="Noto Kufi Arabic"/>
                <w:b/>
                <w:color w:val="14253D"/>
                <w:sz w:val="20"/>
                <w:rtl w:val="1"/>
              </w:rPr>
              <w:t>حصر الجهات المانحة</w:t>
            </w:r>
          </w:p>
        </w:tc>
      </w:tr>
      <w:tr>
        <w:tc>
          <w:tcPr>
            <w:tcW w:type="dxa" w:w="4932"/>
            <w:tcBorders>
              <w:top w:val="nil" w:sz="6" w:color="D9CDD3"/>
              <w:bottom w:val="single" w:sz="4" w:color="E1D9DD"/>
              <w:start w:val="single" w:sz="14" w:color="D51B52"/>
              <w:end w:val="nil" w:sz="6" w:color="D9CDD3"/>
              <w:insideH w:val="nil" w:sz="6" w:color="D9CDD3"/>
              <w:insideV w:val="nil" w:sz="6" w:color="D9CDD3"/>
            </w:tcBorders>
            <w:tcMar>
              <w:top w:w="135" w:type="dxa"/>
              <w:start w:w="120" w:type="dxa"/>
              <w:bottom w:w="135" w:type="dxa"/>
              <w:end w:w="120" w:type="dxa"/>
            </w:tcMar>
            <w:shd w:fill="F7F4F6"/>
          </w:tcPr>
          <w:p>
            <w:pPr>
              <w:spacing w:after="0"/>
              <w:jc w:val="center"/>
              <w:bidi w:val="1"/>
            </w:pPr>
            <w:r/>
            <w:r>
              <w:rPr>
                <w:rFonts w:ascii="Noto Kufi Arabic" w:hAnsi="Noto Kufi Arabic" w:eastAsia="Noto Kufi Arabic" w:cs="Noto Kufi Arabic"/>
                <w:b/>
                <w:color w:val="14253D"/>
                <w:sz w:val="20"/>
                <w:rtl w:val="1"/>
              </w:rPr>
              <w:t>إغلاق المشاريع السابقة</w:t>
            </w:r>
          </w:p>
        </w:tc>
        <w:tc>
          <w:tcPr>
            <w:tcW w:type="dxa" w:w="4932"/>
            <w:tcBorders>
              <w:top w:val="nil" w:sz="6" w:color="D9CDD3"/>
              <w:bottom w:val="single" w:sz="4" w:color="E1D9DD"/>
              <w:start w:val="single" w:sz="14" w:color="D51B52"/>
              <w:end w:val="nil" w:sz="6" w:color="D9CDD3"/>
              <w:insideH w:val="nil" w:sz="6" w:color="D9CDD3"/>
              <w:insideV w:val="nil" w:sz="6" w:color="D9CDD3"/>
            </w:tcBorders>
            <w:tcMar>
              <w:top w:w="135" w:type="dxa"/>
              <w:start w:w="120" w:type="dxa"/>
              <w:bottom w:w="135" w:type="dxa"/>
              <w:end w:w="120" w:type="dxa"/>
            </w:tcMar>
            <w:shd w:fill="F7F4F6"/>
          </w:tcPr>
          <w:p>
            <w:pPr>
              <w:spacing w:after="0"/>
              <w:jc w:val="center"/>
              <w:bidi w:val="1"/>
            </w:pPr>
            <w:r/>
            <w:r>
              <w:rPr>
                <w:rFonts w:ascii="Noto Kufi Arabic" w:hAnsi="Noto Kufi Arabic" w:eastAsia="Noto Kufi Arabic" w:cs="Noto Kufi Arabic"/>
                <w:b/>
                <w:color w:val="14253D"/>
                <w:sz w:val="20"/>
                <w:rtl w:val="1"/>
              </w:rPr>
              <w:t>تطوير الموقع الإلكتروني</w:t>
            </w:r>
          </w:p>
        </w:tc>
      </w:tr>
      <w:tr>
        <w:tc>
          <w:tcPr>
            <w:tcW w:type="dxa" w:w="4932"/>
            <w:tcBorders>
              <w:top w:val="nil" w:sz="6" w:color="D9CDD3"/>
              <w:bottom w:val="single" w:sz="4" w:color="E1D9DD"/>
              <w:start w:val="single" w:sz="14" w:color="D51B52"/>
              <w:end w:val="nil" w:sz="6" w:color="D9CDD3"/>
              <w:insideH w:val="nil" w:sz="6" w:color="D9CDD3"/>
              <w:insideV w:val="nil" w:sz="6" w:color="D9CDD3"/>
            </w:tcBorders>
            <w:tcMar>
              <w:top w:w="135" w:type="dxa"/>
              <w:start w:w="120" w:type="dxa"/>
              <w:bottom w:w="135" w:type="dxa"/>
              <w:end w:w="120" w:type="dxa"/>
            </w:tcMar>
            <w:shd w:fill="F7F4F6"/>
          </w:tcPr>
          <w:p>
            <w:pPr>
              <w:spacing w:after="0"/>
              <w:jc w:val="center"/>
              <w:bidi w:val="1"/>
            </w:pPr>
            <w:r/>
            <w:r>
              <w:rPr>
                <w:rFonts w:ascii="Noto Kufi Arabic" w:hAnsi="Noto Kufi Arabic" w:eastAsia="Noto Kufi Arabic" w:cs="Noto Kufi Arabic"/>
                <w:b/>
                <w:color w:val="14253D"/>
                <w:sz w:val="20"/>
                <w:rtl w:val="1"/>
              </w:rPr>
              <w:t>إعداد دليل البرامج والعروض التمويلية</w:t>
            </w:r>
          </w:p>
        </w:tc>
        <w:tc>
          <w:tcPr>
            <w:tcW w:type="dxa" w:w="4932"/>
            <w:tcBorders>
              <w:top w:val="nil" w:sz="6" w:color="D9CDD3"/>
              <w:bottom w:val="single" w:sz="4" w:color="E1D9DD"/>
              <w:start w:val="single" w:sz="14" w:color="D51B52"/>
              <w:end w:val="nil" w:sz="6" w:color="D9CDD3"/>
              <w:insideH w:val="nil" w:sz="6" w:color="D9CDD3"/>
              <w:insideV w:val="nil" w:sz="6" w:color="D9CDD3"/>
            </w:tcBorders>
            <w:tcMar>
              <w:top w:w="135" w:type="dxa"/>
              <w:start w:w="120" w:type="dxa"/>
              <w:bottom w:w="135" w:type="dxa"/>
              <w:end w:w="120" w:type="dxa"/>
            </w:tcMar>
            <w:shd w:fill="F7F4F6"/>
          </w:tcPr>
          <w:p>
            <w:pPr>
              <w:spacing w:after="0"/>
              <w:jc w:val="center"/>
              <w:bidi w:val="1"/>
            </w:pPr>
            <w:r/>
            <w:r>
              <w:rPr>
                <w:rFonts w:ascii="Noto Kufi Arabic" w:hAnsi="Noto Kufi Arabic" w:eastAsia="Noto Kufi Arabic" w:cs="Noto Kufi Arabic"/>
                <w:b/>
                <w:color w:val="14253D"/>
                <w:sz w:val="20"/>
                <w:rtl w:val="1"/>
              </w:rPr>
              <w:t>رفع جاهزية التقديم على المنح</w:t>
            </w:r>
          </w:p>
        </w:tc>
      </w:tr>
    </w:tbl>
    <w:p>
      <w:pPr>
        <w:spacing w:after="120" w:before="120"/>
        <w:jc w:val="right"/>
        <w:bidi w:val="1"/>
      </w:pPr>
      <w:r>
        <w:rPr>
          <w:rFonts w:ascii="Noto Kufi Arabic" w:hAnsi="Noto Kufi Arabic" w:eastAsia="Noto Kufi Arabic" w:cs="Noto Kufi Arabic"/>
          <w:b/>
          <w:color w:val="941E3D"/>
          <w:sz w:val="24"/>
          <w:rtl w:val="1"/>
        </w:rPr>
        <w:t>مقترحات إضافية</w:t>
      </w:r>
    </w:p>
    <w:p>
      <w:pPr>
        <w:spacing w:after="80"/>
        <w:ind w:left="113"/>
        <w:jc w:val="right"/>
        <w:bidi w:val="1"/>
      </w:pPr>
      <w:r>
        <w:rPr>
          <w:rFonts w:ascii="Noto Kufi Arabic" w:hAnsi="Noto Kufi Arabic" w:eastAsia="Noto Kufi Arabic" w:cs="Noto Kufi Arabic"/>
          <w:b/>
          <w:color w:val="941E3D"/>
          <w:sz w:val="18"/>
          <w:rtl w:val="1"/>
        </w:rPr>
        <w:t xml:space="preserve">● </w:t>
      </w:r>
      <w:r>
        <w:rPr>
          <w:rFonts w:ascii="Noto Sans Arabic" w:hAnsi="Noto Sans Arabic" w:eastAsia="Noto Sans Arabic" w:cs="Noto Sans Arabic"/>
          <w:b w:val="0"/>
          <w:color w:val="243044"/>
          <w:sz w:val="18"/>
          <w:rtl w:val="1"/>
        </w:rPr>
        <w:t>تنويع الشراكات ومصادر الدخل عبر الأوقاف والقطاع الخاص.</w:t>
      </w:r>
    </w:p>
    <w:p>
      <w:pPr>
        <w:spacing w:after="80"/>
        <w:ind w:left="113"/>
        <w:jc w:val="right"/>
        <w:bidi w:val="1"/>
      </w:pPr>
      <w:r>
        <w:rPr>
          <w:rFonts w:ascii="Noto Kufi Arabic" w:hAnsi="Noto Kufi Arabic" w:eastAsia="Noto Kufi Arabic" w:cs="Noto Kufi Arabic"/>
          <w:b/>
          <w:color w:val="941E3D"/>
          <w:sz w:val="18"/>
          <w:rtl w:val="1"/>
        </w:rPr>
        <w:t xml:space="preserve">● </w:t>
      </w:r>
      <w:r>
        <w:rPr>
          <w:rFonts w:ascii="Noto Sans Arabic" w:hAnsi="Noto Sans Arabic" w:eastAsia="Noto Sans Arabic" w:cs="Noto Sans Arabic"/>
          <w:b w:val="0"/>
          <w:color w:val="243044"/>
          <w:sz w:val="18"/>
          <w:rtl w:val="1"/>
        </w:rPr>
        <w:t>تعزيز الظهور الإعلامي وحضور المحافل والمنصات الرقمية.</w:t>
      </w:r>
    </w:p>
    <w:p>
      <w:pPr>
        <w:spacing w:after="80"/>
        <w:ind w:left="113"/>
        <w:jc w:val="right"/>
        <w:bidi w:val="1"/>
      </w:pPr>
      <w:r>
        <w:rPr>
          <w:rFonts w:ascii="Noto Kufi Arabic" w:hAnsi="Noto Kufi Arabic" w:eastAsia="Noto Kufi Arabic" w:cs="Noto Kufi Arabic"/>
          <w:b/>
          <w:color w:val="941E3D"/>
          <w:sz w:val="18"/>
          <w:rtl w:val="1"/>
        </w:rPr>
        <w:t xml:space="preserve">● </w:t>
      </w:r>
      <w:r>
        <w:rPr>
          <w:rFonts w:ascii="Noto Sans Arabic" w:hAnsi="Noto Sans Arabic" w:eastAsia="Noto Sans Arabic" w:cs="Noto Sans Arabic"/>
          <w:b w:val="0"/>
          <w:color w:val="243044"/>
          <w:sz w:val="18"/>
          <w:rtl w:val="1"/>
        </w:rPr>
        <w:t>استقطاب الكفاءات للوظائف الشاغرة.</w:t>
      </w:r>
    </w:p>
    <w:p>
      <w:pPr>
        <w:spacing w:after="80"/>
        <w:ind w:left="113"/>
        <w:jc w:val="right"/>
        <w:bidi w:val="1"/>
      </w:pPr>
      <w:r>
        <w:rPr>
          <w:rFonts w:ascii="Noto Kufi Arabic" w:hAnsi="Noto Kufi Arabic" w:eastAsia="Noto Kufi Arabic" w:cs="Noto Kufi Arabic"/>
          <w:b/>
          <w:color w:val="941E3D"/>
          <w:sz w:val="18"/>
          <w:rtl w:val="1"/>
        </w:rPr>
        <w:t xml:space="preserve">● </w:t>
      </w:r>
      <w:r>
        <w:rPr>
          <w:rFonts w:ascii="Noto Sans Arabic" w:hAnsi="Noto Sans Arabic" w:eastAsia="Noto Sans Arabic" w:cs="Noto Sans Arabic"/>
          <w:b w:val="0"/>
          <w:color w:val="243044"/>
          <w:sz w:val="18"/>
          <w:rtl w:val="1"/>
        </w:rPr>
        <w:t>تنفيذ «بطاقة طبيبي» لتقديم تخفيضات لدى المستشفيات والمختبرات والنوادي والمتاجر الصحية.</w:t>
      </w:r>
    </w:p>
    <w:p>
      <w:pPr>
        <w:spacing w:after="80"/>
        <w:ind w:left="113"/>
        <w:jc w:val="right"/>
        <w:bidi w:val="1"/>
      </w:pPr>
      <w:r>
        <w:rPr>
          <w:rFonts w:ascii="Noto Kufi Arabic" w:hAnsi="Noto Kufi Arabic" w:eastAsia="Noto Kufi Arabic" w:cs="Noto Kufi Arabic"/>
          <w:b/>
          <w:color w:val="941E3D"/>
          <w:sz w:val="18"/>
          <w:rtl w:val="1"/>
        </w:rPr>
        <w:t xml:space="preserve">● </w:t>
      </w:r>
      <w:r>
        <w:rPr>
          <w:rFonts w:ascii="Noto Sans Arabic" w:hAnsi="Noto Sans Arabic" w:eastAsia="Noto Sans Arabic" w:cs="Noto Sans Arabic"/>
          <w:b w:val="0"/>
          <w:color w:val="243044"/>
          <w:sz w:val="18"/>
          <w:rtl w:val="1"/>
        </w:rPr>
        <w:t>تعديل لائحة صرف المساعدات لرفع نسبة قبول الحالات المستوفية.</w:t>
      </w:r>
    </w:p>
    <w:p>
      <w:pPr>
        <w:spacing w:after="80"/>
        <w:ind w:left="113"/>
        <w:jc w:val="right"/>
        <w:bidi w:val="1"/>
      </w:pPr>
      <w:r>
        <w:rPr>
          <w:rFonts w:ascii="Noto Kufi Arabic" w:hAnsi="Noto Kufi Arabic" w:eastAsia="Noto Kufi Arabic" w:cs="Noto Kufi Arabic"/>
          <w:b/>
          <w:color w:val="941E3D"/>
          <w:sz w:val="18"/>
          <w:rtl w:val="1"/>
        </w:rPr>
        <w:t xml:space="preserve">● </w:t>
      </w:r>
      <w:r>
        <w:rPr>
          <w:rFonts w:ascii="Noto Sans Arabic" w:hAnsi="Noto Sans Arabic" w:eastAsia="Noto Sans Arabic" w:cs="Noto Sans Arabic"/>
          <w:b w:val="0"/>
          <w:color w:val="243044"/>
          <w:sz w:val="18"/>
          <w:rtl w:val="1"/>
        </w:rPr>
        <w:t>اعتماد مصفوفة الصلاحيات لتسريع اتخاذ القرار.</w:t>
      </w:r>
    </w:p>
    <w:p>
      <w:pPr>
        <w:spacing w:after="80"/>
        <w:ind w:left="113"/>
        <w:jc w:val="right"/>
        <w:bidi w:val="1"/>
      </w:pPr>
      <w:r>
        <w:rPr>
          <w:rFonts w:ascii="Noto Kufi Arabic" w:hAnsi="Noto Kufi Arabic" w:eastAsia="Noto Kufi Arabic" w:cs="Noto Kufi Arabic"/>
          <w:b/>
          <w:color w:val="941E3D"/>
          <w:sz w:val="18"/>
          <w:rtl w:val="1"/>
        </w:rPr>
        <w:t xml:space="preserve">● </w:t>
      </w:r>
      <w:r>
        <w:rPr>
          <w:rFonts w:ascii="Noto Sans Arabic" w:hAnsi="Noto Sans Arabic" w:eastAsia="Noto Sans Arabic" w:cs="Noto Sans Arabic"/>
          <w:b w:val="0"/>
          <w:color w:val="243044"/>
          <w:sz w:val="18"/>
          <w:rtl w:val="1"/>
        </w:rPr>
        <w:t>تفعيل دور أعضاء مجلس الإدارة والجمعية العمومية في دعم تنمية الموارد.</w:t>
      </w:r>
    </w:p>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مقترح الفريق الاستشاري وخطة التنفيذ</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٠٧</w:t>
            </w:r>
          </w:p>
        </w:tc>
      </w:tr>
    </w:tbl>
    <w:p>
      <w:pPr>
        <w:spacing w:after="120" w:line="293" w:lineRule="auto"/>
        <w:jc w:val="right"/>
        <w:bidi w:val="1"/>
      </w:pPr>
      <w:r>
        <w:rPr>
          <w:rFonts w:ascii="Noto Sans Arabic" w:hAnsi="Noto Sans Arabic" w:eastAsia="Noto Sans Arabic" w:cs="Noto Sans Arabic"/>
          <w:b w:val="0"/>
          <w:color w:val="243044"/>
          <w:sz w:val="20"/>
          <w:rtl w:val="1"/>
        </w:rPr>
        <w:t>يقترح التقرير الاستعانة بفريق استشاري خارجي متخصص تحت الإشراف المباشر للإدارة التنفيذية، لدعم الأعمال التي تتطلب خبرة متخصصة وسرعة إنجاز.</w:t>
      </w:r>
    </w:p>
    <w:tbl>
      <w:tblPr>
        <w:tblW w:type="auto" w:w="0"/>
        <w:jc w:val="center"/>
        <w:tblLayout w:type="fixed"/>
        <w:tblLook w:firstColumn="1" w:firstRow="1" w:lastColumn="0" w:lastRow="0" w:noHBand="0" w:noVBand="1" w:val="04A0"/>
        <w:bidiVisual w:val="1"/>
      </w:tblPr>
      <w:tblGrid>
        <w:gridCol w:w="5298"/>
        <w:gridCol w:w="5298"/>
      </w:tblGrid>
      <w:tr>
        <w:trPr>
          <w:tblHeader w:val="true"/>
          <w:cantSplit/>
        </w:trPr>
        <w:tc>
          <w:tcPr>
            <w:tcW w:type="dxa" w:w="2835"/>
            <w:tcMar>
              <w:top w:w="55" w:type="dxa"/>
              <w:start w:w="55" w:type="dxa"/>
              <w:bottom w:w="55" w:type="dxa"/>
              <w:end w:w="55" w:type="dxa"/>
            </w:tcMar>
            <w:shd w:fill="941E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7"/>
                <w:rtl w:val="1"/>
              </w:rPr>
              <w:t>المبرر</w:t>
            </w:r>
          </w:p>
        </w:tc>
        <w:tc>
          <w:tcPr>
            <w:tcW w:type="dxa" w:w="7087"/>
            <w:tcMar>
              <w:top w:w="55" w:type="dxa"/>
              <w:start w:w="55" w:type="dxa"/>
              <w:bottom w:w="55" w:type="dxa"/>
              <w:end w:w="55" w:type="dxa"/>
            </w:tcMar>
            <w:shd w:fill="941E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7"/>
                <w:rtl w:val="1"/>
              </w:rPr>
              <w:t>التفصيل</w:t>
            </w:r>
          </w:p>
        </w:tc>
      </w:tr>
      <w:tr>
        <w:trPr>
          <w:cantSplit/>
        </w:trPr>
        <w:tc>
          <w:tcPr>
            <w:tcW w:type="dxa" w:w="5298"/>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7"/>
                <w:rtl w:val="1"/>
              </w:rPr>
              <w:t>تعدد التخصصات</w:t>
            </w:r>
          </w:p>
        </w:tc>
        <w:tc>
          <w:tcPr>
            <w:tcW w:type="dxa" w:w="5298"/>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حوكمة، تنمية موارد، كتابة مشاريع، منصات ومحتوى</w:t>
            </w:r>
          </w:p>
        </w:tc>
      </w:tr>
      <w:tr>
        <w:trPr>
          <w:cantSplit/>
        </w:trPr>
        <w:tc>
          <w:tcPr>
            <w:tcW w:type="dxa" w:w="5298"/>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7"/>
                <w:rtl w:val="1"/>
              </w:rPr>
              <w:t>الوفر المالي</w:t>
            </w:r>
          </w:p>
        </w:tc>
        <w:tc>
          <w:tcPr>
            <w:tcW w:type="dxa" w:w="5298"/>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تكلفة الفريق أقل من تكلفة التوظيف المباشر بحسب التقرير</w:t>
            </w:r>
          </w:p>
        </w:tc>
      </w:tr>
      <w:tr>
        <w:trPr>
          <w:cantSplit/>
        </w:trPr>
        <w:tc>
          <w:tcPr>
            <w:tcW w:type="dxa" w:w="5298"/>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7"/>
                <w:rtl w:val="1"/>
              </w:rPr>
              <w:t>استثمار لا مصروف</w:t>
            </w:r>
          </w:p>
        </w:tc>
        <w:tc>
          <w:tcPr>
            <w:tcW w:type="dxa" w:w="5298"/>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المخرجات من ملفات وقواعد بيانات وأدلة تبقى ملكًا للجمعية</w:t>
            </w:r>
          </w:p>
        </w:tc>
      </w:tr>
      <w:tr>
        <w:trPr>
          <w:cantSplit/>
        </w:trPr>
        <w:tc>
          <w:tcPr>
            <w:tcW w:type="dxa" w:w="5298"/>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7"/>
                <w:rtl w:val="1"/>
              </w:rPr>
              <w:t>رفع فرص التمويل</w:t>
            </w:r>
          </w:p>
        </w:tc>
        <w:tc>
          <w:tcPr>
            <w:tcW w:type="dxa" w:w="5298"/>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اكتمال الملفات الأساسية شرط للتقديم الاحترافي</w:t>
            </w:r>
          </w:p>
        </w:tc>
      </w:tr>
      <w:tr>
        <w:trPr>
          <w:cantSplit/>
        </w:trPr>
        <w:tc>
          <w:tcPr>
            <w:tcW w:type="dxa" w:w="5298"/>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7"/>
                <w:rtl w:val="1"/>
              </w:rPr>
              <w:t>نقل المعرفة</w:t>
            </w:r>
          </w:p>
        </w:tc>
        <w:tc>
          <w:tcPr>
            <w:tcW w:type="dxa" w:w="5298"/>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الفريق يبني النماذج ويدرّب الموظفين ولا يحل محلهم</w:t>
            </w:r>
          </w:p>
        </w:tc>
      </w:tr>
      <w:tr>
        <w:trPr>
          <w:cantSplit/>
        </w:trPr>
        <w:tc>
          <w:tcPr>
            <w:tcW w:type="dxa" w:w="5298"/>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7"/>
                <w:rtl w:val="1"/>
              </w:rPr>
              <w:t>الرقابة محفوظة</w:t>
            </w:r>
          </w:p>
        </w:tc>
        <w:tc>
          <w:tcPr>
            <w:tcW w:type="dxa" w:w="5298"/>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ربط الدفعات بالمخرجات، تقارير دورية، مراجعة المدير التنفيذي وسرية البيانات</w:t>
            </w:r>
          </w:p>
        </w:tc>
      </w:tr>
    </w:tbl>
    <w:p>
      <w:pPr>
        <w:spacing w:after="120" w:before="120"/>
        <w:jc w:val="right"/>
        <w:bidi w:val="1"/>
      </w:pPr>
      <w:r>
        <w:rPr>
          <w:rFonts w:ascii="Noto Kufi Arabic" w:hAnsi="Noto Kufi Arabic" w:eastAsia="Noto Kufi Arabic" w:cs="Noto Kufi Arabic"/>
          <w:b/>
          <w:color w:val="941E3D"/>
          <w:sz w:val="24"/>
          <w:rtl w:val="1"/>
        </w:rPr>
        <w:t>خطة التنفيذ - ثلاث مراحل</w:t>
      </w:r>
    </w:p>
    <w:tbl>
      <w:tblPr>
        <w:tblW w:type="auto" w:w="0"/>
        <w:jc w:val="center"/>
        <w:tblLook w:firstColumn="1" w:firstRow="1" w:lastColumn="0" w:lastRow="0" w:noHBand="0" w:noVBand="1" w:val="04A0"/>
        <w:bidiVisual w:val="1"/>
      </w:tblPr>
      <w:tblGrid>
        <w:gridCol w:w="5298"/>
        <w:gridCol w:w="5298"/>
      </w:tblGrid>
      <w:tr>
        <w:tc>
          <w:tcPr>
            <w:tcW w:type="dxa" w:w="8277"/>
            <w:tcBorders>
              <w:top w:val="nil" w:sz="6" w:color="D9CDD3"/>
              <w:bottom w:val="nil" w:sz="6" w:color="D9CDD3"/>
              <w:start w:val="nil" w:sz="6" w:color="D9CDD3"/>
              <w:end w:val="nil" w:sz="6" w:color="D9CDD3"/>
              <w:insideH w:val="nil" w:sz="6" w:color="D9CDD3"/>
              <w:insideV w:val="nil" w:sz="6" w:color="D9CDD3"/>
            </w:tcBorders>
            <w:tcMar>
              <w:top w:w="130" w:type="dxa"/>
              <w:start w:w="120" w:type="dxa"/>
              <w:bottom w:w="130" w:type="dxa"/>
              <w:end w:w="120" w:type="dxa"/>
            </w:tcMar>
            <w:shd w:fill="F7F4F6"/>
            <w:vAlign w:val="center"/>
          </w:tcPr>
          <w:p>
            <w:pPr>
              <w:spacing w:after="0"/>
              <w:jc w:val="right"/>
              <w:bidi w:val="1"/>
            </w:pPr>
            <w:r/>
            <w:r>
              <w:rPr>
                <w:rFonts w:ascii="Noto Kufi Arabic" w:hAnsi="Noto Kufi Arabic" w:eastAsia="Noto Kufi Arabic" w:cs="Noto Kufi Arabic"/>
                <w:b/>
                <w:color w:val="14253D"/>
                <w:sz w:val="19"/>
                <w:rtl w:val="1"/>
              </w:rPr>
              <w:t>القوائم المالية، الحوكمة، محاضر الجمعية العمومية، تفعيل منصة نوى</w:t>
            </w:r>
          </w:p>
        </w:tc>
        <w:tc>
          <w:tcPr>
            <w:tcW w:type="dxa" w:w="1531"/>
            <w:tcBorders>
              <w:top w:val="nil" w:sz="6" w:color="D9CDD3"/>
              <w:bottom w:val="nil" w:sz="6" w:color="D9CDD3"/>
              <w:start w:val="nil" w:sz="6" w:color="D9CDD3"/>
              <w:end w:val="nil" w:sz="6" w:color="D9CDD3"/>
              <w:insideH w:val="nil" w:sz="6" w:color="D9CDD3"/>
              <w:insideV w:val="nil" w:sz="6" w:color="D9CDD3"/>
            </w:tcBorders>
            <w:tcMar>
              <w:top w:w="130" w:type="dxa"/>
              <w:start w:w="120" w:type="dxa"/>
              <w:bottom w:w="130" w:type="dxa"/>
              <w:end w:w="120" w:type="dxa"/>
            </w:tcMar>
            <w:shd w:fill="941E3D"/>
            <w:vAlign w:val="center"/>
          </w:tcPr>
          <w:p>
            <w:pPr>
              <w:spacing w:after="0"/>
              <w:jc w:val="center"/>
              <w:bidi w:val="1"/>
            </w:pPr>
            <w:r/>
            <w:r>
              <w:rPr>
                <w:rFonts w:ascii="Noto Kufi Arabic" w:hAnsi="Noto Kufi Arabic" w:eastAsia="Noto Kufi Arabic" w:cs="Noto Kufi Arabic"/>
                <w:b/>
                <w:color w:val="FFFFFF"/>
                <w:sz w:val="28"/>
                <w:rtl w:val="1"/>
              </w:rPr>
              <w:t>١</w:t>
            </w:r>
          </w:p>
        </w:tc>
      </w:tr>
      <w:tr>
        <w:tc>
          <w:tcPr>
            <w:tcW w:type="dxa" w:w="8277"/>
            <w:tcBorders>
              <w:top w:val="nil" w:sz="6" w:color="D9CDD3"/>
              <w:bottom w:val="nil" w:sz="6" w:color="D9CDD3"/>
              <w:start w:val="nil" w:sz="6" w:color="D9CDD3"/>
              <w:end w:val="nil" w:sz="6" w:color="D9CDD3"/>
              <w:insideH w:val="nil" w:sz="6" w:color="D9CDD3"/>
              <w:insideV w:val="nil" w:sz="6" w:color="D9CDD3"/>
            </w:tcBorders>
            <w:tcMar>
              <w:top w:w="130" w:type="dxa"/>
              <w:start w:w="120" w:type="dxa"/>
              <w:bottom w:w="130" w:type="dxa"/>
              <w:end w:w="120" w:type="dxa"/>
            </w:tcMar>
            <w:shd w:fill="F7F4F6"/>
            <w:vAlign w:val="center"/>
          </w:tcPr>
          <w:p>
            <w:pPr>
              <w:spacing w:after="0"/>
              <w:jc w:val="right"/>
              <w:bidi w:val="1"/>
            </w:pPr>
            <w:r/>
            <w:r>
              <w:rPr>
                <w:rFonts w:ascii="Noto Kufi Arabic" w:hAnsi="Noto Kufi Arabic" w:eastAsia="Noto Kufi Arabic" w:cs="Noto Kufi Arabic"/>
                <w:b/>
                <w:color w:val="14253D"/>
                <w:sz w:val="19"/>
                <w:rtl w:val="1"/>
              </w:rPr>
              <w:t>إغلاق المشاريع السابقة، تحديث الموقع الإلكتروني، بناء قاعدة الجهات المانحة</w:t>
            </w:r>
          </w:p>
        </w:tc>
        <w:tc>
          <w:tcPr>
            <w:tcW w:type="dxa" w:w="1531"/>
            <w:tcBorders>
              <w:top w:val="nil" w:sz="6" w:color="D9CDD3"/>
              <w:bottom w:val="nil" w:sz="6" w:color="D9CDD3"/>
              <w:start w:val="nil" w:sz="6" w:color="D9CDD3"/>
              <w:end w:val="nil" w:sz="6" w:color="D9CDD3"/>
              <w:insideH w:val="nil" w:sz="6" w:color="D9CDD3"/>
              <w:insideV w:val="nil" w:sz="6" w:color="D9CDD3"/>
            </w:tcBorders>
            <w:tcMar>
              <w:top w:w="130" w:type="dxa"/>
              <w:start w:w="120" w:type="dxa"/>
              <w:bottom w:w="130" w:type="dxa"/>
              <w:end w:w="120" w:type="dxa"/>
            </w:tcMar>
            <w:shd w:fill="941E3D"/>
            <w:vAlign w:val="center"/>
          </w:tcPr>
          <w:p>
            <w:pPr>
              <w:spacing w:after="0"/>
              <w:jc w:val="center"/>
              <w:bidi w:val="1"/>
            </w:pPr>
            <w:r/>
            <w:r>
              <w:rPr>
                <w:rFonts w:ascii="Noto Kufi Arabic" w:hAnsi="Noto Kufi Arabic" w:eastAsia="Noto Kufi Arabic" w:cs="Noto Kufi Arabic"/>
                <w:b/>
                <w:color w:val="FFFFFF"/>
                <w:sz w:val="28"/>
                <w:rtl w:val="1"/>
              </w:rPr>
              <w:t>٢</w:t>
            </w:r>
          </w:p>
        </w:tc>
      </w:tr>
      <w:tr>
        <w:tc>
          <w:tcPr>
            <w:tcW w:type="dxa" w:w="8277"/>
            <w:tcBorders>
              <w:top w:val="nil" w:sz="6" w:color="D9CDD3"/>
              <w:bottom w:val="nil" w:sz="6" w:color="D9CDD3"/>
              <w:start w:val="nil" w:sz="6" w:color="D9CDD3"/>
              <w:end w:val="nil" w:sz="6" w:color="D9CDD3"/>
              <w:insideH w:val="nil" w:sz="6" w:color="D9CDD3"/>
              <w:insideV w:val="nil" w:sz="6" w:color="D9CDD3"/>
            </w:tcBorders>
            <w:tcMar>
              <w:top w:w="130" w:type="dxa"/>
              <w:start w:w="120" w:type="dxa"/>
              <w:bottom w:w="130" w:type="dxa"/>
              <w:end w:w="120" w:type="dxa"/>
            </w:tcMar>
            <w:shd w:fill="F7F4F6"/>
            <w:vAlign w:val="center"/>
          </w:tcPr>
          <w:p>
            <w:pPr>
              <w:spacing w:after="0"/>
              <w:jc w:val="right"/>
              <w:bidi w:val="1"/>
            </w:pPr>
            <w:r/>
            <w:r>
              <w:rPr>
                <w:rFonts w:ascii="Noto Kufi Arabic" w:hAnsi="Noto Kufi Arabic" w:eastAsia="Noto Kufi Arabic" w:cs="Noto Kufi Arabic"/>
                <w:b/>
                <w:color w:val="14253D"/>
                <w:sz w:val="19"/>
                <w:rtl w:val="1"/>
              </w:rPr>
              <w:t>إعداد الحقائب والعروض التمويلية والبدء في تقديم طلبات التمويل</w:t>
            </w:r>
          </w:p>
        </w:tc>
        <w:tc>
          <w:tcPr>
            <w:tcW w:type="dxa" w:w="1531"/>
            <w:tcBorders>
              <w:top w:val="nil" w:sz="6" w:color="D9CDD3"/>
              <w:bottom w:val="nil" w:sz="6" w:color="D9CDD3"/>
              <w:start w:val="nil" w:sz="6" w:color="D9CDD3"/>
              <w:end w:val="nil" w:sz="6" w:color="D9CDD3"/>
              <w:insideH w:val="nil" w:sz="6" w:color="D9CDD3"/>
              <w:insideV w:val="nil" w:sz="6" w:color="D9CDD3"/>
            </w:tcBorders>
            <w:tcMar>
              <w:top w:w="130" w:type="dxa"/>
              <w:start w:w="120" w:type="dxa"/>
              <w:bottom w:w="130" w:type="dxa"/>
              <w:end w:w="120" w:type="dxa"/>
            </w:tcMar>
            <w:shd w:fill="941E3D"/>
            <w:vAlign w:val="center"/>
          </w:tcPr>
          <w:p>
            <w:pPr>
              <w:spacing w:after="0"/>
              <w:jc w:val="center"/>
              <w:bidi w:val="1"/>
            </w:pPr>
            <w:r/>
            <w:r>
              <w:rPr>
                <w:rFonts w:ascii="Noto Kufi Arabic" w:hAnsi="Noto Kufi Arabic" w:eastAsia="Noto Kufi Arabic" w:cs="Noto Kufi Arabic"/>
                <w:b/>
                <w:color w:val="FFFFFF"/>
                <w:sz w:val="28"/>
                <w:rtl w:val="1"/>
              </w:rPr>
              <w:t>٣</w:t>
            </w:r>
          </w:p>
        </w:tc>
      </w:tr>
    </w:tbl>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ضمانات الرقابة على تنفيذ المقترح</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٠٧</w:t>
            </w:r>
          </w:p>
        </w:tc>
      </w:tr>
    </w:tbl>
    <w:p>
      <w:pPr>
        <w:spacing w:after="80"/>
        <w:ind w:left="113"/>
        <w:jc w:val="right"/>
        <w:bidi w:val="1"/>
      </w:pPr>
      <w:r>
        <w:rPr>
          <w:rFonts w:ascii="Noto Kufi Arabic" w:hAnsi="Noto Kufi Arabic" w:eastAsia="Noto Kufi Arabic" w:cs="Noto Kufi Arabic"/>
          <w:b/>
          <w:color w:val="941E3D"/>
          <w:sz w:val="20"/>
          <w:rtl w:val="1"/>
        </w:rPr>
        <w:t xml:space="preserve">● </w:t>
      </w:r>
      <w:r>
        <w:rPr>
          <w:rFonts w:ascii="Noto Sans Arabic" w:hAnsi="Noto Sans Arabic" w:eastAsia="Noto Sans Arabic" w:cs="Noto Sans Arabic"/>
          <w:b w:val="0"/>
          <w:color w:val="243044"/>
          <w:sz w:val="20"/>
          <w:rtl w:val="1"/>
        </w:rPr>
        <w:t>اعتماد نطاق الأعمال والمخرجات قبل البدء.</w:t>
      </w:r>
    </w:p>
    <w:p>
      <w:pPr>
        <w:spacing w:after="80"/>
        <w:ind w:left="113"/>
        <w:jc w:val="right"/>
        <w:bidi w:val="1"/>
      </w:pPr>
      <w:r>
        <w:rPr>
          <w:rFonts w:ascii="Noto Kufi Arabic" w:hAnsi="Noto Kufi Arabic" w:eastAsia="Noto Kufi Arabic" w:cs="Noto Kufi Arabic"/>
          <w:b/>
          <w:color w:val="941E3D"/>
          <w:sz w:val="20"/>
          <w:rtl w:val="1"/>
        </w:rPr>
        <w:t xml:space="preserve">● </w:t>
      </w:r>
      <w:r>
        <w:rPr>
          <w:rFonts w:ascii="Noto Sans Arabic" w:hAnsi="Noto Sans Arabic" w:eastAsia="Noto Sans Arabic" w:cs="Noto Sans Arabic"/>
          <w:b w:val="0"/>
          <w:color w:val="243044"/>
          <w:sz w:val="20"/>
          <w:rtl w:val="1"/>
        </w:rPr>
        <w:t>تحديد مسؤول اتصال من الجمعية.</w:t>
      </w:r>
    </w:p>
    <w:p>
      <w:pPr>
        <w:spacing w:after="80"/>
        <w:ind w:left="113"/>
        <w:jc w:val="right"/>
        <w:bidi w:val="1"/>
      </w:pPr>
      <w:r>
        <w:rPr>
          <w:rFonts w:ascii="Noto Kufi Arabic" w:hAnsi="Noto Kufi Arabic" w:eastAsia="Noto Kufi Arabic" w:cs="Noto Kufi Arabic"/>
          <w:b/>
          <w:color w:val="941E3D"/>
          <w:sz w:val="20"/>
          <w:rtl w:val="1"/>
        </w:rPr>
        <w:t xml:space="preserve">● </w:t>
      </w:r>
      <w:r>
        <w:rPr>
          <w:rFonts w:ascii="Noto Sans Arabic" w:hAnsi="Noto Sans Arabic" w:eastAsia="Noto Sans Arabic" w:cs="Noto Sans Arabic"/>
          <w:b w:val="0"/>
          <w:color w:val="243044"/>
          <w:sz w:val="20"/>
          <w:rtl w:val="1"/>
        </w:rPr>
        <w:t>رفع تقارير دورية عن نسبة الإنجاز.</w:t>
      </w:r>
    </w:p>
    <w:p>
      <w:pPr>
        <w:spacing w:after="80"/>
        <w:ind w:left="113"/>
        <w:jc w:val="right"/>
        <w:bidi w:val="1"/>
      </w:pPr>
      <w:r>
        <w:rPr>
          <w:rFonts w:ascii="Noto Kufi Arabic" w:hAnsi="Noto Kufi Arabic" w:eastAsia="Noto Kufi Arabic" w:cs="Noto Kufi Arabic"/>
          <w:b/>
          <w:color w:val="941E3D"/>
          <w:sz w:val="20"/>
          <w:rtl w:val="1"/>
        </w:rPr>
        <w:t xml:space="preserve">● </w:t>
      </w:r>
      <w:r>
        <w:rPr>
          <w:rFonts w:ascii="Noto Sans Arabic" w:hAnsi="Noto Sans Arabic" w:eastAsia="Noto Sans Arabic" w:cs="Noto Sans Arabic"/>
          <w:b w:val="0"/>
          <w:color w:val="243044"/>
          <w:sz w:val="20"/>
          <w:rtl w:val="1"/>
        </w:rPr>
        <w:t>عدم اعتماد أي وثيقة نهائية إلا بعد مراجعة المدير التنفيذي.</w:t>
      </w:r>
    </w:p>
    <w:p>
      <w:pPr>
        <w:spacing w:after="80"/>
        <w:ind w:left="113"/>
        <w:jc w:val="right"/>
        <w:bidi w:val="1"/>
      </w:pPr>
      <w:r>
        <w:rPr>
          <w:rFonts w:ascii="Noto Kufi Arabic" w:hAnsi="Noto Kufi Arabic" w:eastAsia="Noto Kufi Arabic" w:cs="Noto Kufi Arabic"/>
          <w:b/>
          <w:color w:val="941E3D"/>
          <w:sz w:val="20"/>
          <w:rtl w:val="1"/>
        </w:rPr>
        <w:t xml:space="preserve">● </w:t>
      </w:r>
      <w:r>
        <w:rPr>
          <w:rFonts w:ascii="Noto Sans Arabic" w:hAnsi="Noto Sans Arabic" w:eastAsia="Noto Sans Arabic" w:cs="Noto Sans Arabic"/>
          <w:b w:val="0"/>
          <w:color w:val="243044"/>
          <w:sz w:val="20"/>
          <w:rtl w:val="1"/>
        </w:rPr>
        <w:t>ربط الدفعات بالمخرجات الفعلية.</w:t>
      </w:r>
    </w:p>
    <w:p>
      <w:pPr>
        <w:spacing w:after="80"/>
        <w:ind w:left="113"/>
        <w:jc w:val="right"/>
        <w:bidi w:val="1"/>
      </w:pPr>
      <w:r>
        <w:rPr>
          <w:rFonts w:ascii="Noto Kufi Arabic" w:hAnsi="Noto Kufi Arabic" w:eastAsia="Noto Kufi Arabic" w:cs="Noto Kufi Arabic"/>
          <w:b/>
          <w:color w:val="941E3D"/>
          <w:sz w:val="20"/>
          <w:rtl w:val="1"/>
        </w:rPr>
        <w:t xml:space="preserve">● </w:t>
      </w:r>
      <w:r>
        <w:rPr>
          <w:rFonts w:ascii="Noto Sans Arabic" w:hAnsi="Noto Sans Arabic" w:eastAsia="Noto Sans Arabic" w:cs="Noto Sans Arabic"/>
          <w:b w:val="0"/>
          <w:color w:val="243044"/>
          <w:sz w:val="20"/>
          <w:rtl w:val="1"/>
        </w:rPr>
        <w:t>الالتزام بسرية بيانات الجمعية وتسليم الملفات بصيغ قابلة للتعديل.</w:t>
      </w:r>
    </w:p>
    <w:tbl>
      <w:tblPr>
        <w:tblW w:type="auto" w:w="0"/>
        <w:jc w:val="center"/>
        <w:tblLook w:firstColumn="1" w:firstRow="1" w:lastColumn="0" w:lastRow="0" w:noHBand="0" w:noVBand="1" w:val="04A0"/>
        <w:bidiVisual w:val="1"/>
      </w:tblPr>
      <w:tblGrid>
        <w:gridCol w:w="5298"/>
        <w:gridCol w:w="5298"/>
      </w:tblGrid>
      <w:tr>
        <w:trPr>
          <w:cantSplit/>
        </w:trPr>
        <w:tc>
          <w:tcPr>
            <w:tcW w:type="dxa" w:w="9581"/>
            <w:tcBorders>
              <w:top w:val="nil" w:sz="6" w:color="D9CDD3"/>
              <w:bottom w:val="nil" w:sz="6" w:color="D9CDD3"/>
              <w:start w:val="nil" w:sz="6" w:color="D9CDD3"/>
              <w:end w:val="nil" w:sz="6" w:color="D9CDD3"/>
              <w:insideH w:val="nil" w:sz="6" w:color="D9CDD3"/>
              <w:insideV w:val="nil" w:sz="6" w:color="D9CDD3"/>
            </w:tcBorders>
            <w:tcMar>
              <w:top w:w="120" w:type="dxa"/>
              <w:start w:w="160" w:type="dxa"/>
              <w:bottom w:w="120" w:type="dxa"/>
              <w:end w:w="160" w:type="dxa"/>
            </w:tcMar>
            <w:shd w:fill="FFF8E8"/>
          </w:tcPr>
          <w:p>
            <w:pPr>
              <w:spacing w:after="0"/>
              <w:jc w:val="right"/>
              <w:bidi w:val="1"/>
            </w:pPr>
            <w:r/>
            <w:r>
              <w:rPr>
                <w:rFonts w:ascii="Noto Kufi Arabic" w:hAnsi="Noto Kufi Arabic" w:eastAsia="Noto Kufi Arabic" w:cs="Noto Kufi Arabic"/>
                <w:b/>
                <w:color w:val="B99B5A"/>
                <w:sz w:val="19"/>
                <w:rtl w:val="1"/>
              </w:rPr>
              <w:t>ملاحظة على التكلفة</w:t>
            </w:r>
          </w:p>
          <w:p>
            <w:pPr>
              <w:spacing w:after="0"/>
              <w:jc w:val="right"/>
              <w:bidi w:val="1"/>
            </w:pPr>
            <w:r>
              <w:rPr>
                <w:rFonts w:ascii="Noto Sans Arabic" w:hAnsi="Noto Sans Arabic" w:eastAsia="Noto Sans Arabic" w:cs="Noto Sans Arabic"/>
                <w:b w:val="0"/>
                <w:color w:val="243044"/>
                <w:sz w:val="19"/>
                <w:rtl w:val="1"/>
              </w:rPr>
              <w:t>ورد في صفحة المقترح نطاق ٥٬٠٠٠ إلى ٧٬٠٠٠ ريال، بينما ورد في صفحة التطلعات أنه «شهريًا لمدة ٣ أشهر». ينبغي توحيد صياغة التكلفة في قرار الاعتماد.</w:t>
            </w:r>
          </w:p>
        </w:tc>
        <w:tc>
          <w:tcPr>
            <w:tcW w:type="dxa" w:w="255"/>
            <w:tcBorders>
              <w:top w:val="nil" w:sz="6" w:color="D9CDD3"/>
              <w:bottom w:val="nil" w:sz="6" w:color="D9CDD3"/>
              <w:start w:val="nil" w:sz="6" w:color="D9CDD3"/>
              <w:end w:val="nil" w:sz="6" w:color="D9CDD3"/>
              <w:insideH w:val="nil" w:sz="6" w:color="D9CDD3"/>
              <w:insideV w:val="nil" w:sz="6" w:color="D9CDD3"/>
            </w:tcBorders>
            <w:tcMar>
              <w:top w:w="90" w:type="dxa"/>
              <w:start w:w="90" w:type="dxa"/>
              <w:bottom w:w="90" w:type="dxa"/>
              <w:end w:w="90" w:type="dxa"/>
            </w:tcMar>
            <w:shd w:fill="B99B5A"/>
          </w:tcPr>
          <w:p>
            <w:r/>
          </w:p>
        </w:tc>
      </w:tr>
    </w:tbl>
    <w:p>
      <w:pPr>
        <w:spacing w:after="40"/>
      </w:pPr>
    </w:p>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تجارب المستفيدين</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٠٨</w:t>
            </w:r>
          </w:p>
        </w:tc>
      </w:tr>
    </w:tbl>
    <w:p>
      <w:pPr>
        <w:spacing w:after="120" w:before="120"/>
        <w:jc w:val="right"/>
        <w:bidi w:val="1"/>
      </w:pPr>
      <w:r>
        <w:rPr>
          <w:rFonts w:ascii="Noto Kufi Arabic" w:hAnsi="Noto Kufi Arabic" w:eastAsia="Noto Kufi Arabic" w:cs="Noto Kufi Arabic"/>
          <w:b/>
          <w:color w:val="941E3D"/>
          <w:sz w:val="24"/>
          <w:rtl w:val="1"/>
        </w:rPr>
        <w:t>سامية سليمان</w:t>
      </w:r>
    </w:p>
    <w:p>
      <w:pPr>
        <w:spacing w:after="120" w:line="293" w:lineRule="auto"/>
        <w:jc w:val="right"/>
        <w:bidi w:val="1"/>
      </w:pPr>
      <w:r>
        <w:rPr>
          <w:rFonts w:ascii="Noto Sans Arabic" w:hAnsi="Noto Sans Arabic" w:eastAsia="Noto Sans Arabic" w:cs="Noto Sans Arabic"/>
          <w:b w:val="0"/>
          <w:color w:val="243044"/>
          <w:sz w:val="20"/>
          <w:rtl w:val="1"/>
        </w:rPr>
        <w:t>تقدمت المستفيدة سامية سليمان بخطاب إحالة من مستشفى المواساة بالمدينة المنورة، طالبة المساعدة في تغطية تكلفة عملية استئصال كتلة من الصدر بمبلغ ٦٬٣٥٠ ريال. وبعد إجراء البحث الاجتماعي ودراسة الحالة وعرضها على مجلس المساعدات، تمت الموافقة على تغطية كامل تكلفة العملية، وأُجريت بنجاح وتحسنت حالتها الصحية.</w:t>
      </w:r>
    </w:p>
    <w:tbl>
      <w:tblPr>
        <w:tblW w:type="auto" w:w="0"/>
        <w:jc w:val="center"/>
        <w:tblLook w:firstColumn="1" w:firstRow="1" w:lastColumn="0" w:lastRow="0" w:noHBand="0" w:noVBand="1" w:val="04A0"/>
        <w:bidiVisual w:val="1"/>
      </w:tblPr>
      <w:tblGrid>
        <w:gridCol w:w="5298"/>
        <w:gridCol w:w="5298"/>
      </w:tblGrid>
      <w:tr>
        <w:trPr>
          <w:cantSplit/>
        </w:trPr>
        <w:tc>
          <w:tcPr>
            <w:tcW w:type="dxa" w:w="9581"/>
            <w:tcBorders>
              <w:top w:val="nil" w:sz="6" w:color="D9CDD3"/>
              <w:bottom w:val="nil" w:sz="6" w:color="D9CDD3"/>
              <w:start w:val="nil" w:sz="6" w:color="D9CDD3"/>
              <w:end w:val="nil" w:sz="6" w:color="D9CDD3"/>
              <w:insideH w:val="nil" w:sz="6" w:color="D9CDD3"/>
              <w:insideV w:val="nil" w:sz="6" w:color="D9CDD3"/>
            </w:tcBorders>
            <w:tcMar>
              <w:top w:w="120" w:type="dxa"/>
              <w:start w:w="160" w:type="dxa"/>
              <w:bottom w:w="120" w:type="dxa"/>
              <w:end w:w="160" w:type="dxa"/>
            </w:tcMar>
            <w:shd w:fill="F4EDF0"/>
          </w:tcPr>
          <w:p>
            <w:pPr>
              <w:spacing w:after="0"/>
              <w:jc w:val="right"/>
              <w:bidi w:val="1"/>
            </w:pPr>
            <w:r/>
            <w:r>
              <w:rPr>
                <w:rFonts w:ascii="Noto Kufi Arabic" w:hAnsi="Noto Kufi Arabic" w:eastAsia="Noto Kufi Arabic" w:cs="Noto Kufi Arabic"/>
                <w:b/>
                <w:color w:val="941E3D"/>
                <w:sz w:val="19"/>
                <w:rtl w:val="1"/>
              </w:rPr>
              <w:t>رسالة المستفيدة</w:t>
            </w:r>
          </w:p>
          <w:p>
            <w:pPr>
              <w:spacing w:after="0"/>
              <w:jc w:val="right"/>
              <w:bidi w:val="1"/>
            </w:pPr>
            <w:r>
              <w:rPr>
                <w:rFonts w:ascii="Noto Sans Arabic" w:hAnsi="Noto Sans Arabic" w:eastAsia="Noto Sans Arabic" w:cs="Noto Sans Arabic"/>
                <w:b w:val="0"/>
                <w:color w:val="243044"/>
                <w:sz w:val="19"/>
                <w:rtl w:val="1"/>
              </w:rPr>
              <w:t>«إلى أعضاء جمعية طبيبي الكرام، تعجز كلمات الثناء والشكر أن تفيكم حقكم لما تقدمونه من جهود جليلة في خدمة المجتمع، فأنتم نموذج يُحتذى به في البذل والعطاء... بدعمكم المستمر وتبرعاتكم الكريمة تستطيعون إدخال السرور على قلوب المحتاجين وإحداث تغيير حقيقي وإيجابي في المجتمع... شكرًا لقلوبكم المعطاءة.»</w:t>
            </w:r>
          </w:p>
        </w:tc>
        <w:tc>
          <w:tcPr>
            <w:tcW w:type="dxa" w:w="255"/>
            <w:tcBorders>
              <w:top w:val="nil" w:sz="6" w:color="D9CDD3"/>
              <w:bottom w:val="nil" w:sz="6" w:color="D9CDD3"/>
              <w:start w:val="nil" w:sz="6" w:color="D9CDD3"/>
              <w:end w:val="nil" w:sz="6" w:color="D9CDD3"/>
              <w:insideH w:val="nil" w:sz="6" w:color="D9CDD3"/>
              <w:insideV w:val="nil" w:sz="6" w:color="D9CDD3"/>
            </w:tcBorders>
            <w:tcMar>
              <w:top w:w="90" w:type="dxa"/>
              <w:start w:w="90" w:type="dxa"/>
              <w:bottom w:w="90" w:type="dxa"/>
              <w:end w:w="90" w:type="dxa"/>
            </w:tcMar>
            <w:shd w:fill="941E3D"/>
          </w:tcPr>
          <w:p>
            <w:r/>
          </w:p>
        </w:tc>
      </w:tr>
    </w:tbl>
    <w:p>
      <w:pPr>
        <w:spacing w:after="40"/>
      </w:pPr>
    </w:p>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تجربة مستفيدة - كندفة محمد</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٠٨</w:t>
            </w:r>
          </w:p>
        </w:tc>
      </w:tr>
    </w:tbl>
    <w:p>
      <w:pPr>
        <w:spacing w:after="120" w:before="120"/>
        <w:jc w:val="right"/>
        <w:bidi w:val="1"/>
      </w:pPr>
      <w:r>
        <w:rPr>
          <w:rFonts w:ascii="Noto Kufi Arabic" w:hAnsi="Noto Kufi Arabic" w:eastAsia="Noto Kufi Arabic" w:cs="Noto Kufi Arabic"/>
          <w:b/>
          <w:color w:val="941E3D"/>
          <w:sz w:val="24"/>
          <w:rtl w:val="1"/>
        </w:rPr>
        <w:t>كندفة محمد</w:t>
      </w:r>
    </w:p>
    <w:p>
      <w:pPr>
        <w:spacing w:after="120" w:line="293" w:lineRule="auto"/>
        <w:jc w:val="right"/>
        <w:bidi w:val="1"/>
      </w:pPr>
      <w:r>
        <w:rPr>
          <w:rFonts w:ascii="Noto Sans Arabic" w:hAnsi="Noto Sans Arabic" w:eastAsia="Noto Sans Arabic" w:cs="Noto Sans Arabic"/>
          <w:b w:val="0"/>
          <w:color w:val="243044"/>
          <w:sz w:val="20"/>
          <w:rtl w:val="1"/>
        </w:rPr>
        <w:t>تقدمت المستفيدة كندفة محمد بخطاب إحالة من مدينة الملك سلمان الطبية، طالبة المساعدة في تغطية تكلفة التنويم تحت الملاحظة البالغة ٩٬١٨٦ ريال. وبعد دراسة الحالة تمت الموافقة على تغطية ٧٬٠٠٠ ريال من قيمة الفاتورة، وتحسنت الحالة الصحية للمستفيدة.</w:t>
      </w:r>
    </w:p>
    <w:tbl>
      <w:tblPr>
        <w:tblW w:type="auto" w:w="0"/>
        <w:jc w:val="center"/>
        <w:tblLook w:firstColumn="1" w:firstRow="1" w:lastColumn="0" w:lastRow="0" w:noHBand="0" w:noVBand="1" w:val="04A0"/>
        <w:bidiVisual w:val="1"/>
      </w:tblPr>
      <w:tblGrid>
        <w:gridCol w:w="5298"/>
        <w:gridCol w:w="5298"/>
      </w:tblGrid>
      <w:tr>
        <w:trPr>
          <w:cantSplit/>
        </w:trPr>
        <w:tc>
          <w:tcPr>
            <w:tcW w:type="dxa" w:w="9581"/>
            <w:tcBorders>
              <w:top w:val="nil" w:sz="6" w:color="D9CDD3"/>
              <w:bottom w:val="nil" w:sz="6" w:color="D9CDD3"/>
              <w:start w:val="nil" w:sz="6" w:color="D9CDD3"/>
              <w:end w:val="nil" w:sz="6" w:color="D9CDD3"/>
              <w:insideH w:val="nil" w:sz="6" w:color="D9CDD3"/>
              <w:insideV w:val="nil" w:sz="6" w:color="D9CDD3"/>
            </w:tcBorders>
            <w:tcMar>
              <w:top w:w="120" w:type="dxa"/>
              <w:start w:w="160" w:type="dxa"/>
              <w:bottom w:w="120" w:type="dxa"/>
              <w:end w:w="160" w:type="dxa"/>
            </w:tcMar>
            <w:shd w:fill="F4EDF0"/>
          </w:tcPr>
          <w:p>
            <w:pPr>
              <w:spacing w:after="0"/>
              <w:jc w:val="right"/>
              <w:bidi w:val="1"/>
            </w:pPr>
            <w:r/>
            <w:r>
              <w:rPr>
                <w:rFonts w:ascii="Noto Kufi Arabic" w:hAnsi="Noto Kufi Arabic" w:eastAsia="Noto Kufi Arabic" w:cs="Noto Kufi Arabic"/>
                <w:b/>
                <w:color w:val="941E3D"/>
                <w:sz w:val="19"/>
                <w:rtl w:val="1"/>
              </w:rPr>
              <w:t>رسالة المستفيدة</w:t>
            </w:r>
          </w:p>
          <w:p>
            <w:pPr>
              <w:spacing w:after="0"/>
              <w:jc w:val="right"/>
              <w:bidi w:val="1"/>
            </w:pPr>
            <w:r>
              <w:rPr>
                <w:rFonts w:ascii="Noto Sans Arabic" w:hAnsi="Noto Sans Arabic" w:eastAsia="Noto Sans Arabic" w:cs="Noto Sans Arabic"/>
                <w:b w:val="0"/>
                <w:color w:val="243044"/>
                <w:sz w:val="19"/>
                <w:rtl w:val="1"/>
              </w:rPr>
              <w:t>«من أعماق قلبي، أتقدم بخالص الشكر والامتنان لجمعية طبيبي... كانت الإجراءات سريعة، والتعامل راقيًا، والاهتمام يفوق الوصف... وأخص بالشكر الأستاذة غدير، والأستاذ وائل، وجميع الشباب العاملين في الجمعية... شكرًا لكم من القلب، ولن أنسى جميلكم ما حييت.»</w:t>
            </w:r>
          </w:p>
        </w:tc>
        <w:tc>
          <w:tcPr>
            <w:tcW w:type="dxa" w:w="255"/>
            <w:tcBorders>
              <w:top w:val="nil" w:sz="6" w:color="D9CDD3"/>
              <w:bottom w:val="nil" w:sz="6" w:color="D9CDD3"/>
              <w:start w:val="nil" w:sz="6" w:color="D9CDD3"/>
              <w:end w:val="nil" w:sz="6" w:color="D9CDD3"/>
              <w:insideH w:val="nil" w:sz="6" w:color="D9CDD3"/>
              <w:insideV w:val="nil" w:sz="6" w:color="D9CDD3"/>
            </w:tcBorders>
            <w:tcMar>
              <w:top w:w="90" w:type="dxa"/>
              <w:start w:w="90" w:type="dxa"/>
              <w:bottom w:w="90" w:type="dxa"/>
              <w:end w:w="90" w:type="dxa"/>
            </w:tcMar>
            <w:shd w:fill="941E3D"/>
          </w:tcPr>
          <w:p>
            <w:r/>
          </w:p>
        </w:tc>
      </w:tr>
    </w:tbl>
    <w:p>
      <w:pPr>
        <w:spacing w:after="40"/>
      </w:pPr>
    </w:p>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الجهات الإشرافية وشركاء العطاء</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٠٩</w:t>
            </w:r>
          </w:p>
        </w:tc>
      </w:tr>
    </w:tbl>
    <w:p>
      <w:pPr>
        <w:spacing w:after="120" w:before="120"/>
        <w:jc w:val="right"/>
        <w:bidi w:val="1"/>
      </w:pPr>
      <w:r>
        <w:rPr>
          <w:rFonts w:ascii="Noto Kufi Arabic" w:hAnsi="Noto Kufi Arabic" w:eastAsia="Noto Kufi Arabic" w:cs="Noto Kufi Arabic"/>
          <w:b/>
          <w:color w:val="941E3D"/>
          <w:sz w:val="24"/>
          <w:rtl w:val="1"/>
        </w:rPr>
        <w:t>الجهات الإشرافية والحكومية</w:t>
      </w:r>
    </w:p>
    <w:tbl>
      <w:tblPr>
        <w:tblW w:type="auto" w:w="0"/>
        <w:jc w:val="center"/>
        <w:tblLook w:firstColumn="1" w:firstRow="1" w:lastColumn="0" w:lastRow="0" w:noHBand="0" w:noVBand="1" w:val="04A0"/>
        <w:bidiVisual w:val="1"/>
      </w:tblPr>
      <w:tblGrid>
        <w:gridCol w:w="3532"/>
        <w:gridCol w:w="3532"/>
        <w:gridCol w:w="3532"/>
      </w:tblGrid>
      <w:tr>
        <w:tc>
          <w:tcPr>
            <w:tcW w:type="dxa" w:w="3288"/>
            <w:tcBorders>
              <w:top w:val="single" w:sz="10" w:color="14253D"/>
              <w:bottom w:val="single" w:sz="4" w:color="E0D8DC"/>
              <w:start w:val="nil" w:sz="6" w:color="D9CDD3"/>
              <w:end w:val="nil" w:sz="6" w:color="D9CDD3"/>
              <w:insideH w:val="nil" w:sz="6" w:color="D9CDD3"/>
              <w:insideV w:val="nil" w:sz="6" w:color="D9CDD3"/>
            </w:tcBorders>
            <w:tcMar>
              <w:top w:w="210" w:type="dxa"/>
              <w:start w:w="90" w:type="dxa"/>
              <w:bottom w:w="210" w:type="dxa"/>
              <w:end w:w="90" w:type="dxa"/>
            </w:tcMar>
            <w:shd w:fill="F7F4F6"/>
          </w:tcPr>
          <w:p>
            <w:pPr>
              <w:spacing w:after="0"/>
              <w:jc w:val="center"/>
              <w:bidi w:val="1"/>
            </w:pPr>
            <w:r/>
            <w:r>
              <w:rPr>
                <w:rFonts w:ascii="Noto Kufi Arabic" w:hAnsi="Noto Kufi Arabic" w:eastAsia="Noto Kufi Arabic" w:cs="Noto Kufi Arabic"/>
                <w:b/>
                <w:color w:val="14253D"/>
                <w:sz w:val="19"/>
                <w:rtl w:val="1"/>
              </w:rPr>
              <w:t>وزارة الصحة</w:t>
            </w:r>
          </w:p>
        </w:tc>
        <w:tc>
          <w:tcPr>
            <w:tcW w:type="dxa" w:w="3288"/>
            <w:tcBorders>
              <w:top w:val="single" w:sz="10" w:color="14253D"/>
              <w:bottom w:val="single" w:sz="4" w:color="E0D8DC"/>
              <w:start w:val="nil" w:sz="6" w:color="D9CDD3"/>
              <w:end w:val="nil" w:sz="6" w:color="D9CDD3"/>
              <w:insideH w:val="nil" w:sz="6" w:color="D9CDD3"/>
              <w:insideV w:val="nil" w:sz="6" w:color="D9CDD3"/>
            </w:tcBorders>
            <w:tcMar>
              <w:top w:w="210" w:type="dxa"/>
              <w:start w:w="90" w:type="dxa"/>
              <w:bottom w:w="210" w:type="dxa"/>
              <w:end w:w="90" w:type="dxa"/>
            </w:tcMar>
            <w:shd w:fill="F7F4F6"/>
          </w:tcPr>
          <w:p>
            <w:pPr>
              <w:spacing w:after="0"/>
              <w:jc w:val="center"/>
              <w:bidi w:val="1"/>
            </w:pPr>
            <w:r/>
            <w:r>
              <w:rPr>
                <w:rFonts w:ascii="Noto Kufi Arabic" w:hAnsi="Noto Kufi Arabic" w:eastAsia="Noto Kufi Arabic" w:cs="Noto Kufi Arabic"/>
                <w:b/>
                <w:color w:val="14253D"/>
                <w:sz w:val="19"/>
                <w:rtl w:val="1"/>
              </w:rPr>
              <w:t>المركز الوطني لتنمية القطاع غير الربحي</w:t>
            </w:r>
          </w:p>
        </w:tc>
        <w:tc>
          <w:tcPr>
            <w:tcW w:type="dxa" w:w="3288"/>
            <w:tcBorders>
              <w:top w:val="single" w:sz="10" w:color="14253D"/>
              <w:bottom w:val="single" w:sz="4" w:color="E0D8DC"/>
              <w:start w:val="nil" w:sz="6" w:color="D9CDD3"/>
              <w:end w:val="nil" w:sz="6" w:color="D9CDD3"/>
              <w:insideH w:val="nil" w:sz="6" w:color="D9CDD3"/>
              <w:insideV w:val="nil" w:sz="6" w:color="D9CDD3"/>
            </w:tcBorders>
            <w:tcMar>
              <w:top w:w="210" w:type="dxa"/>
              <w:start w:w="90" w:type="dxa"/>
              <w:bottom w:w="210" w:type="dxa"/>
              <w:end w:w="90" w:type="dxa"/>
            </w:tcMar>
            <w:shd w:fill="F7F4F6"/>
          </w:tcPr>
          <w:p>
            <w:pPr>
              <w:spacing w:after="0"/>
              <w:jc w:val="center"/>
              <w:bidi w:val="1"/>
            </w:pPr>
            <w:r/>
            <w:r>
              <w:rPr>
                <w:rFonts w:ascii="Noto Kufi Arabic" w:hAnsi="Noto Kufi Arabic" w:eastAsia="Noto Kufi Arabic" w:cs="Noto Kufi Arabic"/>
                <w:b/>
                <w:color w:val="14253D"/>
                <w:sz w:val="19"/>
                <w:rtl w:val="1"/>
              </w:rPr>
              <w:t>وزارة الموارد البشرية والتنمية الاجتماعية</w:t>
            </w:r>
          </w:p>
        </w:tc>
      </w:tr>
      <w:tr>
        <w:tc>
          <w:tcPr>
            <w:tcW w:type="dxa" w:w="3288"/>
            <w:tcBorders>
              <w:top w:val="single" w:sz="10" w:color="14253D"/>
              <w:bottom w:val="single" w:sz="4" w:color="E0D8DC"/>
              <w:start w:val="nil" w:sz="6" w:color="D9CDD3"/>
              <w:end w:val="nil" w:sz="6" w:color="D9CDD3"/>
              <w:insideH w:val="nil" w:sz="6" w:color="D9CDD3"/>
              <w:insideV w:val="nil" w:sz="6" w:color="D9CDD3"/>
            </w:tcBorders>
            <w:tcMar>
              <w:top w:w="210" w:type="dxa"/>
              <w:start w:w="90" w:type="dxa"/>
              <w:bottom w:w="210" w:type="dxa"/>
              <w:end w:w="90" w:type="dxa"/>
            </w:tcMar>
            <w:shd w:fill="F7F4F6"/>
          </w:tcPr>
          <w:p>
            <w:pPr>
              <w:spacing w:after="0"/>
              <w:jc w:val="center"/>
              <w:bidi w:val="1"/>
            </w:pPr>
            <w:r/>
            <w:r>
              <w:rPr>
                <w:rFonts w:ascii="Noto Kufi Arabic" w:hAnsi="Noto Kufi Arabic" w:eastAsia="Noto Kufi Arabic" w:cs="Noto Kufi Arabic"/>
                <w:b/>
                <w:color w:val="14253D"/>
                <w:sz w:val="19"/>
                <w:rtl w:val="1"/>
              </w:rPr>
              <w:t>تجمع المدينة المنورة الصحي</w:t>
            </w:r>
          </w:p>
        </w:tc>
        <w:tc>
          <w:tcPr>
            <w:tcW w:type="dxa" w:w="3288"/>
            <w:tcBorders>
              <w:top w:val="single" w:sz="10" w:color="14253D"/>
              <w:bottom w:val="single" w:sz="4" w:color="E0D8DC"/>
              <w:start w:val="nil" w:sz="6" w:color="D9CDD3"/>
              <w:end w:val="nil" w:sz="6" w:color="D9CDD3"/>
              <w:insideH w:val="nil" w:sz="6" w:color="D9CDD3"/>
              <w:insideV w:val="nil" w:sz="6" w:color="D9CDD3"/>
            </w:tcBorders>
            <w:tcMar>
              <w:top w:w="210" w:type="dxa"/>
              <w:start w:w="90" w:type="dxa"/>
              <w:bottom w:w="210" w:type="dxa"/>
              <w:end w:w="90" w:type="dxa"/>
            </w:tcMar>
            <w:shd w:fill="F7F4F6"/>
          </w:tcPr>
          <w:p>
            <w:pPr>
              <w:spacing w:after="0"/>
              <w:jc w:val="center"/>
              <w:bidi w:val="1"/>
            </w:pPr>
            <w:r/>
            <w:r>
              <w:rPr>
                <w:rFonts w:ascii="Noto Kufi Arabic" w:hAnsi="Noto Kufi Arabic" w:eastAsia="Noto Kufi Arabic" w:cs="Noto Kufi Arabic"/>
                <w:b/>
                <w:color w:val="14253D"/>
                <w:sz w:val="19"/>
                <w:rtl w:val="1"/>
              </w:rPr>
              <w:t>مركز الملك سلمان للإغاثة والأعمال الإنسانية</w:t>
            </w:r>
          </w:p>
        </w:tc>
        <w:tc>
          <w:tcPr>
            <w:tcW w:type="dxa" w:w="3288"/>
            <w:tcBorders>
              <w:top w:val="single" w:sz="10" w:color="14253D"/>
              <w:bottom w:val="single" w:sz="4" w:color="E0D8DC"/>
              <w:start w:val="nil" w:sz="6" w:color="D9CDD3"/>
              <w:end w:val="nil" w:sz="6" w:color="D9CDD3"/>
              <w:insideH w:val="nil" w:sz="6" w:color="D9CDD3"/>
              <w:insideV w:val="nil" w:sz="6" w:color="D9CDD3"/>
            </w:tcBorders>
            <w:tcMar>
              <w:top w:w="210" w:type="dxa"/>
              <w:start w:w="90" w:type="dxa"/>
              <w:bottom w:w="210" w:type="dxa"/>
              <w:end w:w="90" w:type="dxa"/>
            </w:tcMar>
            <w:shd w:fill="F7F4F6"/>
          </w:tcPr>
          <w:p>
            <w:pPr>
              <w:spacing w:after="0"/>
              <w:jc w:val="center"/>
              <w:bidi w:val="1"/>
            </w:pPr>
            <w:r/>
            <w:r>
              <w:rPr>
                <w:rFonts w:ascii="Noto Kufi Arabic" w:hAnsi="Noto Kufi Arabic" w:eastAsia="Noto Kufi Arabic" w:cs="Noto Kufi Arabic"/>
                <w:b/>
                <w:color w:val="14253D"/>
                <w:sz w:val="19"/>
                <w:rtl w:val="1"/>
              </w:rPr>
              <w:t>هيئة تطوير منطقة المدينة المنورة</w:t>
            </w:r>
          </w:p>
        </w:tc>
      </w:tr>
    </w:tbl>
    <w:p>
      <w:pPr>
        <w:spacing w:after="120" w:before="120"/>
        <w:jc w:val="right"/>
        <w:bidi w:val="1"/>
      </w:pPr>
      <w:r>
        <w:rPr>
          <w:rFonts w:ascii="Noto Kufi Arabic" w:hAnsi="Noto Kufi Arabic" w:eastAsia="Noto Kufi Arabic" w:cs="Noto Kufi Arabic"/>
          <w:b/>
          <w:color w:val="941E3D"/>
          <w:sz w:val="24"/>
          <w:rtl w:val="1"/>
        </w:rPr>
        <w:t>المنصات</w:t>
      </w:r>
    </w:p>
    <w:tbl>
      <w:tblPr>
        <w:tblW w:type="auto" w:w="0"/>
        <w:jc w:val="center"/>
        <w:tblLayout w:type="fixed"/>
        <w:tblLook w:firstColumn="1" w:firstRow="1" w:lastColumn="0" w:lastRow="0" w:noHBand="0" w:noVBand="1" w:val="04A0"/>
        <w:bidiVisual w:val="1"/>
      </w:tblPr>
      <w:tblGrid>
        <w:gridCol w:w="10596"/>
      </w:tblGrid>
      <w:tr>
        <w:trPr>
          <w:tblHeader w:val="true"/>
          <w:cantSplit/>
        </w:trPr>
        <w:tc>
          <w:tcPr>
            <w:tcW w:type="dxa" w:w="9921"/>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8"/>
                <w:rtl w:val="1"/>
              </w:rPr>
              <w:t>المنصات المفعلة / المستخدمة</w:t>
            </w:r>
          </w:p>
        </w:tc>
      </w:tr>
      <w:tr>
        <w:trPr>
          <w:cantSplit/>
        </w:trPr>
        <w:tc>
          <w:tcPr>
            <w:tcW w:type="dxa" w:w="10596"/>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منصة شفاء</w:t>
            </w:r>
          </w:p>
        </w:tc>
      </w:tr>
      <w:tr>
        <w:trPr>
          <w:cantSplit/>
        </w:trPr>
        <w:tc>
          <w:tcPr>
            <w:tcW w:type="dxa" w:w="10596"/>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منصة إحسان</w:t>
            </w:r>
          </w:p>
        </w:tc>
      </w:tr>
      <w:tr>
        <w:trPr>
          <w:cantSplit/>
        </w:trPr>
        <w:tc>
          <w:tcPr>
            <w:tcW w:type="dxa" w:w="10596"/>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8"/>
                <w:rtl w:val="1"/>
              </w:rPr>
              <w:t>المنصة الوطنية للتبرعات - تبرع</w:t>
            </w:r>
          </w:p>
        </w:tc>
      </w:tr>
    </w:tbl>
    <w:p>
      <w:pPr>
        <w:spacing w:after="120" w:before="120"/>
        <w:jc w:val="right"/>
        <w:bidi w:val="1"/>
      </w:pPr>
      <w:r>
        <w:rPr>
          <w:rFonts w:ascii="Noto Kufi Arabic" w:hAnsi="Noto Kufi Arabic" w:eastAsia="Noto Kufi Arabic" w:cs="Noto Kufi Arabic"/>
          <w:b/>
          <w:color w:val="941E3D"/>
          <w:sz w:val="24"/>
          <w:rtl w:val="1"/>
        </w:rPr>
        <w:t>شركاء العطاء والجهات المانحة</w:t>
      </w:r>
    </w:p>
    <w:tbl>
      <w:tblPr>
        <w:tblW w:type="auto" w:w="0"/>
        <w:jc w:val="center"/>
        <w:tblLook w:firstColumn="1" w:firstRow="1" w:lastColumn="0" w:lastRow="0" w:noHBand="0" w:noVBand="1" w:val="04A0"/>
        <w:bidiVisual w:val="1"/>
      </w:tblPr>
      <w:tblGrid>
        <w:gridCol w:w="3532"/>
        <w:gridCol w:w="3532"/>
        <w:gridCol w:w="3532"/>
      </w:tblGrid>
      <w:tr>
        <w:tc>
          <w:tcPr>
            <w:tcW w:type="dxa" w:w="3288"/>
            <w:tcBorders>
              <w:top w:val="nil" w:sz="6" w:color="D9CDD3"/>
              <w:bottom w:val="single" w:sz="4" w:color="E0D8DC"/>
              <w:start w:val="single" w:sz="12" w:color="D51B52"/>
              <w:end w:val="nil" w:sz="6" w:color="D9CDD3"/>
              <w:insideH w:val="nil" w:sz="6" w:color="D9CDD3"/>
              <w:insideV w:val="nil" w:sz="6" w:color="D9CDD3"/>
            </w:tcBorders>
            <w:tcMar>
              <w:top w:w="160" w:type="dxa"/>
              <w:start w:w="80" w:type="dxa"/>
              <w:bottom w:w="160" w:type="dxa"/>
              <w:end w:w="80" w:type="dxa"/>
            </w:tcMar>
            <w:shd w:fill="FBFAFB"/>
          </w:tcPr>
          <w:p>
            <w:pPr>
              <w:spacing w:after="0"/>
              <w:jc w:val="center"/>
              <w:bidi w:val="1"/>
            </w:pPr>
            <w:r/>
            <w:r>
              <w:rPr>
                <w:rFonts w:ascii="Noto Kufi Arabic" w:hAnsi="Noto Kufi Arabic" w:eastAsia="Noto Kufi Arabic" w:cs="Noto Kufi Arabic"/>
                <w:b/>
                <w:color w:val="243044"/>
                <w:sz w:val="17"/>
                <w:rtl w:val="1"/>
              </w:rPr>
              <w:t>وقف الشيخ نغيمش الأحمدي</w:t>
            </w:r>
          </w:p>
        </w:tc>
        <w:tc>
          <w:tcPr>
            <w:tcW w:type="dxa" w:w="3288"/>
            <w:tcBorders>
              <w:top w:val="nil" w:sz="6" w:color="D9CDD3"/>
              <w:bottom w:val="single" w:sz="4" w:color="E0D8DC"/>
              <w:start w:val="single" w:sz="12" w:color="D51B52"/>
              <w:end w:val="nil" w:sz="6" w:color="D9CDD3"/>
              <w:insideH w:val="nil" w:sz="6" w:color="D9CDD3"/>
              <w:insideV w:val="nil" w:sz="6" w:color="D9CDD3"/>
            </w:tcBorders>
            <w:tcMar>
              <w:top w:w="160" w:type="dxa"/>
              <w:start w:w="80" w:type="dxa"/>
              <w:bottom w:w="160" w:type="dxa"/>
              <w:end w:w="80" w:type="dxa"/>
            </w:tcMar>
            <w:shd w:fill="FBFAFB"/>
          </w:tcPr>
          <w:p>
            <w:pPr>
              <w:spacing w:after="0"/>
              <w:jc w:val="center"/>
              <w:bidi w:val="1"/>
            </w:pPr>
            <w:r/>
            <w:r>
              <w:rPr>
                <w:rFonts w:ascii="Noto Kufi Arabic" w:hAnsi="Noto Kufi Arabic" w:eastAsia="Noto Kufi Arabic" w:cs="Noto Kufi Arabic"/>
                <w:b/>
                <w:color w:val="243044"/>
                <w:sz w:val="17"/>
                <w:rtl w:val="1"/>
              </w:rPr>
              <w:t>شركة طابة المطورة للتطوير العمراني</w:t>
            </w:r>
          </w:p>
        </w:tc>
        <w:tc>
          <w:tcPr>
            <w:tcW w:type="dxa" w:w="3288"/>
            <w:tcBorders>
              <w:top w:val="nil" w:sz="6" w:color="D9CDD3"/>
              <w:bottom w:val="single" w:sz="4" w:color="E0D8DC"/>
              <w:start w:val="single" w:sz="12" w:color="D51B52"/>
              <w:end w:val="nil" w:sz="6" w:color="D9CDD3"/>
              <w:insideH w:val="nil" w:sz="6" w:color="D9CDD3"/>
              <w:insideV w:val="nil" w:sz="6" w:color="D9CDD3"/>
            </w:tcBorders>
            <w:tcMar>
              <w:top w:w="160" w:type="dxa"/>
              <w:start w:w="80" w:type="dxa"/>
              <w:bottom w:w="160" w:type="dxa"/>
              <w:end w:w="80" w:type="dxa"/>
            </w:tcMar>
            <w:shd w:fill="FBFAFB"/>
          </w:tcPr>
          <w:p>
            <w:pPr>
              <w:spacing w:after="0"/>
              <w:jc w:val="center"/>
              <w:bidi w:val="1"/>
            </w:pPr>
            <w:r/>
            <w:r>
              <w:rPr>
                <w:rFonts w:ascii="Noto Kufi Arabic" w:hAnsi="Noto Kufi Arabic" w:eastAsia="Noto Kufi Arabic" w:cs="Noto Kufi Arabic"/>
                <w:b/>
                <w:color w:val="243044"/>
                <w:sz w:val="17"/>
                <w:rtl w:val="1"/>
              </w:rPr>
              <w:t>وقف الشيخ عبدالقادر شيبة الحمد</w:t>
            </w:r>
          </w:p>
        </w:tc>
      </w:tr>
      <w:tr>
        <w:tc>
          <w:tcPr>
            <w:tcW w:type="dxa" w:w="3288"/>
            <w:tcBorders>
              <w:top w:val="nil" w:sz="6" w:color="D9CDD3"/>
              <w:bottom w:val="single" w:sz="4" w:color="E0D8DC"/>
              <w:start w:val="single" w:sz="12" w:color="D51B52"/>
              <w:end w:val="nil" w:sz="6" w:color="D9CDD3"/>
              <w:insideH w:val="nil" w:sz="6" w:color="D9CDD3"/>
              <w:insideV w:val="nil" w:sz="6" w:color="D9CDD3"/>
            </w:tcBorders>
            <w:tcMar>
              <w:top w:w="160" w:type="dxa"/>
              <w:start w:w="80" w:type="dxa"/>
              <w:bottom w:w="160" w:type="dxa"/>
              <w:end w:w="80" w:type="dxa"/>
            </w:tcMar>
            <w:shd w:fill="FBFAFB"/>
          </w:tcPr>
          <w:p>
            <w:pPr>
              <w:spacing w:after="0"/>
              <w:jc w:val="center"/>
              <w:bidi w:val="1"/>
            </w:pPr>
            <w:r/>
            <w:r>
              <w:rPr>
                <w:rFonts w:ascii="Noto Kufi Arabic" w:hAnsi="Noto Kufi Arabic" w:eastAsia="Noto Kufi Arabic" w:cs="Noto Kufi Arabic"/>
                <w:b/>
                <w:color w:val="243044"/>
                <w:sz w:val="17"/>
                <w:rtl w:val="1"/>
              </w:rPr>
              <w:t>مؤسسة سعيد محمد مكي</w:t>
            </w:r>
          </w:p>
        </w:tc>
        <w:tc>
          <w:tcPr>
            <w:tcW w:type="dxa" w:w="3288"/>
            <w:tcBorders>
              <w:top w:val="nil" w:sz="6" w:color="D9CDD3"/>
              <w:bottom w:val="single" w:sz="4" w:color="E0D8DC"/>
              <w:start w:val="single" w:sz="12" w:color="D51B52"/>
              <w:end w:val="nil" w:sz="6" w:color="D9CDD3"/>
              <w:insideH w:val="nil" w:sz="6" w:color="D9CDD3"/>
              <w:insideV w:val="nil" w:sz="6" w:color="D9CDD3"/>
            </w:tcBorders>
            <w:tcMar>
              <w:top w:w="160" w:type="dxa"/>
              <w:start w:w="80" w:type="dxa"/>
              <w:bottom w:w="160" w:type="dxa"/>
              <w:end w:w="80" w:type="dxa"/>
            </w:tcMar>
            <w:shd w:fill="FBFAFB"/>
          </w:tcPr>
          <w:p>
            <w:pPr>
              <w:spacing w:after="0"/>
              <w:jc w:val="center"/>
              <w:bidi w:val="1"/>
            </w:pPr>
            <w:r/>
            <w:r>
              <w:rPr>
                <w:rFonts w:ascii="Noto Kufi Arabic" w:hAnsi="Noto Kufi Arabic" w:eastAsia="Noto Kufi Arabic" w:cs="Noto Kufi Arabic"/>
                <w:b/>
                <w:color w:val="243044"/>
                <w:sz w:val="17"/>
                <w:rtl w:val="1"/>
              </w:rPr>
              <w:t>وقف عبدالرحيم عبدالرزاق</w:t>
            </w:r>
          </w:p>
        </w:tc>
        <w:tc>
          <w:tcPr>
            <w:tcW w:type="dxa" w:w="3288"/>
            <w:tcBorders>
              <w:top w:val="nil" w:sz="6" w:color="D9CDD3"/>
              <w:bottom w:val="single" w:sz="4" w:color="E0D8DC"/>
              <w:start w:val="single" w:sz="12" w:color="D51B52"/>
              <w:end w:val="nil" w:sz="6" w:color="D9CDD3"/>
              <w:insideH w:val="nil" w:sz="6" w:color="D9CDD3"/>
              <w:insideV w:val="nil" w:sz="6" w:color="D9CDD3"/>
            </w:tcBorders>
            <w:tcMar>
              <w:top w:w="160" w:type="dxa"/>
              <w:start w:w="80" w:type="dxa"/>
              <w:bottom w:w="160" w:type="dxa"/>
              <w:end w:w="80" w:type="dxa"/>
            </w:tcMar>
            <w:shd w:fill="FBFAFB"/>
          </w:tcPr>
          <w:p>
            <w:pPr>
              <w:spacing w:after="0"/>
              <w:jc w:val="center"/>
              <w:bidi w:val="1"/>
            </w:pPr>
            <w:r/>
            <w:r>
              <w:rPr>
                <w:rFonts w:ascii="Noto Kufi Arabic" w:hAnsi="Noto Kufi Arabic" w:eastAsia="Noto Kufi Arabic" w:cs="Noto Kufi Arabic"/>
                <w:b/>
                <w:color w:val="243044"/>
                <w:sz w:val="17"/>
                <w:rtl w:val="1"/>
              </w:rPr>
              <w:t>وقف عبدالعزيز عبدالله أبو زيد</w:t>
            </w:r>
          </w:p>
        </w:tc>
      </w:tr>
    </w:tbl>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ملاحظات تدقيقية قبل الاعتماد النهائي</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١٠</w:t>
            </w:r>
          </w:p>
        </w:tc>
      </w:tr>
    </w:tbl>
    <w:tbl>
      <w:tblPr>
        <w:tblW w:type="auto" w:w="0"/>
        <w:jc w:val="center"/>
        <w:tblLayout w:type="fixed"/>
        <w:tblLook w:firstColumn="1" w:firstRow="1" w:lastColumn="0" w:lastRow="0" w:noHBand="0" w:noVBand="1" w:val="04A0"/>
        <w:bidiVisual w:val="1"/>
      </w:tblPr>
      <w:tblGrid>
        <w:gridCol w:w="5298"/>
        <w:gridCol w:w="5298"/>
      </w:tblGrid>
      <w:tr>
        <w:trPr>
          <w:tblHeader w:val="true"/>
          <w:cantSplit/>
        </w:trPr>
        <w:tc>
          <w:tcPr>
            <w:tcW w:type="dxa" w:w="2835"/>
            <w:tcMar>
              <w:top w:w="55" w:type="dxa"/>
              <w:start w:w="55" w:type="dxa"/>
              <w:bottom w:w="55" w:type="dxa"/>
              <w:end w:w="55" w:type="dxa"/>
            </w:tcMar>
            <w:shd w:fill="B99B5A"/>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7"/>
                <w:rtl w:val="1"/>
              </w:rPr>
              <w:t>الموضوع</w:t>
            </w:r>
          </w:p>
        </w:tc>
        <w:tc>
          <w:tcPr>
            <w:tcW w:type="dxa" w:w="7087"/>
            <w:tcMar>
              <w:top w:w="55" w:type="dxa"/>
              <w:start w:w="55" w:type="dxa"/>
              <w:bottom w:w="55" w:type="dxa"/>
              <w:end w:w="55" w:type="dxa"/>
            </w:tcMar>
            <w:shd w:fill="B99B5A"/>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7"/>
                <w:rtl w:val="1"/>
              </w:rPr>
              <w:t>الملاحظة</w:t>
            </w:r>
          </w:p>
        </w:tc>
      </w:tr>
      <w:tr>
        <w:trPr>
          <w:cantSplit/>
        </w:trPr>
        <w:tc>
          <w:tcPr>
            <w:tcW w:type="dxa" w:w="5298"/>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7"/>
                <w:rtl w:val="1"/>
              </w:rPr>
              <w:t>فرق المصروفات</w:t>
            </w:r>
          </w:p>
        </w:tc>
        <w:tc>
          <w:tcPr>
            <w:tcW w:type="dxa" w:w="5298"/>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إجمالي المصروفات التفصيلية ٢٥٤٬٢٧٤ ريال مقابل ٢٤٩٬٢٧٤ ريال في صفحة الملخص. يلزم التحقق من سبب فرق ٥٬٠٠٠ ريال.</w:t>
            </w:r>
          </w:p>
        </w:tc>
      </w:tr>
      <w:tr>
        <w:trPr>
          <w:cantSplit/>
        </w:trPr>
        <w:tc>
          <w:tcPr>
            <w:tcW w:type="dxa" w:w="5298"/>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7"/>
                <w:rtl w:val="1"/>
              </w:rPr>
              <w:t>الفترة الزمنية</w:t>
            </w:r>
          </w:p>
        </w:tc>
        <w:tc>
          <w:tcPr>
            <w:tcW w:type="dxa" w:w="5298"/>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تتضمن صفحات تنمية الموارد بيانات مؤرخة في يوليو وأغسطس ٢٠٢٦م، أي بعد نهاية فترة التقرير في ٣٠ يونيو. تم فصلها كتحديث لاحق.</w:t>
            </w:r>
          </w:p>
        </w:tc>
      </w:tr>
      <w:tr>
        <w:trPr>
          <w:cantSplit/>
        </w:trPr>
        <w:tc>
          <w:tcPr>
            <w:tcW w:type="dxa" w:w="5298"/>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7"/>
                <w:rtl w:val="1"/>
              </w:rPr>
              <w:t>تكلفة الفريق الاستشاري</w:t>
            </w:r>
          </w:p>
        </w:tc>
        <w:tc>
          <w:tcPr>
            <w:tcW w:type="dxa" w:w="5298"/>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وردت صياغتان للتكلفة: ٥٬٠٠٠-٧٬٠٠٠ ريال، و٥٬٠٠٠-٧٬٠٠٠ ريال شهريًا لمدة ٣ أشهر. يجب توحيدها.</w:t>
            </w:r>
          </w:p>
        </w:tc>
      </w:tr>
      <w:tr>
        <w:trPr>
          <w:cantSplit/>
        </w:trPr>
        <w:tc>
          <w:tcPr>
            <w:tcW w:type="dxa" w:w="5298"/>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7"/>
                <w:rtl w:val="1"/>
              </w:rPr>
              <w:t>لغة بعض الملاحظات</w:t>
            </w:r>
          </w:p>
        </w:tc>
        <w:tc>
          <w:tcPr>
            <w:tcW w:type="dxa" w:w="5298"/>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توجد عبارات في المصدر تحتاج مراجعة قبل الاعتماد، مثل «رفض بسبب مطابقة المجال» في منصة إحسان، لضمان أن الصياغة تعبّر بدقة عن سبب الرفض.</w:t>
            </w:r>
          </w:p>
        </w:tc>
      </w:tr>
      <w:tr>
        <w:trPr>
          <w:cantSplit/>
        </w:trPr>
        <w:tc>
          <w:tcPr>
            <w:tcW w:type="dxa" w:w="5298"/>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7"/>
                <w:rtl w:val="1"/>
              </w:rPr>
              <w:t>إجمالي التبرعات التفصيلي</w:t>
            </w:r>
          </w:p>
        </w:tc>
        <w:tc>
          <w:tcPr>
            <w:tcW w:type="dxa" w:w="5298"/>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7"/>
                <w:rtl w:val="1"/>
              </w:rPr>
              <w:t>بيان الداعمين التفصيلي يعرض إجماليًا قدره ٥٨٢٬١٦٧٫٥٢ ريال، بينما الملخص المالي يستخدم ٥٨٢٬١٦٧ ريال؛ الفرق ناتج عن التقريب في الملخص ويجب توضيح سياسة التقريب.</w:t>
            </w:r>
          </w:p>
        </w:tc>
      </w:tr>
    </w:tbl>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الملحق (١) - بيان الداعمين للنصف الأول ٢٠٢٦م</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١١</w:t>
            </w:r>
          </w:p>
        </w:tc>
      </w:tr>
    </w:tbl>
    <w:tbl>
      <w:tblPr>
        <w:tblW w:type="auto" w:w="0"/>
        <w:jc w:val="center"/>
        <w:tblLayout w:type="fixed"/>
        <w:tblLook w:firstColumn="1" w:firstRow="1" w:lastColumn="0" w:lastRow="0" w:noHBand="0" w:noVBand="1" w:val="04A0"/>
        <w:bidiVisual w:val="1"/>
      </w:tblPr>
      <w:tblGrid>
        <w:gridCol w:w="2649"/>
        <w:gridCol w:w="2649"/>
        <w:gridCol w:w="2649"/>
        <w:gridCol w:w="2649"/>
      </w:tblGrid>
      <w:tr>
        <w:trPr>
          <w:tblHeader w:val="true"/>
          <w:cantSplit/>
        </w:trPr>
        <w:tc>
          <w:tcPr>
            <w:tcW w:type="dxa" w:w="4706"/>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5"/>
                <w:rtl w:val="1"/>
              </w:rPr>
              <w:t>الجهة الداعمة</w:t>
            </w:r>
          </w:p>
        </w:tc>
        <w:tc>
          <w:tcPr>
            <w:tcW w:type="dxa" w:w="1701"/>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5"/>
                <w:rtl w:val="1"/>
              </w:rPr>
              <w:t>التاريخ</w:t>
            </w:r>
          </w:p>
        </w:tc>
        <w:tc>
          <w:tcPr>
            <w:tcW w:type="dxa" w:w="1587"/>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5"/>
                <w:rtl w:val="1"/>
              </w:rPr>
              <w:t>المبلغ</w:t>
            </w:r>
          </w:p>
        </w:tc>
        <w:tc>
          <w:tcPr>
            <w:tcW w:type="dxa" w:w="1984"/>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5"/>
                <w:rtl w:val="1"/>
              </w:rPr>
              <w:t>مجال الدعم</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أسامة جعفر إبراهيم فقيه</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٢٢/٠١/٢٠٢٦</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٥٠٬٠٠٠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زكاة</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مريم حبيب محمود أحمد</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١٣/٠٢/٢٠٢٦</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٢٠٬٠٠٠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زكاة</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وقف الشيخ نغيمش الأحمدي (رحمه الله)</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١٦/٠٢/٢٠٢٦</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٥٠٬٠٠٠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٣٥٬٠٠٠ علاج + ١٥٬٠٠٠ عام</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أسامة عدنان حبيب محمود أحمد</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١٦/٠٢/٢٠٢٦</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١٠٬٠٠٠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عام</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شركة طابة المطورة للتطوير العمراني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٢٣/٠٢/٢٠٢٦</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٢٠٬٠٠٠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عام</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وقف الشيخ عبدالقادر شيبة الحمد</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٢٧/٠٢/٢٠٢٦</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٥٠٬٠٠٠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عام</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شركة حسن محمد حجري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٢٧/٠٢/٢٠٢٦</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٥٬٠٠٠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عام</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سمر فتح الرحمن علي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٠١/٠٣/٢٠٢٦</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٢٬٠٠٠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عام</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سعد بن محمد حسين</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٠٣/٠٣/٢٠٢٦</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٢٥٠٬٠٠٠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عام</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مربا بنت محمد محروس</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٠٤/٠٣/٢٠٢٦</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٢٠٠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عام</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مؤسسة سعيد محمد مكي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٠٨/٠٣/٢٠٢٦</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٣٬٠٠٠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عام</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ضيف</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٠٩/٠٣/٢٠٢٦</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٥٬٠٠٠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عام</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سلطان محمد الفقيهي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١٠/٠٣/٢٠٢٦</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٣٠٬٠٠٠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عام</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وقف عبدالرحيم عبدالرزاق</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١٢/٠٣/٢٠٢٦</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١٠٬٠٠٠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عام</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مؤسسة سهيلة شيبة الحمد الخيري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٠٩/٠٤/٢٠٢٦</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٢٠٬٠٠٠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علاج</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وقف عبدالعزيز عبدالله أبو زيد</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٢٨/٠٦/٢٠٢٦</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٢٠٬٠٠٠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علاج</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المتجر الإلكتروني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١٠٬٤٦٩</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علاج</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منصة تبرع</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٢٣/٠٢/٢٠٢٦</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١٬٢٠٢٫٨٨</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علاج</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أخرى - متفرقة</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٣٩٥٫٣٠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عام</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أخرى - حوالات صغيرة</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٦٬٩٠٠٫٣٤</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عام</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العضوية</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١٨٬٠٠٠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عام</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5"/>
                <w:rtl w:val="1"/>
              </w:rPr>
              <w:t>الإجمالي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٥٨٢٬١٦٧٫٥٢</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5"/>
                <w:rtl w:val="1"/>
              </w:rPr>
              <w:t>زكاة ٧٠٬٠٠٠ | علاج ٨٥٬٦٧١٫٨٨ | عام ٤٢٦٬٤٩٥٫٦٤</w:t>
            </w:r>
          </w:p>
        </w:tc>
      </w:tr>
    </w:tbl>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الملحق (٢) - الذمم المدينة: اشتراكات العضوية</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١١</w:t>
            </w:r>
          </w:p>
        </w:tc>
      </w:tr>
    </w:tbl>
    <w:p>
      <w:pPr>
        <w:spacing w:after="120" w:line="293" w:lineRule="auto"/>
        <w:jc w:val="right"/>
        <w:bidi w:val="1"/>
      </w:pPr>
      <w:r>
        <w:rPr>
          <w:rFonts w:ascii="Noto Sans Arabic" w:hAnsi="Noto Sans Arabic" w:eastAsia="Noto Sans Arabic" w:cs="Noto Sans Arabic"/>
          <w:b w:val="0"/>
          <w:color w:val="243044"/>
          <w:sz w:val="19"/>
          <w:rtl w:val="1"/>
        </w:rPr>
        <w:t>بلغت الذمم المدينة ١٢٬٠٠٠ ريال، وتمثل اشتراكات عضوية غير مسددة بقيمة ١٬٠٠٠ ريال لكل عضو بحسب كشف المصدر.</w:t>
      </w:r>
    </w:p>
    <w:tbl>
      <w:tblPr>
        <w:tblW w:type="auto" w:w="0"/>
        <w:jc w:val="center"/>
        <w:tblLayout w:type="fixed"/>
        <w:tblLook w:firstColumn="1" w:firstRow="1" w:lastColumn="0" w:lastRow="0" w:noHBand="0" w:noVBand="1" w:val="04A0"/>
        <w:bidiVisual w:val="1"/>
      </w:tblPr>
      <w:tblGrid>
        <w:gridCol w:w="2649"/>
        <w:gridCol w:w="2649"/>
        <w:gridCol w:w="2649"/>
        <w:gridCol w:w="2649"/>
      </w:tblGrid>
      <w:tr>
        <w:trPr>
          <w:tblHeader w:val="true"/>
          <w:cantSplit/>
        </w:trPr>
        <w:tc>
          <w:tcPr>
            <w:tcW w:type="dxa" w:w="3515"/>
            <w:tcMar>
              <w:top w:w="55" w:type="dxa"/>
              <w:start w:w="55" w:type="dxa"/>
              <w:bottom w:w="55" w:type="dxa"/>
              <w:end w:w="55" w:type="dxa"/>
            </w:tcMar>
            <w:shd w:fill="941E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6"/>
                <w:rtl w:val="1"/>
              </w:rPr>
              <w:t>أعضاء اشتراك ٢٠٢٦م غير مسدد</w:t>
            </w:r>
          </w:p>
        </w:tc>
        <w:tc>
          <w:tcPr>
            <w:tcW w:type="dxa" w:w="1191"/>
            <w:tcMar>
              <w:top w:w="55" w:type="dxa"/>
              <w:start w:w="55" w:type="dxa"/>
              <w:bottom w:w="55" w:type="dxa"/>
              <w:end w:w="55" w:type="dxa"/>
            </w:tcMar>
            <w:shd w:fill="941E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6"/>
                <w:rtl w:val="1"/>
              </w:rPr>
              <w:t>القيمة</w:t>
            </w:r>
          </w:p>
        </w:tc>
        <w:tc>
          <w:tcPr>
            <w:tcW w:type="dxa" w:w="3515"/>
            <w:tcMar>
              <w:top w:w="55" w:type="dxa"/>
              <w:start w:w="55" w:type="dxa"/>
              <w:bottom w:w="55" w:type="dxa"/>
              <w:end w:w="55" w:type="dxa"/>
            </w:tcMar>
            <w:shd w:fill="941E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6"/>
                <w:rtl w:val="1"/>
              </w:rPr>
              <w:t>أعضاء اشتراك ٢٠٢٥م غير مسدد</w:t>
            </w:r>
          </w:p>
        </w:tc>
        <w:tc>
          <w:tcPr>
            <w:tcW w:type="dxa" w:w="1191"/>
            <w:tcMar>
              <w:top w:w="55" w:type="dxa"/>
              <w:start w:w="55" w:type="dxa"/>
              <w:bottom w:w="55" w:type="dxa"/>
              <w:end w:w="55" w:type="dxa"/>
            </w:tcMar>
            <w:shd w:fill="941E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6"/>
                <w:rtl w:val="1"/>
              </w:rPr>
              <w:t>القيمة</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6"/>
                <w:rtl w:val="1"/>
              </w:rPr>
              <w:t>عبدالرحمن بن نبيل عبد المنعم حمودة</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١٬٠٠٠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أحمد بن صالح مرزوق المزيني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١٬٠٠٠</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6"/>
                <w:rtl w:val="1"/>
              </w:rPr>
              <w:t>محمد بن مسلم حمود الجهني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١٬٠٠٠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خالد بن محمد محمد غليلة</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١٬٠٠٠</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6"/>
                <w:rtl w:val="1"/>
              </w:rPr>
              <w:t>عبدالغني بن مروان عبدالغني أحمد</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١٬٠٠٠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رهيد بنت وائل طاهر راجح</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١٬٠٠٠</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6"/>
                <w:rtl w:val="1"/>
              </w:rPr>
              <w:t>منذر بن سعيد فرغلي غنيم</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١٬٠٠٠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عمار بن توفيق عوض الحربي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١٬٠٠٠</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6"/>
                <w:rtl w:val="1"/>
              </w:rPr>
              <w:t>محمد بن مروان عبدالغني أحمد</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١٬٠٠٠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خالد بن عواض عمران العوفي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١٬٠٠٠</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6"/>
                <w:rtl w:val="1"/>
              </w:rPr>
              <w:t>ريان بن محمد ياسين القاداني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١٬٠٠٠</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عبدالمحسن بن معيض فريح الحربي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١٬٠٠٠</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6"/>
                <w:rtl w:val="1"/>
              </w:rPr>
              <w:t>إجمالي ٢٠٢٦م</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٦٬٠٠٠</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إجمالي ٢٠٢٥م</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6"/>
                <w:rtl w:val="1"/>
              </w:rPr>
              <w:t>٦٬٠٠٠</w:t>
            </w:r>
          </w:p>
        </w:tc>
      </w:tr>
    </w:tbl>
    <w:p>
      <w:r>
        <w:br w:type="page"/>
      </w:r>
    </w:p>
    <w:tbl>
      <w:tblPr>
        <w:tblW w:type="auto" w:w="0"/>
        <w:jc w:val="center"/>
        <w:tblLook w:firstColumn="1" w:firstRow="1" w:lastColumn="0" w:lastRow="0" w:noHBand="0" w:noVBand="1" w:val="04A0"/>
        <w:bidiVisual w:val="1"/>
      </w:tblPr>
      <w:tblGrid>
        <w:gridCol w:w="5298"/>
        <w:gridCol w:w="5298"/>
      </w:tblGrid>
      <w:tr>
        <w:trPr>
          <w:cantSplit/>
        </w:trPr>
        <w:tc>
          <w:tcPr>
            <w:tcW w:type="dxa" w:w="844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الملحق (٣) - تفاصيل الأصول الثابتة</w:t>
            </w:r>
          </w:p>
        </w:tc>
        <w:tc>
          <w:tcPr>
            <w:tcW w:type="dxa" w:w="1587"/>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F3E8EC"/>
            <w:vAlign w:val="center"/>
          </w:tcPr>
          <w:p>
            <w:pPr>
              <w:spacing w:after="0"/>
              <w:jc w:val="center"/>
              <w:bidi w:val="1"/>
            </w:pPr>
            <w:r/>
            <w:r>
              <w:rPr>
                <w:rFonts w:ascii="Noto Kufi Arabic" w:hAnsi="Noto Kufi Arabic" w:eastAsia="Noto Kufi Arabic" w:cs="Noto Kufi Arabic"/>
                <w:b/>
                <w:color w:val="941E3D"/>
                <w:sz w:val="40"/>
                <w:rtl w:val="1"/>
              </w:rPr>
              <w:t>١١</w:t>
            </w:r>
          </w:p>
        </w:tc>
      </w:tr>
    </w:tbl>
    <w:p>
      <w:pPr>
        <w:spacing w:after="120" w:before="120"/>
        <w:jc w:val="right"/>
        <w:bidi w:val="1"/>
      </w:pPr>
      <w:r>
        <w:rPr>
          <w:rFonts w:ascii="Noto Kufi Arabic" w:hAnsi="Noto Kufi Arabic" w:eastAsia="Noto Kufi Arabic" w:cs="Noto Kufi Arabic"/>
          <w:b/>
          <w:color w:val="941E3D"/>
          <w:sz w:val="24"/>
          <w:rtl w:val="1"/>
        </w:rPr>
        <w:t>أصول النصف الأول ٢٠٢٦م</w:t>
      </w:r>
    </w:p>
    <w:tbl>
      <w:tblPr>
        <w:tblW w:type="auto" w:w="0"/>
        <w:jc w:val="center"/>
        <w:tblLayout w:type="fixed"/>
        <w:tblLook w:firstColumn="1" w:firstRow="1" w:lastColumn="0" w:lastRow="0" w:noHBand="0" w:noVBand="1" w:val="04A0"/>
        <w:bidiVisual w:val="1"/>
      </w:tblPr>
      <w:tblGrid>
        <w:gridCol w:w="1766"/>
        <w:gridCol w:w="1766"/>
        <w:gridCol w:w="1766"/>
        <w:gridCol w:w="1766"/>
        <w:gridCol w:w="1766"/>
        <w:gridCol w:w="1766"/>
      </w:tblGrid>
      <w:tr>
        <w:trPr>
          <w:tblHeader w:val="true"/>
          <w:cantSplit/>
        </w:trPr>
        <w:tc>
          <w:tcPr>
            <w:tcW w:type="dxa" w:w="2721"/>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4"/>
                <w:rtl w:val="1"/>
              </w:rPr>
              <w:t>الأصل</w:t>
            </w:r>
          </w:p>
        </w:tc>
        <w:tc>
          <w:tcPr>
            <w:tcW w:type="dxa" w:w="794"/>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4"/>
                <w:rtl w:val="1"/>
              </w:rPr>
              <w:t>العدد</w:t>
            </w:r>
          </w:p>
        </w:tc>
        <w:tc>
          <w:tcPr>
            <w:tcW w:type="dxa" w:w="1474"/>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4"/>
                <w:rtl w:val="1"/>
              </w:rPr>
              <w:t>التاريخ</w:t>
            </w:r>
          </w:p>
        </w:tc>
        <w:tc>
          <w:tcPr>
            <w:tcW w:type="dxa" w:w="1417"/>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4"/>
                <w:rtl w:val="1"/>
              </w:rPr>
              <w:t>الفاتورة</w:t>
            </w:r>
          </w:p>
        </w:tc>
        <w:tc>
          <w:tcPr>
            <w:tcW w:type="dxa" w:w="1304"/>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4"/>
                <w:rtl w:val="1"/>
              </w:rPr>
              <w:t>القيمة</w:t>
            </w:r>
          </w:p>
        </w:tc>
        <w:tc>
          <w:tcPr>
            <w:tcW w:type="dxa" w:w="2098"/>
            <w:tcMar>
              <w:top w:w="55" w:type="dxa"/>
              <w:start w:w="55" w:type="dxa"/>
              <w:bottom w:w="55" w:type="dxa"/>
              <w:end w:w="55" w:type="dxa"/>
            </w:tcMar>
            <w:shd w:fill="1425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4"/>
                <w:rtl w:val="1"/>
              </w:rPr>
              <w:t>المورد</w:t>
            </w:r>
          </w:p>
        </w:tc>
      </w:tr>
      <w:tr>
        <w:trPr>
          <w:cantSplit/>
        </w:trPr>
        <w:tc>
          <w:tcPr>
            <w:tcW w:type="dxa" w:w="1766"/>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طابعة ليزر ملون HP</w:t>
            </w:r>
          </w:p>
        </w:tc>
        <w:tc>
          <w:tcPr>
            <w:tcW w:type="dxa" w:w="1766"/>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w:t>
            </w:r>
          </w:p>
        </w:tc>
        <w:tc>
          <w:tcPr>
            <w:tcW w:type="dxa" w:w="1766"/>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١١/٠٥/٢٠٢٦</w:t>
            </w:r>
          </w:p>
        </w:tc>
        <w:tc>
          <w:tcPr>
            <w:tcW w:type="dxa" w:w="1766"/>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١٧٧١</w:t>
            </w:r>
          </w:p>
        </w:tc>
        <w:tc>
          <w:tcPr>
            <w:tcW w:type="dxa" w:w="1766"/>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١٬٣٥٠</w:t>
            </w:r>
          </w:p>
        </w:tc>
        <w:tc>
          <w:tcPr>
            <w:tcW w:type="dxa" w:w="1766"/>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شركة سمرة الرقمية</w:t>
            </w:r>
          </w:p>
        </w:tc>
      </w:tr>
      <w:tr>
        <w:trPr>
          <w:cantSplit/>
        </w:trPr>
        <w:tc>
          <w:tcPr>
            <w:tcW w:type="dxa" w:w="1766"/>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كرسي انتظار كروم</w:t>
            </w:r>
          </w:p>
        </w:tc>
        <w:tc>
          <w:tcPr>
            <w:tcW w:type="dxa" w:w="1766"/>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٣</w:t>
            </w:r>
          </w:p>
        </w:tc>
        <w:tc>
          <w:tcPr>
            <w:tcW w:type="dxa" w:w="1766"/>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٢٧/٠٦/٢٠٢٦</w:t>
            </w:r>
          </w:p>
        </w:tc>
        <w:tc>
          <w:tcPr>
            <w:tcW w:type="dxa" w:w="1766"/>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١٢-٠١-١-٢٦٠٧٥٢</w:t>
            </w:r>
          </w:p>
        </w:tc>
        <w:tc>
          <w:tcPr>
            <w:tcW w:type="dxa" w:w="1766"/>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١٬٠٥٠</w:t>
            </w:r>
          </w:p>
        </w:tc>
        <w:tc>
          <w:tcPr>
            <w:tcW w:type="dxa" w:w="1766"/>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مؤسسة الشرق هوم</w:t>
            </w:r>
          </w:p>
        </w:tc>
      </w:tr>
      <w:tr>
        <w:trPr>
          <w:cantSplit/>
        </w:trPr>
        <w:tc>
          <w:tcPr>
            <w:tcW w:type="dxa" w:w="1766"/>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مكتب سكرتارية خشب بني</w:t>
            </w:r>
          </w:p>
        </w:tc>
        <w:tc>
          <w:tcPr>
            <w:tcW w:type="dxa" w:w="1766"/>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٦</w:t>
            </w:r>
          </w:p>
        </w:tc>
        <w:tc>
          <w:tcPr>
            <w:tcW w:type="dxa" w:w="1766"/>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٢٧/٠٦/٢٠٢٦</w:t>
            </w:r>
          </w:p>
        </w:tc>
        <w:tc>
          <w:tcPr>
            <w:tcW w:type="dxa" w:w="1766"/>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٥٠٨٦</w:t>
            </w:r>
          </w:p>
        </w:tc>
        <w:tc>
          <w:tcPr>
            <w:tcW w:type="dxa" w:w="1766"/>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٤٬٦٨٠</w:t>
            </w:r>
          </w:p>
        </w:tc>
        <w:tc>
          <w:tcPr>
            <w:tcW w:type="dxa" w:w="1766"/>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مؤسسة الصفوة الجديدة للأثاث</w:t>
            </w:r>
          </w:p>
        </w:tc>
      </w:tr>
      <w:tr>
        <w:trPr>
          <w:cantSplit/>
        </w:trPr>
        <w:tc>
          <w:tcPr>
            <w:tcW w:type="dxa" w:w="1766"/>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كرسي دوار جلد رصاصي</w:t>
            </w:r>
          </w:p>
        </w:tc>
        <w:tc>
          <w:tcPr>
            <w:tcW w:type="dxa" w:w="1766"/>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٦</w:t>
            </w:r>
          </w:p>
        </w:tc>
        <w:tc>
          <w:tcPr>
            <w:tcW w:type="dxa" w:w="1766"/>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٢٧/٠٦/٢٠٢٦</w:t>
            </w:r>
          </w:p>
        </w:tc>
        <w:tc>
          <w:tcPr>
            <w:tcW w:type="dxa" w:w="1766"/>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٥٠٨٦</w:t>
            </w:r>
          </w:p>
        </w:tc>
        <w:tc>
          <w:tcPr>
            <w:tcW w:type="dxa" w:w="1766"/>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٢٬٧٠٠</w:t>
            </w:r>
          </w:p>
        </w:tc>
        <w:tc>
          <w:tcPr>
            <w:tcW w:type="dxa" w:w="1766"/>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مؤسسة الصفوة الجديدة للأثاث</w:t>
            </w:r>
          </w:p>
        </w:tc>
      </w:tr>
      <w:tr>
        <w:trPr>
          <w:cantSplit/>
        </w:trPr>
        <w:tc>
          <w:tcPr>
            <w:tcW w:type="dxa" w:w="1766"/>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مكيفات أوجين ٢٤ وحدة</w:t>
            </w:r>
          </w:p>
        </w:tc>
        <w:tc>
          <w:tcPr>
            <w:tcW w:type="dxa" w:w="1766"/>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٣</w:t>
            </w:r>
          </w:p>
        </w:tc>
        <w:tc>
          <w:tcPr>
            <w:tcW w:type="dxa" w:w="1766"/>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٢٧/٠٦/٢٠٢٦</w:t>
            </w:r>
          </w:p>
        </w:tc>
        <w:tc>
          <w:tcPr>
            <w:tcW w:type="dxa" w:w="1766"/>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٧١١٢</w:t>
            </w:r>
          </w:p>
        </w:tc>
        <w:tc>
          <w:tcPr>
            <w:tcW w:type="dxa" w:w="1766"/>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٤٬٥٩٠٫٨٠</w:t>
            </w:r>
          </w:p>
        </w:tc>
        <w:tc>
          <w:tcPr>
            <w:tcW w:type="dxa" w:w="1766"/>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محل بن بلال للأجهزة الكهربائية</w:t>
            </w:r>
          </w:p>
        </w:tc>
      </w:tr>
      <w:tr>
        <w:trPr>
          <w:cantSplit/>
        </w:trPr>
        <w:tc>
          <w:tcPr>
            <w:tcW w:type="dxa" w:w="1766"/>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خزينة</w:t>
            </w:r>
          </w:p>
        </w:tc>
        <w:tc>
          <w:tcPr>
            <w:tcW w:type="dxa" w:w="1766"/>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w:t>
            </w:r>
          </w:p>
        </w:tc>
        <w:tc>
          <w:tcPr>
            <w:tcW w:type="dxa" w:w="1766"/>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٢٧/٠٦/٢٠٢٦</w:t>
            </w:r>
          </w:p>
        </w:tc>
        <w:tc>
          <w:tcPr>
            <w:tcW w:type="dxa" w:w="1766"/>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٥٠٨٦</w:t>
            </w:r>
          </w:p>
        </w:tc>
        <w:tc>
          <w:tcPr>
            <w:tcW w:type="dxa" w:w="1766"/>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١٬٢٥٠</w:t>
            </w:r>
          </w:p>
        </w:tc>
        <w:tc>
          <w:tcPr>
            <w:tcW w:type="dxa" w:w="1766"/>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مؤسسة الصفوة الجديدة للأثاث</w:t>
            </w:r>
          </w:p>
        </w:tc>
      </w:tr>
      <w:tr>
        <w:trPr>
          <w:cantSplit/>
        </w:trPr>
        <w:tc>
          <w:tcPr>
            <w:tcW w:type="dxa" w:w="1766"/>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الإجمالي</w:t>
            </w:r>
          </w:p>
        </w:tc>
        <w:tc>
          <w:tcPr>
            <w:tcW w:type="dxa" w:w="1766"/>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r>
          </w:p>
        </w:tc>
        <w:tc>
          <w:tcPr>
            <w:tcW w:type="dxa" w:w="1766"/>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r>
          </w:p>
        </w:tc>
        <w:tc>
          <w:tcPr>
            <w:tcW w:type="dxa" w:w="1766"/>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r>
          </w:p>
        </w:tc>
        <w:tc>
          <w:tcPr>
            <w:tcW w:type="dxa" w:w="1766"/>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١٥٬٦٢٠٫٨٠</w:t>
            </w:r>
          </w:p>
        </w:tc>
        <w:tc>
          <w:tcPr>
            <w:tcW w:type="dxa" w:w="1766"/>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r>
          </w:p>
        </w:tc>
      </w:tr>
    </w:tbl>
    <w:p>
      <w:pPr>
        <w:spacing w:after="120" w:before="120"/>
        <w:jc w:val="right"/>
        <w:bidi w:val="1"/>
      </w:pPr>
      <w:r>
        <w:rPr>
          <w:rFonts w:ascii="Noto Kufi Arabic" w:hAnsi="Noto Kufi Arabic" w:eastAsia="Noto Kufi Arabic" w:cs="Noto Kufi Arabic"/>
          <w:b/>
          <w:color w:val="941E3D"/>
          <w:sz w:val="24"/>
          <w:rtl w:val="1"/>
        </w:rPr>
        <w:t>أصول النصف الأول ٢٠٢٥م - كما وردت بالبيان</w:t>
      </w:r>
    </w:p>
    <w:tbl>
      <w:tblPr>
        <w:tblW w:type="auto" w:w="0"/>
        <w:jc w:val="center"/>
        <w:tblLayout w:type="fixed"/>
        <w:tblLook w:firstColumn="1" w:firstRow="1" w:lastColumn="0" w:lastRow="0" w:noHBand="0" w:noVBand="1" w:val="04A0"/>
        <w:bidiVisual w:val="1"/>
      </w:tblPr>
      <w:tblGrid>
        <w:gridCol w:w="2649"/>
        <w:gridCol w:w="2649"/>
        <w:gridCol w:w="2649"/>
        <w:gridCol w:w="2649"/>
      </w:tblGrid>
      <w:tr>
        <w:trPr>
          <w:tblHeader w:val="true"/>
          <w:cantSplit/>
        </w:trPr>
        <w:tc>
          <w:tcPr>
            <w:tcW w:type="dxa" w:w="5272"/>
            <w:tcMar>
              <w:top w:w="55" w:type="dxa"/>
              <w:start w:w="55" w:type="dxa"/>
              <w:bottom w:w="55" w:type="dxa"/>
              <w:end w:w="55" w:type="dxa"/>
            </w:tcMar>
            <w:shd w:fill="941E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4"/>
                <w:rtl w:val="1"/>
              </w:rPr>
              <w:t>الأصل</w:t>
            </w:r>
          </w:p>
        </w:tc>
        <w:tc>
          <w:tcPr>
            <w:tcW w:type="dxa" w:w="1134"/>
            <w:tcMar>
              <w:top w:w="55" w:type="dxa"/>
              <w:start w:w="55" w:type="dxa"/>
              <w:bottom w:w="55" w:type="dxa"/>
              <w:end w:w="55" w:type="dxa"/>
            </w:tcMar>
            <w:shd w:fill="941E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4"/>
                <w:rtl w:val="1"/>
              </w:rPr>
              <w:t>العدد</w:t>
            </w:r>
          </w:p>
        </w:tc>
        <w:tc>
          <w:tcPr>
            <w:tcW w:type="dxa" w:w="1701"/>
            <w:tcMar>
              <w:top w:w="55" w:type="dxa"/>
              <w:start w:w="55" w:type="dxa"/>
              <w:bottom w:w="55" w:type="dxa"/>
              <w:end w:w="55" w:type="dxa"/>
            </w:tcMar>
            <w:shd w:fill="941E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4"/>
                <w:rtl w:val="1"/>
              </w:rPr>
              <w:t>التاريخ</w:t>
            </w:r>
          </w:p>
        </w:tc>
        <w:tc>
          <w:tcPr>
            <w:tcW w:type="dxa" w:w="1871"/>
            <w:tcMar>
              <w:top w:w="55" w:type="dxa"/>
              <w:start w:w="55" w:type="dxa"/>
              <w:bottom w:w="55" w:type="dxa"/>
              <w:end w:w="55" w:type="dxa"/>
            </w:tcMar>
            <w:shd w:fill="941E3D"/>
            <w:vAlign w:val="center"/>
            <w:tcBorders>
              <w:bottom w:val="single" w:sz="4" w:color="DDD5DA"/>
            </w:tcBorders>
          </w:tcPr>
          <w:p>
            <w:pPr>
              <w:spacing w:after="0"/>
              <w:jc w:val="center"/>
              <w:bidi w:val="1"/>
            </w:pPr>
            <w:r/>
            <w:r>
              <w:rPr>
                <w:rFonts w:ascii="Noto Kufi Arabic" w:hAnsi="Noto Kufi Arabic" w:eastAsia="Noto Kufi Arabic" w:cs="Noto Kufi Arabic"/>
                <w:b/>
                <w:color w:val="FFFFFF"/>
                <w:sz w:val="14"/>
                <w:rtl w:val="1"/>
              </w:rPr>
              <w:t>القيمة</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حاسب آلي مكتبي HP</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٢</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١٨/٠٦/٢٠٢٥</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٤٬٧٩٨</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حاسب آلي مكتبي HP</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١٨/٠٦/٢٠٢٥</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٣٬٣٩٩</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لابتوب Acer</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١٨/٠٦/٢٠٢٥</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٩٩٩</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طابعة HP</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١٨/٠٦/٢٠٢٥</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١٬٠٩٩</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طاولة اجتماعات خشبي صيني ٢٢٠ سم</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٠٥/٠٦/٢٠٢٥</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١٬٥٢١٫٧٣</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كرسي دوار جلد ظهر طويل صيني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٠٥/٠٦/٢٠٢٥</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٤٣٤٫٧٨</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كرسي ثابت جلد صيني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٠٥/٠٦/٢٠٢٥</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٨٦٩٫٥٨</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كرسي دوار ضيافة ظهر قصير صيني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٧</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٠٥/٠٦/٢٠٢٥</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٩١٣٫٠٨</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مكتب ٢٢٠ سم</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٠٥/٠٦/٢٠٢٥</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ضمن بيان الأثاث</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دولاب</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٠٥/٠٦/٢٠٢٥</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ضمن بيان الأثاث</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طاولة ضيافة خشبي صيني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٠٥/٠٦/٢٠٢٥</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ضمن بيان الأثاث</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كتب مفرد وثنائي وثلاثي جلد لون بني</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٤</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٠٥/٠٦/٢٠٢٥</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٣٬٩١٣٫٠٢</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فاصل (بارتشن) ثلاثي خشبي صيني</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٠٥/٠٦/٢٠٢٥</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٢٬٦٠٨٫٦٩</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ضريبة أثاث المكتب</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٠٥/٠٦/٢٠٢٥</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٢٬٢٩٥٫٦٥</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مكيفات أوجين ٢٤ وحدة</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٣</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٠٢/٠٦/٢٠٢٥</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٥٬٥٠٤٫٢٥</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ثلاجة ٩٠ لتر صغيرة</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٠٢/٠٦/٢٠٢٥</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٢٦١٫٤٠</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ضريبة الأجهزة الكهربائية</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٨٦٤٫٨٥</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جوال</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١</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٢٦/٠٦/٢٠٢٥</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٢١٧٫٣٩</w:t>
            </w:r>
          </w:p>
        </w:tc>
      </w:tr>
      <w:tr>
        <w:trPr>
          <w:cantSplit/>
        </w:trPr>
        <w:tc>
          <w:tcPr>
            <w:tcW w:type="dxa" w:w="2649"/>
            <w:tcMar>
              <w:top w:w="45" w:type="dxa"/>
              <w:start w:w="50" w:type="dxa"/>
              <w:bottom w:w="45" w:type="dxa"/>
              <w:end w:w="50" w:type="dxa"/>
            </w:tcMar>
            <w:shd w:fill="FAFAFB"/>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ضريبة أجهزة الاتصال</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w:t>
            </w:r>
          </w:p>
        </w:tc>
        <w:tc>
          <w:tcPr>
            <w:tcW w:type="dxa" w:w="2649"/>
            <w:tcMar>
              <w:top w:w="45" w:type="dxa"/>
              <w:start w:w="50" w:type="dxa"/>
              <w:bottom w:w="45" w:type="dxa"/>
              <w:end w:w="50" w:type="dxa"/>
            </w:tcMar>
            <w:shd w:fill="FAFAFB"/>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٣٢٫٦١</w:t>
            </w:r>
          </w:p>
        </w:tc>
      </w:tr>
      <w:tr>
        <w:trPr>
          <w:cantSplit/>
        </w:trPr>
        <w:tc>
          <w:tcPr>
            <w:tcW w:type="dxa" w:w="2649"/>
            <w:tcMar>
              <w:top w:w="45" w:type="dxa"/>
              <w:start w:w="50" w:type="dxa"/>
              <w:bottom w:w="45" w:type="dxa"/>
              <w:end w:w="50" w:type="dxa"/>
            </w:tcMar>
            <w:shd w:fill="FFFFFF"/>
            <w:vAlign w:val="center"/>
            <w:tcBorders>
              <w:bottom w:val="single" w:sz="4" w:color="DDD5DA"/>
            </w:tcBorders>
          </w:tcPr>
          <w:p>
            <w:pPr>
              <w:spacing w:after="0"/>
              <w:jc w:val="right"/>
              <w:bidi w:val="1"/>
            </w:pPr>
            <w:r/>
            <w:r>
              <w:rPr>
                <w:rFonts w:ascii="Noto Sans Arabic" w:hAnsi="Noto Sans Arabic" w:eastAsia="Noto Sans Arabic" w:cs="Noto Sans Arabic"/>
                <w:b w:val="0"/>
                <w:color w:val="243044"/>
                <w:sz w:val="14"/>
                <w:rtl w:val="1"/>
              </w:rPr>
              <w:t>إجمالي أصول ٢٠٢٥م</w:t>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r>
          </w:p>
        </w:tc>
        <w:tc>
          <w:tcPr>
            <w:tcW w:type="dxa" w:w="2649"/>
            <w:tcMar>
              <w:top w:w="45" w:type="dxa"/>
              <w:start w:w="50" w:type="dxa"/>
              <w:bottom w:w="45" w:type="dxa"/>
              <w:end w:w="50" w:type="dxa"/>
            </w:tcMar>
            <w:shd w:fill="FFFFFF"/>
            <w:vAlign w:val="center"/>
            <w:tcBorders>
              <w:bottom w:val="single" w:sz="4" w:color="DDD5DA"/>
            </w:tcBorders>
          </w:tcPr>
          <w:p>
            <w:pPr>
              <w:spacing w:after="0"/>
              <w:jc w:val="center"/>
              <w:bidi w:val="1"/>
            </w:pPr>
            <w:r/>
            <w:r>
              <w:rPr>
                <w:rFonts w:ascii="Noto Sans Arabic" w:hAnsi="Noto Sans Arabic" w:eastAsia="Noto Sans Arabic" w:cs="Noto Sans Arabic"/>
                <w:b w:val="0"/>
                <w:color w:val="243044"/>
                <w:sz w:val="14"/>
                <w:rtl w:val="1"/>
              </w:rPr>
              <w:t>٣٤٬٧٧٥٫٥٠</w:t>
            </w:r>
          </w:p>
        </w:tc>
      </w:tr>
    </w:tbl>
    <w:tbl>
      <w:tblPr>
        <w:tblW w:type="auto" w:w="0"/>
        <w:jc w:val="center"/>
        <w:tblLook w:firstColumn="1" w:firstRow="1" w:lastColumn="0" w:lastRow="0" w:noHBand="0" w:noVBand="1" w:val="04A0"/>
        <w:bidiVisual w:val="1"/>
      </w:tblPr>
      <w:tblGrid>
        <w:gridCol w:w="10596"/>
      </w:tblGrid>
      <w:tr>
        <w:trPr>
          <w:cantSplit/>
        </w:trPr>
        <w:tc>
          <w:tcPr>
            <w:tcW w:type="dxa" w:w="10035"/>
            <w:tcBorders>
              <w:top w:val="nil" w:sz="6" w:color="D9CDD3"/>
              <w:bottom w:val="nil" w:sz="6" w:color="D9CDD3"/>
              <w:start w:val="nil" w:sz="6" w:color="D9CDD3"/>
              <w:end w:val="nil" w:sz="6" w:color="D9CDD3"/>
              <w:insideH w:val="nil" w:sz="6" w:color="D9CDD3"/>
              <w:insideV w:val="nil" w:sz="6" w:color="D9CDD3"/>
            </w:tcBorders>
            <w:tcMar>
              <w:top w:w="160" w:type="dxa"/>
              <w:start w:w="160" w:type="dxa"/>
              <w:bottom w:w="160" w:type="dxa"/>
              <w:end w:w="160" w:type="dxa"/>
            </w:tcMar>
            <w:shd w:fill="941E3D"/>
            <w:vAlign w:val="center"/>
          </w:tcPr>
          <w:p>
            <w:pPr>
              <w:spacing w:after="0"/>
              <w:jc w:val="right"/>
              <w:bidi w:val="1"/>
            </w:pPr>
            <w:r/>
            <w:r>
              <w:rPr>
                <w:rFonts w:ascii="Noto Kufi Arabic" w:hAnsi="Noto Kufi Arabic" w:eastAsia="Noto Kufi Arabic" w:cs="Noto Kufi Arabic"/>
                <w:b/>
                <w:color w:val="FFFFFF"/>
                <w:sz w:val="36"/>
                <w:rtl w:val="1"/>
              </w:rPr>
              <w:t>الخاتمة</w:t>
            </w:r>
          </w:p>
        </w:tc>
      </w:tr>
    </w:tbl>
    <w:p>
      <w:pPr>
        <w:spacing w:after="120" w:line="293" w:lineRule="auto"/>
        <w:jc w:val="right"/>
        <w:bidi w:val="1"/>
      </w:pPr>
      <w:r>
        <w:rPr>
          <w:rFonts w:ascii="Noto Sans Arabic" w:hAnsi="Noto Sans Arabic" w:eastAsia="Noto Sans Arabic" w:cs="Noto Sans Arabic"/>
          <w:b w:val="0"/>
          <w:color w:val="243044"/>
          <w:sz w:val="22"/>
          <w:rtl w:val="1"/>
        </w:rPr>
        <w:t>يمثل النصف الأول من عام ٢٠٢٦م مرحلة تأسيس مؤسسي مهمة لجمعية طبيبي الأهلية، شهدت نموًا في الإيرادات والدعم الطبي، وتوسعًا في الشراكات، وتحسنًا في الأنظمة والحوكمة والموارد البشرية.</w:t>
      </w:r>
    </w:p>
    <w:p>
      <w:pPr>
        <w:spacing w:after="120" w:line="293" w:lineRule="auto"/>
        <w:jc w:val="right"/>
        <w:bidi w:val="1"/>
      </w:pPr>
      <w:r>
        <w:rPr>
          <w:rFonts w:ascii="Noto Sans Arabic" w:hAnsi="Noto Sans Arabic" w:eastAsia="Noto Sans Arabic" w:cs="Noto Sans Arabic"/>
          <w:b w:val="0"/>
          <w:color w:val="243044"/>
          <w:sz w:val="22"/>
          <w:rtl w:val="1"/>
        </w:rPr>
        <w:t>والمرحلة القادمة تتطلب تحويل هذا التقدم إلى استدامة قابلة للقياس، عبر استكمال الحوكمة، وتطوير تنمية الموارد، وتحسين جاهزية البرامج، وربط مؤشرات الأداء بالأثر الصحي والاجتماعي المحقق للمستفيدين.</w:t>
      </w:r>
    </w:p>
    <w:tbl>
      <w:tblPr>
        <w:tblW w:type="auto" w:w="0"/>
        <w:jc w:val="center"/>
        <w:tblLook w:firstColumn="1" w:firstRow="1" w:lastColumn="0" w:lastRow="0" w:noHBand="0" w:noVBand="1" w:val="04A0"/>
        <w:bidiVisual w:val="1"/>
      </w:tblPr>
      <w:tblGrid>
        <w:gridCol w:w="5298"/>
        <w:gridCol w:w="5298"/>
      </w:tblGrid>
      <w:tr>
        <w:trPr>
          <w:cantSplit/>
        </w:trPr>
        <w:tc>
          <w:tcPr>
            <w:tcW w:type="dxa" w:w="9581"/>
            <w:tcBorders>
              <w:top w:val="nil" w:sz="6" w:color="D9CDD3"/>
              <w:bottom w:val="nil" w:sz="6" w:color="D9CDD3"/>
              <w:start w:val="nil" w:sz="6" w:color="D9CDD3"/>
              <w:end w:val="nil" w:sz="6" w:color="D9CDD3"/>
              <w:insideH w:val="nil" w:sz="6" w:color="D9CDD3"/>
              <w:insideV w:val="nil" w:sz="6" w:color="D9CDD3"/>
            </w:tcBorders>
            <w:tcMar>
              <w:top w:w="120" w:type="dxa"/>
              <w:start w:w="160" w:type="dxa"/>
              <w:bottom w:w="120" w:type="dxa"/>
              <w:end w:w="160" w:type="dxa"/>
            </w:tcMar>
            <w:shd w:fill="F4EDF0"/>
          </w:tcPr>
          <w:p>
            <w:pPr>
              <w:spacing w:after="0"/>
              <w:jc w:val="right"/>
              <w:bidi w:val="1"/>
            </w:pPr>
            <w:r/>
            <w:r>
              <w:rPr>
                <w:rFonts w:ascii="Noto Kufi Arabic" w:hAnsi="Noto Kufi Arabic" w:eastAsia="Noto Kufi Arabic" w:cs="Noto Kufi Arabic"/>
                <w:b/>
                <w:color w:val="941E3D"/>
                <w:sz w:val="19"/>
                <w:rtl w:val="1"/>
              </w:rPr>
              <w:t>الأولوية الأولى للنصف الثاني</w:t>
            </w:r>
          </w:p>
          <w:p>
            <w:pPr>
              <w:spacing w:after="0"/>
              <w:jc w:val="right"/>
              <w:bidi w:val="1"/>
            </w:pPr>
            <w:r>
              <w:rPr>
                <w:rFonts w:ascii="Noto Sans Arabic" w:hAnsi="Noto Sans Arabic" w:eastAsia="Noto Sans Arabic" w:cs="Noto Sans Arabic"/>
                <w:b w:val="0"/>
                <w:color w:val="243044"/>
                <w:sz w:val="19"/>
                <w:rtl w:val="1"/>
              </w:rPr>
              <w:t>استكمال الحوكمة والملفات المالية والمنصات، لأنها تمثل عنق الزجاجة الذي يؤثر مباشرة في فرص التمويل والقدرة على توسيع البرامج الطبية.</w:t>
            </w:r>
          </w:p>
        </w:tc>
        <w:tc>
          <w:tcPr>
            <w:tcW w:type="dxa" w:w="255"/>
            <w:tcBorders>
              <w:top w:val="nil" w:sz="6" w:color="D9CDD3"/>
              <w:bottom w:val="nil" w:sz="6" w:color="D9CDD3"/>
              <w:start w:val="nil" w:sz="6" w:color="D9CDD3"/>
              <w:end w:val="nil" w:sz="6" w:color="D9CDD3"/>
              <w:insideH w:val="nil" w:sz="6" w:color="D9CDD3"/>
              <w:insideV w:val="nil" w:sz="6" w:color="D9CDD3"/>
            </w:tcBorders>
            <w:tcMar>
              <w:top w:w="90" w:type="dxa"/>
              <w:start w:w="90" w:type="dxa"/>
              <w:bottom w:w="90" w:type="dxa"/>
              <w:end w:w="90" w:type="dxa"/>
            </w:tcMar>
            <w:shd w:fill="941E3D"/>
          </w:tcPr>
          <w:p>
            <w:r/>
          </w:p>
        </w:tc>
      </w:tr>
    </w:tbl>
    <w:p>
      <w:pPr>
        <w:spacing w:after="40"/>
      </w:pPr>
    </w:p>
    <w:p>
      <w:pPr>
        <w:spacing w:before="500" w:after="0"/>
        <w:jc w:val="center"/>
        <w:bidi w:val="1"/>
      </w:pPr>
      <w:r>
        <w:rPr>
          <w:rFonts w:ascii="Noto Kufi Arabic" w:hAnsi="Noto Kufi Arabic" w:eastAsia="Noto Kufi Arabic" w:cs="Noto Kufi Arabic"/>
          <w:b/>
          <w:color w:val="941E3D"/>
          <w:sz w:val="48"/>
          <w:rtl w:val="1"/>
        </w:rPr>
        <w:t>شكرًا لكم</w:t>
      </w:r>
    </w:p>
    <w:p>
      <w:pPr>
        <w:spacing w:after="0"/>
        <w:jc w:val="center"/>
        <w:bidi w:val="1"/>
      </w:pPr>
      <w:r>
        <w:rPr>
          <w:rFonts w:ascii="Noto Kufi Arabic" w:hAnsi="Noto Kufi Arabic" w:eastAsia="Noto Kufi Arabic" w:cs="Noto Kufi Arabic"/>
          <w:b/>
          <w:color w:val="14253D"/>
          <w:sz w:val="22"/>
          <w:rtl w:val="1"/>
        </w:rPr>
        <w:t>جمعية طبيبي الأهلية بالمدينة المنورة</w:t>
      </w:r>
    </w:p>
    <w:p>
      <w:pPr>
        <w:spacing w:after="0"/>
        <w:jc w:val="center"/>
        <w:bidi w:val="1"/>
      </w:pPr>
      <w:r>
        <w:drawing>
          <wp:inline xmlns:a="http://schemas.openxmlformats.org/drawingml/2006/main" xmlns:pic="http://schemas.openxmlformats.org/drawingml/2006/picture">
            <wp:extent cx="1224000" cy="1182902"/>
            <wp:docPr id="18" name="Picture 18"/>
            <wp:cNvGraphicFramePr>
              <a:graphicFrameLocks noChangeAspect="1"/>
            </wp:cNvGraphicFramePr>
            <a:graphic>
              <a:graphicData uri="http://schemas.openxmlformats.org/drawingml/2006/picture">
                <pic:pic>
                  <pic:nvPicPr>
                    <pic:cNvPr id="0" name="logo_clean.png"/>
                    <pic:cNvPicPr/>
                  </pic:nvPicPr>
                  <pic:blipFill>
                    <a:blip r:embed="rId12"/>
                    <a:stretch>
                      <a:fillRect/>
                    </a:stretch>
                  </pic:blipFill>
                  <pic:spPr>
                    <a:xfrm>
                      <a:off x="0" y="0"/>
                      <a:ext cx="1224000" cy="1182902"/>
                    </a:xfrm>
                    <a:prstGeom prst="rect"/>
                  </pic:spPr>
                </pic:pic>
              </a:graphicData>
            </a:graphic>
          </wp:inline>
        </w:drawing>
      </w:r>
    </w:p>
    <w:sectPr w:rsidR="00FC693F" w:rsidRPr="0006063C" w:rsidSect="00034616">
      <w:headerReference w:type="default" r:id="rId13"/>
      <w:footerReference w:type="default" r:id="rId14"/>
      <w:pgSz w:w="12240" w:h="15840"/>
      <w:pgMar w:top="822" w:right="822" w:bottom="680" w:left="822" w:header="283"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bidiVisual w:val="1"/>
    </w:tblPr>
    <w:tblGrid>
      <w:gridCol w:w="3402"/>
      <w:gridCol w:w="3402"/>
      <w:gridCol w:w="3402"/>
    </w:tblGrid>
    <w:tr>
      <w:tc>
        <w:tcPr>
          <w:tcW w:type="dxa" w:w="4139"/>
          <w:tcBorders>
            <w:top w:val="single" w:sz="8" w:color="D9CDD3"/>
            <w:bottom w:val="nil" w:sz="6" w:color="D9CDD3"/>
            <w:start w:val="nil" w:sz="6" w:color="D9CDD3"/>
            <w:end w:val="nil" w:sz="6" w:color="D9CDD3"/>
            <w:insideH w:val="nil" w:sz="6" w:color="D9CDD3"/>
            <w:insideV w:val="nil" w:sz="6" w:color="D9CDD3"/>
          </w:tcBorders>
          <w:tcMar>
            <w:top w:w="90" w:type="dxa"/>
            <w:start w:w="90" w:type="dxa"/>
            <w:bottom w:w="90" w:type="dxa"/>
            <w:end w:w="90" w:type="dxa"/>
          </w:tcMar>
          <w:vAlign w:val="center"/>
        </w:tcPr>
        <w:p>
          <w:pPr>
            <w:spacing w:after="0"/>
            <w:jc w:val="right"/>
            <w:bidi w:val="1"/>
          </w:pPr>
          <w:r/>
          <w:r>
            <w:rPr>
              <w:rFonts w:ascii="Noto Sans Arabic" w:hAnsi="Noto Sans Arabic" w:eastAsia="Noto Sans Arabic" w:cs="Noto Sans Arabic"/>
              <w:b w:val="0"/>
              <w:color w:val="6F7480"/>
              <w:sz w:val="16"/>
              <w:rtl w:val="1"/>
            </w:rPr>
            <w:t>المدينة المنورة  |  ٠٥٥٥ ٦٠٦ ٣٤٧</w:t>
          </w:r>
        </w:p>
      </w:tc>
      <w:tc>
        <w:tcPr>
          <w:tcW w:type="dxa" w:w="2835"/>
          <w:tcBorders>
            <w:top w:val="single" w:sz="8" w:color="D9CDD3"/>
            <w:bottom w:val="nil" w:sz="6" w:color="D9CDD3"/>
            <w:start w:val="nil" w:sz="6" w:color="D9CDD3"/>
            <w:end w:val="nil" w:sz="6" w:color="D9CDD3"/>
            <w:insideH w:val="nil" w:sz="6" w:color="D9CDD3"/>
            <w:insideV w:val="nil" w:sz="6" w:color="D9CDD3"/>
          </w:tcBorders>
          <w:tcMar>
            <w:top w:w="90" w:type="dxa"/>
            <w:start w:w="90" w:type="dxa"/>
            <w:bottom w:w="90" w:type="dxa"/>
            <w:end w:w="90" w:type="dxa"/>
          </w:tcMar>
          <w:vAlign w:val="center"/>
        </w:tcPr>
        <w:p>
          <w:pPr>
            <w:spacing w:after="0"/>
            <w:jc w:val="center"/>
            <w:bidi w:val="1"/>
          </w:pPr>
          <w:r/>
          <w:r>
            <w:rPr>
              <w:rFonts w:ascii="Noto Sans Arabic" w:hAnsi="Noto Sans Arabic" w:eastAsia="Noto Sans Arabic" w:cs="Noto Sans Arabic"/>
              <w:b w:val="0"/>
              <w:color w:val="6F7480"/>
              <w:sz w:val="16"/>
              <w:rtl w:val="1"/>
            </w:rPr>
            <w:t>Tabibi_٢٠٢٥</w:t>
          </w:r>
        </w:p>
      </w:tc>
      <w:tc>
        <w:tcPr>
          <w:tcW w:type="dxa" w:w="3231"/>
          <w:tcBorders>
            <w:top w:val="single" w:sz="8" w:color="D9CDD3"/>
            <w:bottom w:val="nil" w:sz="6" w:color="D9CDD3"/>
            <w:start w:val="nil" w:sz="6" w:color="D9CDD3"/>
            <w:end w:val="nil" w:sz="6" w:color="D9CDD3"/>
            <w:insideH w:val="nil" w:sz="6" w:color="D9CDD3"/>
            <w:insideV w:val="nil" w:sz="6" w:color="D9CDD3"/>
          </w:tcBorders>
          <w:tcMar>
            <w:top w:w="90" w:type="dxa"/>
            <w:start w:w="90" w:type="dxa"/>
            <w:bottom w:w="90" w:type="dxa"/>
            <w:end w:w="90" w:type="dxa"/>
          </w:tcMar>
        </w:tcPr>
        <w:p>
          <w:pPr>
            <w:spacing w:after="0"/>
            <w:jc w:val="left"/>
            <w:bidi w:val="1"/>
          </w:pPr>
          <w:r/>
          <w:r>
            <w:rPr>
              <w:rFonts w:ascii="Noto Sans Arabic" w:hAnsi="Noto Sans Arabic" w:eastAsia="Noto Sans Arabic" w:cs="Noto Sans Arabic"/>
              <w:b w:val="0"/>
              <w:color w:val="6F7480"/>
              <w:sz w:val="16"/>
              <w:rtl w:val="1"/>
            </w:rPr>
            <w:t xml:space="preserve">صفحة </w:t>
          </w:r>
          <w:fldSimple w:instr="PAGE">
            <w: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bidiVisual w:val="1"/>
    </w:tblPr>
    <w:tblGrid>
      <w:gridCol w:w="5102"/>
      <w:gridCol w:w="5102"/>
    </w:tblGrid>
    <w:tr>
      <w:tc>
        <w:tcPr>
          <w:tcW w:type="dxa" w:w="7654"/>
          <w:tcBorders>
            <w:top w:val="nil" w:sz="6" w:color="D9CDD3"/>
            <w:bottom w:val="single" w:sz="12" w:color="941E3D"/>
            <w:start w:val="nil" w:sz="6" w:color="D9CDD3"/>
            <w:end w:val="nil" w:sz="6" w:color="D9CDD3"/>
            <w:insideH w:val="nil" w:sz="6" w:color="D9CDD3"/>
            <w:insideV w:val="nil" w:sz="6" w:color="D9CDD3"/>
          </w:tcBorders>
          <w:tcMar>
            <w:top w:w="90" w:type="dxa"/>
            <w:start w:w="90" w:type="dxa"/>
            <w:bottom w:w="90" w:type="dxa"/>
            <w:end w:w="90" w:type="dxa"/>
          </w:tcMar>
          <w:vAlign w:val="center"/>
        </w:tcPr>
        <w:p>
          <w:pPr>
            <w:spacing w:after="0"/>
            <w:jc w:val="right"/>
            <w:bidi w:val="1"/>
          </w:pPr>
          <w:r/>
          <w:r>
            <w:rPr>
              <w:rFonts w:ascii="Noto Kufi Arabic" w:hAnsi="Noto Kufi Arabic" w:eastAsia="Noto Kufi Arabic" w:cs="Noto Kufi Arabic"/>
              <w:b/>
              <w:color w:val="14253D"/>
              <w:sz w:val="18"/>
              <w:rtl w:val="1"/>
            </w:rPr>
            <w:t>التقرير النصف السنوي ٢٠٢٦م</w:t>
          </w:r>
        </w:p>
      </w:tc>
      <w:tc>
        <w:tcPr>
          <w:tcW w:type="dxa" w:w="2551"/>
          <w:tcBorders>
            <w:top w:val="nil" w:sz="6" w:color="D9CDD3"/>
            <w:bottom w:val="single" w:sz="12" w:color="941E3D"/>
            <w:start w:val="nil" w:sz="6" w:color="D9CDD3"/>
            <w:end w:val="nil" w:sz="6" w:color="D9CDD3"/>
            <w:insideH w:val="nil" w:sz="6" w:color="D9CDD3"/>
            <w:insideV w:val="nil" w:sz="6" w:color="D9CDD3"/>
          </w:tcBorders>
          <w:tcMar>
            <w:top w:w="90" w:type="dxa"/>
            <w:start w:w="90" w:type="dxa"/>
            <w:bottom w:w="90" w:type="dxa"/>
            <w:end w:w="90" w:type="dxa"/>
          </w:tcMar>
        </w:tcPr>
        <w:p>
          <w:pPr>
            <w:spacing w:after="0"/>
            <w:jc w:val="left"/>
            <w:bidi w:val="1"/>
          </w:pPr>
          <w:r/>
          <w:r>
            <w:drawing>
              <wp:inline xmlns:a="http://schemas.openxmlformats.org/drawingml/2006/main" xmlns:pic="http://schemas.openxmlformats.org/drawingml/2006/picture">
                <wp:extent cx="450000" cy="434891"/>
                <wp:docPr id="1" name="Picture 1"/>
                <wp:cNvGraphicFramePr>
                  <a:graphicFrameLocks noChangeAspect="1"/>
                </wp:cNvGraphicFramePr>
                <a:graphic>
                  <a:graphicData uri="http://schemas.openxmlformats.org/drawingml/2006/picture">
                    <pic:pic>
                      <pic:nvPicPr>
                        <pic:cNvPr id="0" name="logo_clean.png"/>
                        <pic:cNvPicPr/>
                      </pic:nvPicPr>
                      <pic:blipFill>
                        <a:blip r:embed="rId1"/>
                        <a:stretch>
                          <a:fillRect/>
                        </a:stretch>
                      </pic:blipFill>
                      <pic:spPr>
                        <a:xfrm>
                          <a:off x="0" y="0"/>
                          <a:ext cx="450000" cy="434891"/>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