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line="288" w:lineRule="auto"/>
        <w:jc w:val="center"/>
      </w:pPr>
      <w:r>
        <w:rPr>
          <w:rFonts w:ascii="Arial" w:hAnsi="Arial"/>
          <w:b/>
          <w:i w:val="0"/>
          <w:color w:val="C9A96E"/>
          <w:sz w:val="30"/>
        </w:rPr>
        <w:t>جمعية طبيبي الأهلية بالمدينة المنورة</w:t>
      </w:r>
    </w:p>
    <w:p>
      <w:pPr>
        <w:spacing w:after="100" w:line="288" w:lineRule="auto"/>
        <w:jc w:val="center"/>
      </w:pPr>
      <w:r>
        <w:rPr>
          <w:rFonts w:ascii="Arial" w:hAnsi="Arial"/>
          <w:b/>
          <w:i w:val="0"/>
          <w:color w:val="6B1D3A"/>
          <w:sz w:val="48"/>
        </w:rPr>
        <w:t>التقرير النصف سنوي الشامل لعام ٢٠٢٦م</w:t>
      </w:r>
    </w:p>
    <w:p>
      <w:pPr>
        <w:spacing w:after="100" w:line="288" w:lineRule="auto"/>
        <w:jc w:val="center"/>
      </w:pPr>
      <w:r>
        <w:rPr>
          <w:rFonts w:ascii="Arial" w:hAnsi="Arial"/>
          <w:b/>
          <w:i w:val="0"/>
          <w:color w:val="6B1D3A"/>
          <w:sz w:val="26"/>
        </w:rPr>
        <w:t>«مدعم بالتدقيق الأدائي ومطابقة مستهدفات الخطة الاستراتيجية والتشغيلية»</w:t>
      </w:r>
    </w:p>
    <w:p>
      <w:pPr>
        <w:spacing w:after="100" w:line="288" w:lineRule="auto"/>
        <w:jc w:val="center"/>
      </w:pPr>
      <w:r>
        <w:rPr>
          <w:rFonts w:ascii="Arial" w:hAnsi="Arial"/>
          <w:b w:val="0"/>
          <w:i w:val="0"/>
          <w:color w:val="2D2D2D"/>
          <w:sz w:val="22"/>
        </w:rPr>
        <w:t>الفترة من ١ يناير إلى ٣٠ يونيو ٢٠٢٦م | ترخيص رقم: (١٠٠٠٧٣٠٧٠٠)</w:t>
      </w:r>
    </w:p>
    <w:p>
      <w:pPr>
        <w:spacing w:after="100" w:line="288" w:lineRule="auto"/>
        <w:jc w:val="center"/>
      </w:pPr>
      <w:r>
        <w:rPr>
          <w:rFonts w:ascii="Arial" w:hAnsi="Arial"/>
          <w:b/>
          <w:i w:val="0"/>
          <w:color w:val="C9A96E"/>
          <w:sz w:val="28"/>
        </w:rPr>
        <w:t>« ثـقـة • أثــر • اسـتـدامـة »</w:t>
      </w:r>
    </w:p>
    <w:p>
      <w:r>
        <w:br w:type="page"/>
      </w:r>
    </w:p>
    <w:p>
      <w:pPr>
        <w:pStyle w:val="Heading1"/>
        <w:jc w:val="right"/>
      </w:pPr>
      <w:r>
        <w:rPr>
          <w:rFonts w:ascii="Arial" w:hAnsi="Arial"/>
          <w:b/>
          <w:color w:val="6B1D3A"/>
          <w:sz w:val="32"/>
        </w:rPr>
        <w:t>فهرس المحتويات التنفيذي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  <w:shd w:fill="6B1D3A"/>
          </w:tcPr>
          <w:p>
            <w:r>
              <w:rPr>
                <w:b/>
                <w:color w:val="FFFFFF"/>
              </w:rPr>
              <w:t>البند / المحور</w:t>
            </w:r>
          </w:p>
        </w:tc>
        <w:tc>
          <w:tcPr>
            <w:tcW w:type="dxa" w:w="4802"/>
            <w:shd w:fill="6B1D3A"/>
          </w:tcPr>
          <w:p>
            <w:r>
              <w:rPr>
                <w:b/>
                <w:color w:val="FFFFFF"/>
              </w:rPr>
              <w:t>رقم الصفحة</w:t>
            </w:r>
          </w:p>
        </w:tc>
      </w:tr>
      <w:tr>
        <w:tc>
          <w:tcPr>
            <w:tcW w:type="dxa" w:w="4802"/>
          </w:tcPr>
          <w:p>
            <w:r>
              <w:t>١. المقدمة والقيادة الرشيدة ومجلس الإدارة</w:t>
            </w:r>
          </w:p>
        </w:tc>
        <w:tc>
          <w:tcPr>
            <w:tcW w:type="dxa" w:w="4802"/>
          </w:tcPr>
          <w:p>
            <w:r>
              <w:t>ص ٢</w:t>
            </w:r>
          </w:p>
        </w:tc>
      </w:tr>
      <w:tr>
        <w:tc>
          <w:tcPr>
            <w:tcW w:type="dxa" w:w="4802"/>
            <w:shd w:fill="F8F6F0"/>
          </w:tcPr>
          <w:p>
            <w:r>
              <w:t>٢. كلمة رئيس مجلس الإدارة</w:t>
            </w:r>
          </w:p>
        </w:tc>
        <w:tc>
          <w:tcPr>
            <w:tcW w:type="dxa" w:w="4802"/>
            <w:shd w:fill="F8F6F0"/>
          </w:tcPr>
          <w:p>
            <w:r>
              <w:t>ص ٣</w:t>
            </w:r>
          </w:p>
        </w:tc>
      </w:tr>
      <w:tr>
        <w:tc>
          <w:tcPr>
            <w:tcW w:type="dxa" w:w="4802"/>
          </w:tcPr>
          <w:p>
            <w:r>
              <w:t>٣. الملخص التنفيذي ومؤشرات الأداء الرئيسية</w:t>
            </w:r>
          </w:p>
        </w:tc>
        <w:tc>
          <w:tcPr>
            <w:tcW w:type="dxa" w:w="4802"/>
          </w:tcPr>
          <w:p>
            <w:r>
              <w:t>ص ٤</w:t>
            </w:r>
          </w:p>
        </w:tc>
      </w:tr>
      <w:tr>
        <w:tc>
          <w:tcPr>
            <w:tcW w:type="dxa" w:w="4802"/>
            <w:shd w:fill="F8F6F0"/>
          </w:tcPr>
          <w:p>
            <w:r>
              <w:t>٤. التدقيق الأدائي والتقييم الاستراتيجي الشامل (BSC)</w:t>
            </w:r>
          </w:p>
        </w:tc>
        <w:tc>
          <w:tcPr>
            <w:tcW w:type="dxa" w:w="4802"/>
            <w:shd w:fill="F8F6F0"/>
          </w:tcPr>
          <w:p>
            <w:r>
              <w:t>ص ٥</w:t>
            </w:r>
          </w:p>
        </w:tc>
      </w:tr>
      <w:tr>
        <w:tc>
          <w:tcPr>
            <w:tcW w:type="dxa" w:w="4802"/>
          </w:tcPr>
          <w:p>
            <w:r>
              <w:t>٥. مصفوفة مطابقة الخطة الاستراتيجية بالمنجز الفعلي (١٤ مؤشراً)</w:t>
            </w:r>
          </w:p>
        </w:tc>
        <w:tc>
          <w:tcPr>
            <w:tcW w:type="dxa" w:w="4802"/>
          </w:tcPr>
          <w:p>
            <w:r>
              <w:t>ص ٦</w:t>
            </w:r>
          </w:p>
        </w:tc>
      </w:tr>
      <w:tr>
        <w:tc>
          <w:tcPr>
            <w:tcW w:type="dxa" w:w="4802"/>
            <w:shd w:fill="F8F6F0"/>
          </w:tcPr>
          <w:p>
            <w:r>
              <w:t>٦. حالة محفظة البرامج الاستراتيجية الـ (١٠)</w:t>
            </w:r>
          </w:p>
        </w:tc>
        <w:tc>
          <w:tcPr>
            <w:tcW w:type="dxa" w:w="4802"/>
            <w:shd w:fill="F8F6F0"/>
          </w:tcPr>
          <w:p>
            <w:r>
              <w:t>ص ٧</w:t>
            </w:r>
          </w:p>
        </w:tc>
      </w:tr>
      <w:tr>
        <w:tc>
          <w:tcPr>
            <w:tcW w:type="dxa" w:w="4802"/>
          </w:tcPr>
          <w:p>
            <w:r>
              <w:t>٧. تحليل الفجوات الاستراتيجية وإدارة المخاطر</w:t>
            </w:r>
          </w:p>
        </w:tc>
        <w:tc>
          <w:tcPr>
            <w:tcW w:type="dxa" w:w="4802"/>
          </w:tcPr>
          <w:p>
            <w:r>
              <w:t>ص ٨</w:t>
            </w:r>
          </w:p>
        </w:tc>
      </w:tr>
      <w:tr>
        <w:tc>
          <w:tcPr>
            <w:tcW w:type="dxa" w:w="4802"/>
            <w:shd w:fill="F8F6F0"/>
          </w:tcPr>
          <w:p>
            <w:r>
              <w:t>٨. التحليل والأداء المالي والموازنة التشغيلية</w:t>
            </w:r>
          </w:p>
        </w:tc>
        <w:tc>
          <w:tcPr>
            <w:tcW w:type="dxa" w:w="4802"/>
            <w:shd w:fill="F8F6F0"/>
          </w:tcPr>
          <w:p>
            <w:r>
              <w:t>ص ٩</w:t>
            </w:r>
          </w:p>
        </w:tc>
      </w:tr>
      <w:tr>
        <w:tc>
          <w:tcPr>
            <w:tcW w:type="dxa" w:w="4802"/>
          </w:tcPr>
          <w:p>
            <w:r>
              <w:t>٩. البرامج والمساعدات الطبية وخدمة المستفيدين</w:t>
            </w:r>
          </w:p>
        </w:tc>
        <w:tc>
          <w:tcPr>
            <w:tcW w:type="dxa" w:w="4802"/>
          </w:tcPr>
          <w:p>
            <w:r>
              <w:t>ص ١٠</w:t>
            </w:r>
          </w:p>
        </w:tc>
      </w:tr>
      <w:tr>
        <w:tc>
          <w:tcPr>
            <w:tcW w:type="dxa" w:w="4802"/>
            <w:shd w:fill="F8F6F0"/>
          </w:tcPr>
          <w:p>
            <w:r>
              <w:t>١٠. منظومة الشراكات الصحية والمؤسسية (٩ شركاء)</w:t>
            </w:r>
          </w:p>
        </w:tc>
        <w:tc>
          <w:tcPr>
            <w:tcW w:type="dxa" w:w="4802"/>
            <w:shd w:fill="F8F6F0"/>
          </w:tcPr>
          <w:p>
            <w:r>
              <w:t>ص ١١</w:t>
            </w:r>
          </w:p>
        </w:tc>
      </w:tr>
      <w:tr>
        <w:tc>
          <w:tcPr>
            <w:tcW w:type="dxa" w:w="4802"/>
          </w:tcPr>
          <w:p>
            <w:r>
              <w:t>١١. الموارد البشرية والتحول المؤسسي والحوكمة</w:t>
            </w:r>
          </w:p>
        </w:tc>
        <w:tc>
          <w:tcPr>
            <w:tcW w:type="dxa" w:w="4802"/>
          </w:tcPr>
          <w:p>
            <w:r>
              <w:t>ص ١٢</w:t>
            </w:r>
          </w:p>
        </w:tc>
      </w:tr>
      <w:tr>
        <w:tc>
          <w:tcPr>
            <w:tcW w:type="dxa" w:w="4802"/>
            <w:shd w:fill="F8F6F0"/>
          </w:tcPr>
          <w:p>
            <w:r>
              <w:t>١٢. قصص الأثر الإنساني ورسائل المستفيدين</w:t>
            </w:r>
          </w:p>
        </w:tc>
        <w:tc>
          <w:tcPr>
            <w:tcW w:type="dxa" w:w="4802"/>
            <w:shd w:fill="F8F6F0"/>
          </w:tcPr>
          <w:p>
            <w:r>
              <w:t>ص ١٣</w:t>
            </w:r>
          </w:p>
        </w:tc>
      </w:tr>
      <w:tr>
        <w:tc>
          <w:tcPr>
            <w:tcW w:type="dxa" w:w="4802"/>
          </w:tcPr>
          <w:p>
            <w:r>
              <w:t>١٣. خارطة طريق التصحيح والتوصيات الاستراتيجية (H2 2026)</w:t>
            </w:r>
          </w:p>
        </w:tc>
        <w:tc>
          <w:tcPr>
            <w:tcW w:type="dxa" w:w="4802"/>
          </w:tcPr>
          <w:p>
            <w:r>
              <w:t>ص ١٤</w:t>
            </w:r>
          </w:p>
        </w:tc>
      </w:tr>
      <w:tr>
        <w:tc>
          <w:tcPr>
            <w:tcW w:type="dxa" w:w="4802"/>
            <w:shd w:fill="F8F6F0"/>
          </w:tcPr>
          <w:p>
            <w:r>
              <w:t>١٤. الملاحق التفصيلية (الداعمون، والأصول الثابتة)</w:t>
            </w:r>
          </w:p>
        </w:tc>
        <w:tc>
          <w:tcPr>
            <w:tcW w:type="dxa" w:w="4802"/>
            <w:shd w:fill="F8F6F0"/>
          </w:tcPr>
          <w:p>
            <w:r>
              <w:t>ص ١٥</w:t>
            </w:r>
          </w:p>
        </w:tc>
      </w:tr>
    </w:tbl>
    <w:p>
      <w:r>
        <w:br w:type="page"/>
      </w:r>
    </w:p>
    <w:p>
      <w:pPr>
        <w:pStyle w:val="Heading1"/>
        <w:jc w:val="right"/>
      </w:pPr>
      <w:r>
        <w:rPr>
          <w:rFonts w:ascii="Arial" w:hAnsi="Arial"/>
          <w:b/>
          <w:color w:val="6B1D3A"/>
          <w:sz w:val="32"/>
        </w:rPr>
        <w:t>القيادة الرشيدة ومجلس الإدارة</w:t>
      </w:r>
    </w:p>
    <w:p>
      <w:pPr>
        <w:spacing w:after="100" w:line="288" w:lineRule="auto"/>
        <w:jc w:val="right"/>
      </w:pPr>
      <w:r>
        <w:rPr>
          <w:rFonts w:ascii="Arial" w:hAnsi="Arial"/>
          <w:b/>
          <w:i w:val="0"/>
          <w:color w:val="6B1D3A"/>
          <w:sz w:val="24"/>
        </w:rPr>
        <w:t>• صاحب السمو الملكي الأمير محمد بن سلمان بن عبدالعزيز - ولي العهد رئيس مجلس الوزراء</w:t>
      </w:r>
    </w:p>
    <w:p>
      <w:pPr>
        <w:spacing w:after="100" w:line="288" w:lineRule="auto"/>
        <w:jc w:val="right"/>
      </w:pPr>
      <w:r>
        <w:rPr>
          <w:rFonts w:ascii="Arial" w:hAnsi="Arial"/>
          <w:b w:val="0"/>
          <w:i/>
          <w:color w:val="2D2D2D"/>
          <w:sz w:val="21"/>
        </w:rPr>
        <w:t>«نهدف للوصول إلى قطاع غير ربحي مهم، مبادر وداعم ومؤثر في التعليم والصحة والثقافة والمجالات البحثية، وسنعتمد عليه بشكل رئيسي.»</w:t>
      </w:r>
    </w:p>
    <w:p>
      <w:pPr>
        <w:spacing w:after="100" w:line="288" w:lineRule="auto"/>
        <w:jc w:val="right"/>
      </w:pPr>
      <w:r>
        <w:rPr>
          <w:rFonts w:ascii="Arial" w:hAnsi="Arial"/>
          <w:b/>
          <w:i w:val="0"/>
          <w:color w:val="6B1D3A"/>
          <w:sz w:val="24"/>
        </w:rPr>
        <w:t>• خادم الحرمين الشريفين الملك سلمان بن عبدالعزيز آل سعود - ملك المملكة العربية السعودية</w:t>
      </w:r>
    </w:p>
    <w:p>
      <w:pPr>
        <w:spacing w:after="100" w:line="288" w:lineRule="auto"/>
        <w:jc w:val="right"/>
      </w:pPr>
      <w:r>
        <w:rPr>
          <w:rFonts w:ascii="Arial" w:hAnsi="Arial"/>
          <w:b w:val="0"/>
          <w:i/>
          <w:color w:val="2D2D2D"/>
          <w:sz w:val="21"/>
        </w:rPr>
        <w:t>«ما يميز هذه البلاد هو حرص قادتها على الخير والتشجيع عليه، وما نراه من مؤسسات خيرية في مختلف المجالات… إلا جانبًا من الجوانب المشرقة لبلادنا.»</w:t>
      </w:r>
    </w:p>
    <w:p>
      <w:pPr>
        <w:spacing w:after="100" w:line="288" w:lineRule="auto"/>
        <w:jc w:val="right"/>
      </w:pPr>
      <w:r>
        <w:rPr>
          <w:rFonts w:ascii="Arial" w:hAnsi="Arial"/>
          <w:b/>
          <w:i w:val="0"/>
          <w:color w:val="6B1D3A"/>
          <w:sz w:val="24"/>
        </w:rPr>
        <w:t>• صاحب السمو الملكي الأمير سلمان بن سلطان بن عبدالعزيز - أمير منطقة المدينة المنورة</w:t>
      </w:r>
    </w:p>
    <w:p>
      <w:pPr>
        <w:spacing w:after="100" w:line="288" w:lineRule="auto"/>
        <w:jc w:val="right"/>
      </w:pPr>
      <w:r>
        <w:rPr>
          <w:rFonts w:ascii="Arial" w:hAnsi="Arial"/>
          <w:b w:val="0"/>
          <w:i/>
          <w:color w:val="2D2D2D"/>
          <w:sz w:val="21"/>
        </w:rPr>
        <w:t>«نسعد بالإنجازات التي حققتها الجمعيات الأهلية على مستوى المنطقة باعتبارها شريكًا استراتيجيًا للقطاعين العام والخاص في تحسين جودة الحياة.»</w:t>
      </w:r>
    </w:p>
    <w:p>
      <w:r>
        <w:br w:type="page"/>
      </w:r>
    </w:p>
    <w:p>
      <w:pPr>
        <w:pStyle w:val="Heading1"/>
        <w:jc w:val="right"/>
      </w:pPr>
      <w:r>
        <w:rPr>
          <w:rFonts w:ascii="Arial" w:hAnsi="Arial"/>
          <w:b/>
          <w:color w:val="6B1D3A"/>
          <w:sz w:val="32"/>
        </w:rPr>
        <w:t>التدقيق الأدائي والتقييم الاستراتيجي الشامل (BSC Evaluation)</w:t>
      </w:r>
    </w:p>
    <w:p>
      <w:pPr>
        <w:spacing w:after="100" w:line="288" w:lineRule="auto"/>
        <w:jc w:val="right"/>
      </w:pPr>
      <w:r>
        <w:rPr>
          <w:rFonts w:ascii="Arial" w:hAnsi="Arial"/>
          <w:b w:val="0"/>
          <w:i w:val="0"/>
          <w:color w:val="2D2D2D"/>
          <w:sz w:val="22"/>
        </w:rPr>
        <w:t>بناءً على الفحص المستندي المقارن بين مستهدفات الخطة الاستراتيجية والتشغيلية والمنجزات الفعلية للنصف الأول ٢٠٢٦م: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  <w:shd w:fill="6B1D3A"/>
          </w:tcPr>
          <w:p>
            <w:r>
              <w:rPr>
                <w:b/>
                <w:color w:val="FFFFFF"/>
              </w:rPr>
              <w:t>المحور الاستراتيجي (BSC)</w:t>
            </w:r>
          </w:p>
        </w:tc>
        <w:tc>
          <w:tcPr>
            <w:tcW w:type="dxa" w:w="2401"/>
            <w:shd w:fill="6B1D3A"/>
          </w:tcPr>
          <w:p>
            <w:r>
              <w:rPr>
                <w:b/>
                <w:color w:val="FFFFFF"/>
              </w:rPr>
              <w:t>الوزن النسبي</w:t>
            </w:r>
          </w:p>
        </w:tc>
        <w:tc>
          <w:tcPr>
            <w:tcW w:type="dxa" w:w="2401"/>
            <w:shd w:fill="6B1D3A"/>
          </w:tcPr>
          <w:p>
            <w:r>
              <w:rPr>
                <w:b/>
                <w:color w:val="FFFFFF"/>
              </w:rPr>
              <w:t>نسبة إنجاز H1</w:t>
            </w:r>
          </w:p>
        </w:tc>
        <w:tc>
          <w:tcPr>
            <w:tcW w:type="dxa" w:w="2401"/>
            <w:shd w:fill="6B1D3A"/>
          </w:tcPr>
          <w:p>
            <w:r>
              <w:rPr>
                <w:b/>
                <w:color w:val="FFFFFF"/>
              </w:rPr>
              <w:t>الدرجة الموزونة المحققة</w:t>
            </w:r>
          </w:p>
        </w:tc>
      </w:tr>
      <w:tr>
        <w:tc>
          <w:tcPr>
            <w:tcW w:type="dxa" w:w="2401"/>
          </w:tcPr>
          <w:p>
            <w:r>
              <w:t>١. محور الأثر والبرامج الطبية</w:t>
            </w:r>
          </w:p>
        </w:tc>
        <w:tc>
          <w:tcPr>
            <w:tcW w:type="dxa" w:w="2401"/>
          </w:tcPr>
          <w:p>
            <w:r>
              <w:t>٤٠٪</w:t>
            </w:r>
          </w:p>
        </w:tc>
        <w:tc>
          <w:tcPr>
            <w:tcW w:type="dxa" w:w="2401"/>
          </w:tcPr>
          <w:p>
            <w:r>
              <w:t>١٣.٩٥٪</w:t>
            </w:r>
          </w:p>
        </w:tc>
        <w:tc>
          <w:tcPr>
            <w:tcW w:type="dxa" w:w="2401"/>
          </w:tcPr>
          <w:p>
            <w:r>
              <w:t>٥.٥٨ من ٤٠</w:t>
            </w:r>
          </w:p>
        </w:tc>
      </w:tr>
      <w:tr>
        <w:tc>
          <w:tcPr>
            <w:tcW w:type="dxa" w:w="2401"/>
            <w:shd w:fill="F8F6F0"/>
          </w:tcPr>
          <w:p>
            <w:r>
              <w:t>٢. المحور المالي والموازنة التشغيلية</w:t>
            </w:r>
          </w:p>
        </w:tc>
        <w:tc>
          <w:tcPr>
            <w:tcW w:type="dxa" w:w="2401"/>
            <w:shd w:fill="F8F6F0"/>
          </w:tcPr>
          <w:p>
            <w:r>
              <w:t>٣٠٪</w:t>
            </w:r>
          </w:p>
        </w:tc>
        <w:tc>
          <w:tcPr>
            <w:tcW w:type="dxa" w:w="2401"/>
            <w:shd w:fill="F8F6F0"/>
          </w:tcPr>
          <w:p>
            <w:r>
              <w:t>٣٢.٩٦٪</w:t>
            </w:r>
          </w:p>
        </w:tc>
        <w:tc>
          <w:tcPr>
            <w:tcW w:type="dxa" w:w="2401"/>
            <w:shd w:fill="F8F6F0"/>
          </w:tcPr>
          <w:p>
            <w:r>
              <w:t>٩.٨٩ من ٣٠</w:t>
            </w:r>
          </w:p>
        </w:tc>
      </w:tr>
      <w:tr>
        <w:tc>
          <w:tcPr>
            <w:tcW w:type="dxa" w:w="2401"/>
          </w:tcPr>
          <w:p>
            <w:r>
              <w:t>٣. محور الشراكات والعمليات الداخلية</w:t>
            </w:r>
          </w:p>
        </w:tc>
        <w:tc>
          <w:tcPr>
            <w:tcW w:type="dxa" w:w="2401"/>
          </w:tcPr>
          <w:p>
            <w:r>
              <w:t>١٥٪</w:t>
            </w:r>
          </w:p>
        </w:tc>
        <w:tc>
          <w:tcPr>
            <w:tcW w:type="dxa" w:w="2401"/>
          </w:tcPr>
          <w:p>
            <w:r>
              <w:t>٥٥.٠٠٪</w:t>
            </w:r>
          </w:p>
        </w:tc>
        <w:tc>
          <w:tcPr>
            <w:tcW w:type="dxa" w:w="2401"/>
          </w:tcPr>
          <w:p>
            <w:r>
              <w:t>٨.٢٥ من ١٥</w:t>
            </w:r>
          </w:p>
        </w:tc>
      </w:tr>
      <w:tr>
        <w:tc>
          <w:tcPr>
            <w:tcW w:type="dxa" w:w="2401"/>
            <w:shd w:fill="F8F6F0"/>
          </w:tcPr>
          <w:p>
            <w:r>
              <w:t>٤. محور الحوكمة والمؤسسية</w:t>
            </w:r>
          </w:p>
        </w:tc>
        <w:tc>
          <w:tcPr>
            <w:tcW w:type="dxa" w:w="2401"/>
            <w:shd w:fill="F8F6F0"/>
          </w:tcPr>
          <w:p>
            <w:r>
              <w:t>١٥٪</w:t>
            </w:r>
          </w:p>
        </w:tc>
        <w:tc>
          <w:tcPr>
            <w:tcW w:type="dxa" w:w="2401"/>
            <w:shd w:fill="F8F6F0"/>
          </w:tcPr>
          <w:p>
            <w:r>
              <w:t>٦٠.٠٠٪</w:t>
            </w:r>
          </w:p>
        </w:tc>
        <w:tc>
          <w:tcPr>
            <w:tcW w:type="dxa" w:w="2401"/>
            <w:shd w:fill="F8F6F0"/>
          </w:tcPr>
          <w:p>
            <w:r>
              <w:t>٩.٠٠ من ١٥</w:t>
            </w:r>
          </w:p>
        </w:tc>
      </w:tr>
      <w:tr>
        <w:tc>
          <w:tcPr>
            <w:tcW w:type="dxa" w:w="2401"/>
            <w:shd w:fill="F4EFE6"/>
          </w:tcPr>
          <w:p>
            <w:r>
              <w:rPr>
                <w:b/>
                <w:color w:val="6B1D3A"/>
              </w:rPr>
              <w:t>الإجمالي العام الموزون للأداء الاستراتيجي (H1 2026)</w:t>
            </w:r>
          </w:p>
        </w:tc>
        <w:tc>
          <w:tcPr>
            <w:tcW w:type="dxa" w:w="2401"/>
            <w:shd w:fill="F4EFE6"/>
          </w:tcPr>
          <w:p>
            <w:r>
              <w:rPr>
                <w:b/>
                <w:color w:val="6B1D3A"/>
              </w:rPr>
              <w:t>١٠٠٪</w:t>
            </w:r>
          </w:p>
        </w:tc>
        <w:tc>
          <w:tcPr>
            <w:tcW w:type="dxa" w:w="2401"/>
            <w:shd w:fill="F4EFE6"/>
          </w:tcPr>
          <w:p>
            <w:r>
              <w:rPr>
                <w:b/>
                <w:color w:val="6B1D3A"/>
              </w:rPr>
              <w:t>٣٢.٧٢٪</w:t>
            </w:r>
          </w:p>
        </w:tc>
        <w:tc>
          <w:tcPr>
            <w:tcW w:type="dxa" w:w="2401"/>
            <w:shd w:fill="F4EFE6"/>
          </w:tcPr>
          <w:p>
            <w:r>
              <w:rPr>
                <w:b/>
                <w:color w:val="6B1D3A"/>
              </w:rPr>
              <w:t>٣٢.٧٢ من ١٠٠ (يحتاج تحسين)</w:t>
            </w:r>
          </w:p>
        </w:tc>
      </w:tr>
    </w:tbl>
    <w:p>
      <w:pPr>
        <w:spacing w:after="100" w:line="288" w:lineRule="auto"/>
        <w:jc w:val="right"/>
      </w:pPr>
      <w:r>
        <w:rPr>
          <w:rFonts w:ascii="Arial" w:hAnsi="Arial"/>
          <w:b/>
          <w:i w:val="0"/>
          <w:color w:val="6B1D3A"/>
          <w:sz w:val="22"/>
        </w:rPr>
        <w:t>التقييم العام المعتمد: «يحتاج إلى تحسين جذري وإعادة ضبط مسار (Needs Significant Improvement &amp; Realignment)» نظراً لفجوة المستفيدين (٧ مرضى فقط مقابل مستهدف ٣٦ ألف) وتعطيل ٩ برامج معتمدة.</w:t>
      </w:r>
    </w:p>
    <w:p>
      <w:r>
        <w:br w:type="page"/>
      </w:r>
    </w:p>
    <w:p>
      <w:pPr>
        <w:pStyle w:val="Heading1"/>
        <w:jc w:val="right"/>
      </w:pPr>
      <w:r>
        <w:rPr>
          <w:rFonts w:ascii="Arial" w:hAnsi="Arial"/>
          <w:b/>
          <w:color w:val="6B1D3A"/>
          <w:sz w:val="32"/>
        </w:rPr>
        <w:t>مصفوفة مطابقة الخطة الاستراتيجية بالمنجز الفعلي (١٤ مؤشراً معتمداً)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01"/>
        <w:gridCol w:w="1201"/>
        <w:gridCol w:w="1201"/>
        <w:gridCol w:w="1201"/>
        <w:gridCol w:w="1201"/>
        <w:gridCol w:w="1201"/>
        <w:gridCol w:w="1201"/>
        <w:gridCol w:w="1201"/>
      </w:tblGrid>
      <w:tr>
        <w:tc>
          <w:tcPr>
            <w:tcW w:type="dxa" w:w="1201"/>
            <w:shd w:fill="6B1D3A"/>
          </w:tcPr>
          <w:p>
            <w:r>
              <w:rPr>
                <w:b/>
                <w:color w:val="FFFFFF"/>
                <w:sz w:val="18"/>
              </w:rPr>
              <w:t>م</w:t>
            </w:r>
          </w:p>
        </w:tc>
        <w:tc>
          <w:tcPr>
            <w:tcW w:type="dxa" w:w="1201"/>
            <w:shd w:fill="6B1D3A"/>
          </w:tcPr>
          <w:p>
            <w:r>
              <w:rPr>
                <w:b/>
                <w:color w:val="FFFFFF"/>
                <w:sz w:val="18"/>
              </w:rPr>
              <w:t>الهدف / النشاط</w:t>
            </w:r>
          </w:p>
        </w:tc>
        <w:tc>
          <w:tcPr>
            <w:tcW w:type="dxa" w:w="1201"/>
            <w:shd w:fill="6B1D3A"/>
          </w:tcPr>
          <w:p>
            <w:r>
              <w:rPr>
                <w:b/>
                <w:color w:val="FFFFFF"/>
                <w:sz w:val="18"/>
              </w:rPr>
              <w:t>المؤشر المعتمد</w:t>
            </w:r>
          </w:p>
        </w:tc>
        <w:tc>
          <w:tcPr>
            <w:tcW w:type="dxa" w:w="1201"/>
            <w:shd w:fill="6B1D3A"/>
          </w:tcPr>
          <w:p>
            <w:r>
              <w:rPr>
                <w:b/>
                <w:color w:val="FFFFFF"/>
                <w:sz w:val="18"/>
              </w:rPr>
              <w:t>المستهدف السنوي</w:t>
            </w:r>
          </w:p>
        </w:tc>
        <w:tc>
          <w:tcPr>
            <w:tcW w:type="dxa" w:w="1201"/>
            <w:shd w:fill="6B1D3A"/>
          </w:tcPr>
          <w:p>
            <w:r>
              <w:rPr>
                <w:b/>
                <w:color w:val="FFFFFF"/>
                <w:sz w:val="18"/>
              </w:rPr>
              <w:t>مستهدف H1</w:t>
            </w:r>
          </w:p>
        </w:tc>
        <w:tc>
          <w:tcPr>
            <w:tcW w:type="dxa" w:w="1201"/>
            <w:shd w:fill="6B1D3A"/>
          </w:tcPr>
          <w:p>
            <w:r>
              <w:rPr>
                <w:b/>
                <w:color w:val="FFFFFF"/>
                <w:sz w:val="18"/>
              </w:rPr>
              <w:t>المنجز الفعلي</w:t>
            </w:r>
          </w:p>
        </w:tc>
        <w:tc>
          <w:tcPr>
            <w:tcW w:type="dxa" w:w="1201"/>
            <w:shd w:fill="6B1D3A"/>
          </w:tcPr>
          <w:p>
            <w:r>
              <w:rPr>
                <w:b/>
                <w:color w:val="FFFFFF"/>
                <w:sz w:val="18"/>
              </w:rPr>
              <w:t>نسبة الإنجاز</w:t>
            </w:r>
          </w:p>
        </w:tc>
        <w:tc>
          <w:tcPr>
            <w:tcW w:type="dxa" w:w="1201"/>
            <w:shd w:fill="6B1D3A"/>
          </w:tcPr>
          <w:p>
            <w:r>
              <w:rPr>
                <w:b/>
                <w:color w:val="FFFFFF"/>
                <w:sz w:val="18"/>
              </w:rPr>
              <w:t>الحالة</w:t>
            </w:r>
          </w:p>
        </w:tc>
      </w:tr>
      <w:tr>
        <w:tc>
          <w:tcPr>
            <w:tcW w:type="dxa" w:w="1201"/>
          </w:tcPr>
          <w:p>
            <w:r>
              <w:rPr>
                <w:sz w:val="17"/>
              </w:rPr>
              <w:t>١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الإيرادات الكلية للجمعية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إجمالي الدخل (ريال)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٦,٨٤٦,٠٠٠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٣,٤٢٣,٠٠٠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٥٨٢,١٦٧.٥٢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١٧.٠١٪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متأخر حرِج</w:t>
            </w:r>
          </w:p>
        </w:tc>
      </w:tr>
      <w:tr>
        <w:tc>
          <w:tcPr>
            <w:tcW w:type="dxa" w:w="1201"/>
            <w:shd w:fill="F8F6F0"/>
          </w:tcPr>
          <w:p>
            <w:r>
              <w:rPr>
                <w:sz w:val="17"/>
              </w:rPr>
              <w:t>٢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إيرادات الموازنة التشغيلية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إيراد الموازنة (ريال)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١,٥٢٧,٠٠٠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١,٥٢٧,٠٠٠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٥٨٢,١٦٧.٥٢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٣٨.١٢٪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متأخر</w:t>
            </w:r>
          </w:p>
        </w:tc>
      </w:tr>
      <w:tr>
        <w:tc>
          <w:tcPr>
            <w:tcW w:type="dxa" w:w="1201"/>
          </w:tcPr>
          <w:p>
            <w:r>
              <w:rPr>
                <w:sz w:val="17"/>
              </w:rPr>
              <w:t>٣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المساعدات العلاجية المباشرة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مبالغ المساعدات (ريال)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١,٥٠٠,٠٠٠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٧٥٠,٠٠٠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٢٠٨,٦٠٥.٠٠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٢٧.٨١٪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متأخر حرِج</w:t>
            </w:r>
          </w:p>
        </w:tc>
      </w:tr>
      <w:tr>
        <w:tc>
          <w:tcPr>
            <w:tcW w:type="dxa" w:w="1201"/>
            <w:shd w:fill="F8F6F0"/>
          </w:tcPr>
          <w:p>
            <w:r>
              <w:rPr>
                <w:sz w:val="17"/>
              </w:rPr>
              <w:t>٤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المستفيدون من الخدمات الصحية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عدد المستفيدين (فرد)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٣٦,٦٠٦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١٨,٣٠٣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٧ مستفيدين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٠.٠٣٨٪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متعثر تماماً</w:t>
            </w:r>
          </w:p>
        </w:tc>
      </w:tr>
      <w:tr>
        <w:tc>
          <w:tcPr>
            <w:tcW w:type="dxa" w:w="1201"/>
          </w:tcPr>
          <w:p>
            <w:r>
              <w:rPr>
                <w:sz w:val="17"/>
              </w:rPr>
              <w:t>٥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الاستشارات الطبية والدوائية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عدد الاستشارات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١,٢٠٠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٦٠٠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٠ استشارة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٠.٠٠٪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لم يبدأ</w:t>
            </w:r>
          </w:p>
        </w:tc>
      </w:tr>
      <w:tr>
        <w:tc>
          <w:tcPr>
            <w:tcW w:type="dxa" w:w="1201"/>
            <w:shd w:fill="F8F6F0"/>
          </w:tcPr>
          <w:p>
            <w:r>
              <w:rPr>
                <w:sz w:val="17"/>
              </w:rPr>
              <w:t>٦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الدراسات واستطلاعات الرأي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عدد الدراسات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٦ دراسات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٣ دراسات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٠ دراسة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٠.٠٠٪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لم يبدأ</w:t>
            </w:r>
          </w:p>
        </w:tc>
      </w:tr>
      <w:tr>
        <w:tc>
          <w:tcPr>
            <w:tcW w:type="dxa" w:w="1201"/>
          </w:tcPr>
          <w:p>
            <w:r>
              <w:rPr>
                <w:sz w:val="17"/>
              </w:rPr>
              <w:t>٧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ساعات وقيمة التطوع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ساعات وقيمة التطوع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٣,٠٠٠ س (٢٠٢ ألف)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١,٥٠٠ س (١٠١ ألف)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٤ فرص تطوعية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غير مدققة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متعثر</w:t>
            </w:r>
          </w:p>
        </w:tc>
      </w:tr>
      <w:tr>
        <w:tc>
          <w:tcPr>
            <w:tcW w:type="dxa" w:w="1201"/>
            <w:shd w:fill="F8F6F0"/>
          </w:tcPr>
          <w:p>
            <w:r>
              <w:rPr>
                <w:sz w:val="17"/>
              </w:rPr>
              <w:t>٨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تفعيل محفظة البرامج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عدد البرامج النشطة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١٠ برامج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١٠ برامج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برنامج واحد فقط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١٠.٠٠٪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متعثر</w:t>
            </w:r>
          </w:p>
        </w:tc>
      </w:tr>
      <w:tr>
        <w:tc>
          <w:tcPr>
            <w:tcW w:type="dxa" w:w="1201"/>
          </w:tcPr>
          <w:p>
            <w:r>
              <w:rPr>
                <w:sz w:val="17"/>
              </w:rPr>
              <w:t>٩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عقد الشراكات الصحية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عدد الشراكات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٩ شراكات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٩ شراكات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٩ شراكات مفعلة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١٠٠.٠٠٪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مكتمل</w:t>
            </w:r>
          </w:p>
        </w:tc>
      </w:tr>
      <w:tr>
        <w:tc>
          <w:tcPr>
            <w:tcW w:type="dxa" w:w="1201"/>
            <w:shd w:fill="F8F6F0"/>
          </w:tcPr>
          <w:p>
            <w:r>
              <w:rPr>
                <w:sz w:val="17"/>
              </w:rPr>
              <w:t>١٠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توطين الوظائف والكادر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نسبة التوطين (٪)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١٠٠٪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١٠٠٪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١٠٠٪ (٣ موظفين)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١٠٠.٠٠٪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مكتمل</w:t>
            </w:r>
          </w:p>
        </w:tc>
      </w:tr>
      <w:tr>
        <w:tc>
          <w:tcPr>
            <w:tcW w:type="dxa" w:w="1201"/>
          </w:tcPr>
          <w:p>
            <w:r>
              <w:rPr>
                <w:sz w:val="17"/>
              </w:rPr>
              <w:t>١١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تدريب وتأهيل الكادر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عدد الدورات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٤ دورات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٢ دورة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٨ دورات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٤٠٠.٠٠٪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متقدم ومكتمل</w:t>
            </w:r>
          </w:p>
        </w:tc>
      </w:tr>
      <w:tr>
        <w:tc>
          <w:tcPr>
            <w:tcW w:type="dxa" w:w="1201"/>
            <w:shd w:fill="F8F6F0"/>
          </w:tcPr>
          <w:p>
            <w:r>
              <w:rPr>
                <w:sz w:val="17"/>
              </w:rPr>
              <w:t>١٢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التحول الرقمي والمحاسبي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تطبيق نظام سحابي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نظام قيود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نظام قيود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تم تشغيل قيود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١٠٠.٠٠٪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مكتمل</w:t>
            </w:r>
          </w:p>
        </w:tc>
      </w:tr>
      <w:tr>
        <w:tc>
          <w:tcPr>
            <w:tcW w:type="dxa" w:w="1201"/>
          </w:tcPr>
          <w:p>
            <w:r>
              <w:rPr>
                <w:sz w:val="17"/>
              </w:rPr>
              <w:t>١٣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معايير الحوكمة ومنصة نوى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نسبة الامتثال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١٠٠٪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٥٠٪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طلب استشاري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٢٥.٠٠٪</w:t>
            </w:r>
          </w:p>
        </w:tc>
        <w:tc>
          <w:tcPr>
            <w:tcW w:type="dxa" w:w="1201"/>
          </w:tcPr>
          <w:p>
            <w:r>
              <w:rPr>
                <w:sz w:val="17"/>
              </w:rPr>
              <w:t>متأخر</w:t>
            </w:r>
          </w:p>
        </w:tc>
      </w:tr>
      <w:tr>
        <w:tc>
          <w:tcPr>
            <w:tcW w:type="dxa" w:w="1201"/>
            <w:shd w:fill="F8F6F0"/>
          </w:tcPr>
          <w:p>
            <w:r>
              <w:rPr>
                <w:sz w:val="17"/>
              </w:rPr>
              <w:t>١٤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تنويع مصادر الدخل الذاتي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عدد مصادر الدخل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٦ مصادر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٦ مصادر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٦ مصادر نشطة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٦٦.٦٧٪</w:t>
            </w:r>
          </w:p>
        </w:tc>
        <w:tc>
          <w:tcPr>
            <w:tcW w:type="dxa" w:w="1201"/>
            <w:shd w:fill="F8F6F0"/>
          </w:tcPr>
          <w:p>
            <w:r>
              <w:rPr>
                <w:sz w:val="17"/>
              </w:rPr>
              <w:t>قيد التنفيذ</w:t>
            </w:r>
          </w:p>
        </w:tc>
      </w:tr>
    </w:tbl>
    <w:p>
      <w:r>
        <w:br w:type="page"/>
      </w:r>
    </w:p>
    <w:p>
      <w:pPr>
        <w:pStyle w:val="Heading1"/>
        <w:jc w:val="right"/>
      </w:pPr>
      <w:r>
        <w:rPr>
          <w:rFonts w:ascii="Arial" w:hAnsi="Arial"/>
          <w:b/>
          <w:color w:val="6B1D3A"/>
          <w:sz w:val="32"/>
        </w:rPr>
        <w:t>تحليل الفجوات الاستراتيجية والتوصيات التصحيحية (H2 2026)</w:t>
      </w:r>
    </w:p>
    <w:p>
      <w:pPr>
        <w:spacing w:after="100" w:line="288" w:lineRule="auto"/>
        <w:jc w:val="right"/>
      </w:pPr>
      <w:r>
        <w:rPr>
          <w:rFonts w:ascii="Arial" w:hAnsi="Arial"/>
          <w:b/>
          <w:i w:val="0"/>
          <w:color w:val="6B1D3A"/>
          <w:sz w:val="23"/>
        </w:rPr>
        <w:t>• الفجوة الأولى: انحسار نطاق المستفيدين:</w:t>
      </w:r>
    </w:p>
    <w:p>
      <w:pPr>
        <w:spacing w:after="100" w:line="288" w:lineRule="auto"/>
        <w:jc w:val="right"/>
      </w:pPr>
      <w:r>
        <w:rPr>
          <w:rFonts w:ascii="Arial" w:hAnsi="Arial"/>
          <w:b w:val="0"/>
          <w:i w:val="0"/>
          <w:color w:val="2D2D2D"/>
          <w:sz w:val="21"/>
        </w:rPr>
        <w:t>خدمة ٧ مرضى فقط من أصل ٣٦,٦٠٦ مستهدفين نتيجة حصر الصرف في الجراحات المعقدة وإيقاف العيادات الوقائية والاستشارات.</w:t>
      </w:r>
    </w:p>
    <w:p>
      <w:pPr>
        <w:spacing w:after="100" w:line="288" w:lineRule="auto"/>
        <w:jc w:val="right"/>
      </w:pPr>
      <w:r>
        <w:rPr>
          <w:rFonts w:ascii="Arial" w:hAnsi="Arial"/>
          <w:b/>
          <w:i w:val="0"/>
          <w:color w:val="6B1D3A"/>
          <w:sz w:val="23"/>
        </w:rPr>
        <w:t>• الفجوة الثانية: تشدد لائحة المساعدات العلاجية:</w:t>
      </w:r>
    </w:p>
    <w:p>
      <w:pPr>
        <w:spacing w:after="100" w:line="288" w:lineRule="auto"/>
        <w:jc w:val="right"/>
      </w:pPr>
      <w:r>
        <w:rPr>
          <w:rFonts w:ascii="Arial" w:hAnsi="Arial"/>
          <w:b w:val="0"/>
          <w:i w:val="0"/>
          <w:color w:val="2D2D2D"/>
          <w:sz w:val="21"/>
        </w:rPr>
        <w:t>رفض ٦٦.٧٪ من الحالات المتقدمة (١٤ حالة) لانتهاء الإقامة أو نقص التقارير مما عطل صرف موازنة العلاج.</w:t>
      </w:r>
    </w:p>
    <w:p>
      <w:pPr>
        <w:spacing w:after="100" w:line="288" w:lineRule="auto"/>
        <w:jc w:val="right"/>
      </w:pPr>
      <w:r>
        <w:rPr>
          <w:rFonts w:ascii="Arial" w:hAnsi="Arial"/>
          <w:b/>
          <w:i w:val="0"/>
          <w:color w:val="6B1D3A"/>
          <w:sz w:val="23"/>
        </w:rPr>
        <w:t>• الفجوة الثالثة: تركز الإيرادات وضعف المنح:</w:t>
      </w:r>
    </w:p>
    <w:p>
      <w:pPr>
        <w:spacing w:after="100" w:line="288" w:lineRule="auto"/>
        <w:jc w:val="right"/>
      </w:pPr>
      <w:r>
        <w:rPr>
          <w:rFonts w:ascii="Arial" w:hAnsi="Arial"/>
          <w:b w:val="0"/>
          <w:i w:val="0"/>
          <w:color w:val="2D2D2D"/>
          <w:sz w:val="21"/>
        </w:rPr>
        <w:t>اعتماد الجمعية بنسبة ٤٣٪ على تبرع فردي واحد (٢٥٠ ألف ريال) وتدني نسبة نجاح طلبات المنح إلى ٧.٤٪.</w:t>
      </w:r>
    </w:p>
    <w:p>
      <w:pPr>
        <w:spacing w:after="100" w:line="288" w:lineRule="auto"/>
        <w:jc w:val="right"/>
      </w:pPr>
      <w:r>
        <w:rPr>
          <w:rFonts w:ascii="Arial" w:hAnsi="Arial"/>
          <w:b/>
          <w:i w:val="0"/>
          <w:color w:val="6B1D3A"/>
          <w:sz w:val="23"/>
        </w:rPr>
        <w:t>• الفجوة الرابعة: تراجع النشاط التطوعي:</w:t>
      </w:r>
    </w:p>
    <w:p>
      <w:pPr>
        <w:spacing w:after="100" w:line="288" w:lineRule="auto"/>
        <w:jc w:val="right"/>
      </w:pPr>
      <w:r>
        <w:rPr>
          <w:rFonts w:ascii="Arial" w:hAnsi="Arial"/>
          <w:b w:val="0"/>
          <w:i w:val="0"/>
          <w:color w:val="2D2D2D"/>
          <w:sz w:val="21"/>
        </w:rPr>
        <w:t>تنفيذ ٤ فرص تطوعية فقط دون توثيق للساعات مقابل مستهدف ٣,٠٠٠ ساعة بقيمة ٢٠٢.٥ ألف ريال.</w:t>
      </w:r>
    </w:p>
    <w:p>
      <w:pPr>
        <w:pStyle w:val="Heading2"/>
        <w:jc w:val="right"/>
      </w:pPr>
      <w:r>
        <w:rPr>
          <w:rFonts w:ascii="Arial" w:hAnsi="Arial"/>
          <w:b/>
          <w:color w:val="6B1D3A"/>
          <w:sz w:val="26"/>
        </w:rPr>
        <w:t>خارطة طريق التوصيات للنصف الثاني ٢٠٢٦م</w:t>
      </w:r>
    </w:p>
    <w:p>
      <w:pPr>
        <w:spacing w:after="100" w:line="288" w:lineRule="auto"/>
        <w:jc w:val="right"/>
      </w:pPr>
      <w:r>
        <w:rPr>
          <w:rFonts w:ascii="Arial" w:hAnsi="Arial"/>
          <w:b/>
          <w:i w:val="0"/>
          <w:color w:val="6B1D3A"/>
          <w:sz w:val="23"/>
        </w:rPr>
        <w:t>• ١. تعديل عاجل للائحة المساعدات:</w:t>
      </w:r>
    </w:p>
    <w:p>
      <w:pPr>
        <w:spacing w:after="100" w:line="288" w:lineRule="auto"/>
        <w:jc w:val="right"/>
      </w:pPr>
      <w:r>
        <w:rPr>
          <w:rFonts w:ascii="Arial" w:hAnsi="Arial"/>
          <w:b w:val="0"/>
          <w:i w:val="0"/>
          <w:color w:val="2D2D2D"/>
          <w:sz w:val="21"/>
        </w:rPr>
        <w:t>وضع استثناءات إنسانية لرفع نسبة القبول وصرف المتبقي من الموازنة (٥٤١ ألف ريال).</w:t>
      </w:r>
    </w:p>
    <w:p>
      <w:pPr>
        <w:spacing w:after="100" w:line="288" w:lineRule="auto"/>
        <w:jc w:val="right"/>
      </w:pPr>
      <w:r>
        <w:rPr>
          <w:rFonts w:ascii="Arial" w:hAnsi="Arial"/>
          <w:b/>
          <w:i w:val="0"/>
          <w:color w:val="6B1D3A"/>
          <w:sz w:val="23"/>
        </w:rPr>
        <w:t>• ٢. تشغيل برامج الاستشارات والفحوصات:</w:t>
      </w:r>
    </w:p>
    <w:p>
      <w:pPr>
        <w:spacing w:after="100" w:line="288" w:lineRule="auto"/>
        <w:jc w:val="right"/>
      </w:pPr>
      <w:r>
        <w:rPr>
          <w:rFonts w:ascii="Arial" w:hAnsi="Arial"/>
          <w:b w:val="0"/>
          <w:i w:val="0"/>
          <w:color w:val="2D2D2D"/>
          <w:sz w:val="21"/>
        </w:rPr>
        <w:t>إطلاق الاستشارات الهاتفية والقوافل الميدانية لخدمة آلاف المستفيدين بتكلفة منخفضة.</w:t>
      </w:r>
    </w:p>
    <w:p>
      <w:pPr>
        <w:spacing w:after="100" w:line="288" w:lineRule="auto"/>
        <w:jc w:val="right"/>
      </w:pPr>
      <w:r>
        <w:rPr>
          <w:rFonts w:ascii="Arial" w:hAnsi="Arial"/>
          <w:b/>
          <w:i w:val="0"/>
          <w:color w:val="6B1D3A"/>
          <w:sz w:val="23"/>
        </w:rPr>
        <w:t>• ٣. اعتماد موازنة الحوكمة ونوى:</w:t>
      </w:r>
    </w:p>
    <w:p>
      <w:pPr>
        <w:spacing w:after="100" w:line="288" w:lineRule="auto"/>
        <w:jc w:val="right"/>
      </w:pPr>
      <w:r>
        <w:rPr>
          <w:rFonts w:ascii="Arial" w:hAnsi="Arial"/>
          <w:b w:val="0"/>
          <w:i w:val="0"/>
          <w:color w:val="2D2D2D"/>
          <w:sz w:val="21"/>
        </w:rPr>
        <w:t>التعاقد مع الفريق الاستشاري (١٥-٢١ ألف ريال) لإنهاء متطلبات الامتثال وفتح المنح الكبرى.</w:t>
      </w:r>
    </w:p>
    <w:p>
      <w:pPr>
        <w:spacing w:after="100" w:line="288" w:lineRule="auto"/>
        <w:jc w:val="right"/>
      </w:pPr>
      <w:r>
        <w:rPr>
          <w:rFonts w:ascii="Arial" w:hAnsi="Arial"/>
          <w:b/>
          <w:i w:val="0"/>
          <w:color w:val="6B1D3A"/>
          <w:sz w:val="23"/>
        </w:rPr>
        <w:t>• ٤. إطلاق «بطاقة طبيبي» وتوحيد الخطة:</w:t>
      </w:r>
    </w:p>
    <w:p>
      <w:pPr>
        <w:spacing w:after="100" w:line="288" w:lineRule="auto"/>
        <w:jc w:val="right"/>
      </w:pPr>
      <w:r>
        <w:rPr>
          <w:rFonts w:ascii="Arial" w:hAnsi="Arial"/>
          <w:b w:val="0"/>
          <w:i w:val="0"/>
          <w:color w:val="2D2D2D"/>
          <w:sz w:val="21"/>
        </w:rPr>
        <w:t>استثمار شبكة المستشفيات لإصدار بطاقة مزايا صحية وتوحيد مستهدفات الخطة الاستراتيجية.</w:t>
      </w:r>
    </w:p>
    <w:sectPr w:rsidR="00FC693F" w:rsidRPr="0006063C" w:rsidSect="00034616"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