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CreditPulse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Sistema de Análisis de Riesgo Crediticio</w:t>
      </w:r>
    </w:p>
    <w:p>
      <w:pPr>
        <w:pBdr>
          <w:bottom w:val="single" w:color="3A5FCD" w:sz="12" w:space="8"/>
        </w:pBdr>
        <w:spacing w:after="500"/>
      </w:pPr>
      <w:r>
        <w:t xml:space="preserve"/>
      </w:r>
    </w:p>
    <w:p>
      <w:pPr>
        <w:spacing w:after="200" w:before="900"/>
        <w:jc w:val="center"/>
      </w:pPr>
      <w:r>
        <w:rPr>
          <w:rFonts w:ascii="Calibri" w:cs="Calibri" w:eastAsia="Calibri" w:hAnsi="Calibri"/>
          <w:b/>
          <w:bCs/>
          <w:color w:val="3A5FCD"/>
          <w:sz w:val="40"/>
          <w:szCs w:val="40"/>
        </w:rPr>
        <w:t xml:space="preserve">Viabilidad Operativa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Aceptación, curva de aprendizaje, alineación con el negocio y seguridad</w:t>
      </w:r>
    </w:p>
    <w:p>
      <w:pPr>
        <w:spacing w:before="1400"/>
        <w:jc w:val="center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Análisis de Sistemas II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Universidad Mariano Gálvez de Guatemala</w:t>
      </w:r>
    </w:p>
    <w:p>
      <w:pPr>
        <w:spacing w:before="6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Augusto Ardón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Septiembre 2026</w:t>
      </w:r>
    </w:p>
    <w:p>
      <w:r>
        <w:br w:type="page"/>
      </w:r>
    </w:p>
    <w:p>
      <w:pPr>
        <w:pStyle w:val="Heading1"/>
        <w:pBdr>
          <w:bottom w:val="single" w:color="3A5FCD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1. Definición del problema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análisis de solicitudes de crédito de forma manual obliga a un analista a revisar, expediente por expediente, el historial crediticio, el nivel de endeudamiento, los ingresos y el historial de moras de cada solicitante, aplicando de memoria los criterios de aprobación de la institución. Este proceso es lento, propenso a inconsistencias entre analistas distintos y difícil de escalar cuando hay que evaluar a muchos solicitantes en poco tiempo (por ejemplo, una campaña de precalificación). CreditPulse automatiza la consulta y evaluación de estos datos, reduciendo el tiempo de análisis de un solicitante a segundos y aplicando siempre el mismo criterio configurado para el producto correspondiente.</w:t>
      </w:r>
    </w:p>
    <w:p>
      <w:pPr>
        <w:pStyle w:val="Heading1"/>
        <w:pBdr>
          <w:bottom w:val="single" w:color="3A5FCD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2. Aceptación del sistema</w:t>
      </w:r>
    </w:p>
    <w:p>Para los analistas de crédito: el sistema es bien recibido porque libera la carga operativa de recopilar y comparar manualmente los datos del solicitante — el analista pasa de "recolector de datos" a revisor del resultado, con la libertad de enfocarse en los casos que el semáforo marca como Amarillo (revisión) en vez de repetir el mismo cálculo en cada solicitud.</w:p>
    <w:p>Para administradores: la aceptación es alta porque el motor de políticas configurable estandariza los criterios de aprobación entre todos los analistas — ya no depende de quién evalúe, sino de las políticas activas para ese producto —, y porque el panel de administración permite ajustar esos criterios sin depender de un cambio de código ni de intervención técnica.</w:p>
    <w:p>
      <w:pPr>
        <w:pStyle w:val="Heading1"/>
        <w:pBdr>
          <w:bottom w:val="single" w:color="3A5FCD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3. Curva de aprendizaje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Se proyecta una curva de aprendizaje mínima. El motor de CreditPulse realiza todo el trabajo pesado en el backend (consulta a la SIB, cálculo del semáforo por política); la interfaz se diseñó bajo el principio de simplicidad, con formularios que solo piden los campos que el producto elegido realmente necesita. Un analista solo necesita capacitarse en: completar el formulario de evaluación (o preparar el Excel de carga masiva con la plantilla provista), y leer el resultado (semáforo general y detalle por política). Ambos flujos se cubren en detalle en el Manual de Usuario.</w:t>
      </w:r>
    </w:p>
    <w:p>
      <w:pPr>
        <w:pStyle w:val="Heading1"/>
        <w:pBdr>
          <w:bottom w:val="single" w:color="3A5FCD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4. Alineación con el negocio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CreditPulse está alineado con el objetivo de agilizar la colocación de crédito sin sacrificar el control de riesgo: al reducir el tiempo de evaluación de minutos u horas a segundos, un analista puede atender más solicitudes en la misma jornada sin que eso implique contratar más personal, y la evaluación por lotes permite procesar campañas de precalificación de cientos o miles de clientes potenciales de una sola vez. La estandarización de criterios (motor de políticas configurable) también mejora la transparencia frente a auditorías internas, porque cada resultado queda respaldado por el detalle de qué política lo produjo y por qué.</w:t>
      </w:r>
    </w:p>
    <w:p>
      <w:pPr>
        <w:pStyle w:val="Heading1"/>
        <w:pBdr>
          <w:bottom w:val="single" w:color="3A5FCD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5. Cumplimiento operativo y seguridad de la información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Operativamente, el sistema incorpora varias prácticas de seguridad de la información desde su diseño inicial: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Contraseñas con hash irreversible (PBKDF2-HMAC-SHA256 con salt por usuario), en vez de una encriptación simétrica reversible: ni siquiera un administrador con acceso a la base de datos puede recuperar la contraseña original de un usuario, lo cual es la práctica estándar de la industria para credenciales.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Control de sesión con expiración por inactividad y bloqueo de la cuenta tras varios intentos fallidos de inicio de sesión consecutivos.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Restricción de pantallas completas según el rol y los permisos del usuario autenticado, con redirección a una pantalla de Acceso Denegado ante cualquier intento de acceso directo por URL a una pantalla no autorizada.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Autenticación por llave (X-Api-Key) para las tres APIs de integración, de forma que solo sistemas autorizados del ecosistema bancario puedan solicitar evaluaciones o consultar datos de CreditPulse.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Próxima iteración de seguridad: </w:t>
      </w:r>
      <w:r>
        <w:rPr>
          <w:rFonts w:ascii="Calibri" w:cs="Calibri" w:eastAsia="Calibri" w:hAnsi="Calibri"/>
          <w:sz w:val="21"/>
          <w:szCs w:val="21"/>
        </w:rPr>
        <w:t xml:space="preserve">el cifrado a nivel de columna de los identificadores NIT y DPI en las tablas maestras (por ejemplo, mediante Always Encrypted o cifrado de columna de SQL Server) queda documentado como el siguiente paso natural de este módulo de seguridad, junto con una auditoría más detallada de cambios de estado por evaluación — ambos se pueden incorporar sin alterar el resto de la arquitectura del sistema, y se documentan aquí para que queden explícitamente contemplados en la hoja de ruta del proyecto.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Página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6"/>
        <w:szCs w:val="16"/>
      </w:rPr>
      <w:t xml:space="preserve"> de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3A5F"/>
        <w:sz w:val="16"/>
        <w:szCs w:val="16"/>
      </w:rPr>
      <w:t xml:space="preserve">CreditPulse</w:t>
    </w: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	Viabilidad Operativa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2026-09-27T05:29:09.211Z</dcterms:created>
  <dcterms:modified xsi:type="dcterms:W3CDTF">2026-09-27T05:29:09.211Z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