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3A5F"/>
          <w:sz w:val="64"/>
          <w:szCs w:val="64"/>
        </w:rPr>
        <w:t xml:space="preserve">CreditPulse</w:t>
      </w:r>
    </w:p>
    <w:p>
      <w:pPr>
        <w:spacing w:after="100" w:before="200"/>
        <w:jc w:val="center"/>
      </w:pPr>
      <w:r>
        <w:rPr>
          <w:rFonts w:ascii="Calibri" w:cs="Calibri" w:eastAsia="Calibri" w:hAnsi="Calibri"/>
          <w:i/>
          <w:iCs/>
          <w:color w:val="555555"/>
          <w:sz w:val="26"/>
          <w:szCs w:val="26"/>
        </w:rPr>
        <w:t xml:space="preserve">Sistema de Análisis de Riesgo Crediticio</w:t>
      </w:r>
    </w:p>
    <w:p>
      <w:pPr>
        <w:pBdr>
          <w:bottom w:val="single" w:color="3A5FCD" w:sz="12" w:space="8"/>
        </w:pBdr>
        <w:spacing w:after="500"/>
      </w:pPr>
      <w:r>
        <w:t xml:space="preserve"/>
      </w:r>
    </w:p>
    <w:p>
      <w:pPr>
        <w:spacing w:after="200" w:before="900"/>
        <w:jc w:val="center"/>
      </w:pPr>
      <w:r>
        <w:rPr>
          <w:rFonts w:ascii="Calibri" w:cs="Calibri" w:eastAsia="Calibri" w:hAnsi="Calibri"/>
          <w:b/>
          <w:bCs/>
          <w:color w:val="3A5FCD"/>
          <w:sz w:val="40"/>
          <w:szCs w:val="40"/>
        </w:rPr>
        <w:t xml:space="preserve">Documentación de la Base de Datos</w:t>
      </w:r>
    </w:p>
    <w:p>
      <w:pPr>
        <w:spacing w:after="70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Diagrama entidad-relación, diccionario de datos y plan de respaldo</w:t>
      </w:r>
    </w:p>
    <w:p>
      <w:pPr>
        <w:spacing w:before="1400"/>
        <w:jc w:val="center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Análisis de Sistemas II</w:t>
      </w:r>
    </w:p>
    <w:p>
      <w:pPr>
        <w:spacing w:before="1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Universidad Mariano Gálvez de Guatemala</w:t>
      </w:r>
    </w:p>
    <w:p>
      <w:pPr>
        <w:spacing w:before="6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Augusto Ardón</w:t>
      </w:r>
    </w:p>
    <w:p>
      <w:pPr>
        <w:spacing w:before="1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Septiembre 2026</w:t>
      </w:r>
    </w:p>
    <w:p>
      <w:r>
        <w:br w:type="page"/>
      </w:r>
    </w:p>
    <w:p>
      <w:pPr>
        <w:pStyle w:val="Heading1"/>
        <w:pBdr>
          <w:bottom w:val="single" w:color="3A5FCD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1. Motor y alcance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CreditPulse utiliza Microsoft SQL Server como motor de base de datos: SQL Server Express 2022 en el entorno de desarrollo local y una base de datos SQL Server administrada por el proveedor de hosting en el entorno publicado. Todo el acceso a datos se realiza exclusivamente a través de procedimientos almacenados (nunca SQL dinámico embebido en la aplicación), lo cual centraliza la lógica de acceso a datos, facilita la auditoría de qué operaciones existen sobre cada tabla, y evita inyección SQL por construcción.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La base de datos se llama CreditPulseDB y se construye de forma incremental mediante 11 scripts numerados (carpeta Database/), cada uno responsable de un grupo de funcionalidad: creación de la base, tablas núcleo, procedimientos almacenados, datos semilla, evaluaciones batch, administración de catálogo, roles, usuarios y roles administrables, batch asíncrono, la política RCI Bancario y las cuentas de servicio para las APIs de integración.</w:t>
      </w:r>
    </w:p>
    <w:p>
      <w:pPr>
        <w:pStyle w:val="Heading1"/>
        <w:pBdr>
          <w:bottom w:val="single" w:color="3A5FCD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2. Diagrama Entidad-Relación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El siguiente diagrama muestra las ocho tablas del modelo de datos y sus relaciones. Las llaves primarias se marcan con «PK» y las llaves foráneas con «FK» (las que además aceptan NULL se marcan «FK, NULL»).</w:t>
      </w:r>
    </w:p>
    <w:p>
      <w:pPr>
        <w:spacing w:after="200" w:before="200"/>
        <w:jc w:val="center"/>
      </w:pPr>
      <w:r>
        <w:drawing>
          <wp:inline distT="0" distB="0" distL="0" distR="0">
            <wp:extent cx="5334000" cy="666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1. Diagrama entidad-relación de CreditPulseDB.</w:t>
      </w:r>
    </w:p>
    <w:p>
      <w:r>
        <w:br w:type="page"/>
      </w:r>
    </w:p>
    <w:p>
      <w:pPr>
        <w:pStyle w:val="Heading1"/>
        <w:pBdr>
          <w:bottom w:val="single" w:color="3A5FCD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3. Diccionario de Datos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 continuación se documenta cada tabla con el detalle de sus columnas, tipo de dato, si acepta nulos y su rol como llave.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A5FCD"/>
          <w:sz w:val="26"/>
          <w:szCs w:val="26"/>
        </w:rPr>
        <w:t xml:space="preserve">3.1 Roles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Catálogo de roles del sistema. Desde la Fase de Usuarios/Roles, el acceso funcional de cada rol se determina por tres banderas de permiso, no por el nombre del rol — esto permite crear roles nuevos desde el panel de administración con acceso real e inmediato a las pantallas correspondientes.</w:t>
      </w:r>
    </w:p>
    <w:tbl>
      <w:tblPr>
        <w:tblW w:type="dxa" w:w="10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900"/>
        <w:gridCol w:w="1400"/>
        <w:gridCol w:w="700"/>
        <w:gridCol w:w="1300"/>
        <w:gridCol w:w="4700"/>
      </w:tblGrid>
      <w:tr>
        <w:tc>
          <w:tcPr>
            <w:tcW w:type="dxa" w:w="19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4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7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Nulo</w:t>
            </w:r>
          </w:p>
        </w:tc>
        <w:tc>
          <w:tcPr>
            <w:tcW w:type="dxa" w:w="13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Clave</w:t>
            </w:r>
          </w:p>
        </w:tc>
        <w:tc>
          <w:tcPr>
            <w:tcW w:type="dxa" w:w="47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RolId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 IDENTITY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PK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Identificador autonumérico del rol.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Nombre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NVARCHAR(50)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UQ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Nombre visible del rol (único). Ej.: 'Administrador'.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NVARCHAR(200)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Sí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Descripción libre del propósito del rol.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PuedeEvaluar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BIT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Permite crear evaluaciones individuales y cargas batch.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PuedeAdministrarCatalogo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BIT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Permite administrar productos y políticas.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PuedeAdministrarUsuarios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BIT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Permite administrar usuarios y roles.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Activo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BIT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Si es 0, el rol no puede asignarse a usuarios nuevos.</w:t>
            </w:r>
          </w:p>
        </w:tc>
      </w:tr>
    </w:tbl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A5FCD"/>
          <w:sz w:val="26"/>
          <w:szCs w:val="26"/>
        </w:rPr>
        <w:t xml:space="preserve">3.2 Usuarios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Cuentas que inician sesión en el sistema (analistas, administradores y la cuenta de servicio usada por las APIs de integración).</w:t>
      </w:r>
    </w:p>
    <w:tbl>
      <w:tblPr>
        <w:tblW w:type="dxa" w:w="10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900"/>
        <w:gridCol w:w="1400"/>
        <w:gridCol w:w="700"/>
        <w:gridCol w:w="1300"/>
        <w:gridCol w:w="4700"/>
      </w:tblGrid>
      <w:tr>
        <w:tc>
          <w:tcPr>
            <w:tcW w:type="dxa" w:w="19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4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7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Nulo</w:t>
            </w:r>
          </w:p>
        </w:tc>
        <w:tc>
          <w:tcPr>
            <w:tcW w:type="dxa" w:w="13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Clave</w:t>
            </w:r>
          </w:p>
        </w:tc>
        <w:tc>
          <w:tcPr>
            <w:tcW w:type="dxa" w:w="47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UsuarioId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 IDENTITY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PK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Identificador autonumérico del usuario.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Email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NVARCHAR(150)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UQ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Correo electrónico; funciona como nombre de usuario para iniciar sesión.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PasswordHash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NVARCHAR(200)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Hash PBKDF2-HMAC-SHA256 (Base64) de la contraseña. Nunca se guarda en texto plano ni cifrada de forma reversible.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PasswordSalt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NVARCHAR(200)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Salt aleatorio único por usuario (Base64), usado al calcular el hash.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NombreCompleto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NVARCHAR(200)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Nombre completo mostrado en la interfaz.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RolId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FK → Roles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Rol asignado al usuario.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Activo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BIT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Si es 0, el usuario no puede iniciar sesión.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IntentosFallidos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Contador de intentos de login fallidos consecutivos, para el bloqueo de cuenta.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FechaCreacion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DATETIME2(0)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Fecha de alta del usuario (UTC).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UltimoLogin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DATETIME2(0)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Sí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Fecha del último inicio de sesión exitoso.</w:t>
            </w:r>
          </w:p>
        </w:tc>
      </w:tr>
    </w:tbl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A5FCD"/>
          <w:sz w:val="26"/>
          <w:szCs w:val="26"/>
        </w:rPr>
        <w:t xml:space="preserve">3.3 Productos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Catálogo de productos de crédito evaluables (ej. Tarjeta de Crédito Clásica, Préstamo Hipotecario), más el producto especial 'General' usado por la carga masiva.</w:t>
      </w:r>
    </w:p>
    <w:tbl>
      <w:tblPr>
        <w:tblW w:type="dxa" w:w="10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900"/>
        <w:gridCol w:w="1400"/>
        <w:gridCol w:w="700"/>
        <w:gridCol w:w="1300"/>
        <w:gridCol w:w="4700"/>
      </w:tblGrid>
      <w:tr>
        <w:tc>
          <w:tcPr>
            <w:tcW w:type="dxa" w:w="19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4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7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Nulo</w:t>
            </w:r>
          </w:p>
        </w:tc>
        <w:tc>
          <w:tcPr>
            <w:tcW w:type="dxa" w:w="13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Clave</w:t>
            </w:r>
          </w:p>
        </w:tc>
        <w:tc>
          <w:tcPr>
            <w:tcW w:type="dxa" w:w="47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ProductoId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 IDENTITY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PK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Identificador autonumérico del producto.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Codigo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NVARCHAR(30)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UQ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Código corto único del producto (ej. TARJETA_CREDITO, GENERAL).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Nombre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NVARCHAR(150)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Nombre visible del producto.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NVARCHAR(400)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Sí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Descripción libre del producto.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RequiereIngresos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BIT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Si el formulario de Nueva Evaluación debe pedir ingresos mensuales.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RequiereTipoEmpleo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BIT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Si el formulario debe pedir tipo de empleo.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RequiereAntiguedadLaboral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BIT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Si el formulario debe pedir antigüedad laboral en meses.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Activo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BIT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Un producto inactivo deja de evaluarse pero conserva su historial.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FechaCreacion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DATETIME2(0)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Fecha de alta del producto (UTC).</w:t>
            </w:r>
          </w:p>
        </w:tc>
      </w:tr>
    </w:tbl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A5FCD"/>
          <w:sz w:val="26"/>
          <w:szCs w:val="26"/>
        </w:rPr>
        <w:t xml:space="preserve">3.4 Politicas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Reglas de negocio configurables que el motor de políticas (PolicyEngine) interpreta para cada producto. Agregar o ajustar una política es una operación de datos, no un cambio de código.</w:t>
      </w:r>
    </w:p>
    <w:tbl>
      <w:tblPr>
        <w:tblW w:type="dxa" w:w="10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900"/>
        <w:gridCol w:w="1400"/>
        <w:gridCol w:w="700"/>
        <w:gridCol w:w="1300"/>
        <w:gridCol w:w="4700"/>
      </w:tblGrid>
      <w:tr>
        <w:tc>
          <w:tcPr>
            <w:tcW w:type="dxa" w:w="19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4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7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Nulo</w:t>
            </w:r>
          </w:p>
        </w:tc>
        <w:tc>
          <w:tcPr>
            <w:tcW w:type="dxa" w:w="13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Clave</w:t>
            </w:r>
          </w:p>
        </w:tc>
        <w:tc>
          <w:tcPr>
            <w:tcW w:type="dxa" w:w="47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PoliticaId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 IDENTITY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PK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Identificador autonumérico de la política.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ProductoId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FK → Productos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Producto al que pertenece la política.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Codigo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NVARCHAR(40)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UQ (con ProductoId)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Código corto de la política dentro de su producto.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Nombre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NVARCHAR(150)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Nombre visible de la política (ej. 'Score de Buró de Crédito').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NVARCHAR(400)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Sí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Descripción libre de la regla.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TipoRegla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NVARCHAR(50)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Identifica el algoritmo del PolicyEngine que evalúa esta política (ej. SCORE_BURO_MINIMO, RCI_BANCARIO).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ParametrosJson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NVARCHAR(500)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Umbrales de la regla en formato JSON (ej. {"verde":650,"amarillo":580}).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Orden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Orden de evaluación y de presentación en el reporte.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Activo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BIT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Una política inactiva deja de evaluarse pero conserva su historial.</w:t>
            </w:r>
          </w:p>
        </w:tc>
      </w:tr>
    </w:tbl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A5FCD"/>
          <w:sz w:val="26"/>
          <w:szCs w:val="26"/>
        </w:rPr>
        <w:t xml:space="preserve">3.5 Evaluaciones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Encabezado de cada evaluación crediticia realizada, ya sea individual, generada dentro de un lote, o creada a través de la API de integración.</w:t>
      </w:r>
    </w:p>
    <w:tbl>
      <w:tblPr>
        <w:tblW w:type="dxa" w:w="10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900"/>
        <w:gridCol w:w="1400"/>
        <w:gridCol w:w="700"/>
        <w:gridCol w:w="1300"/>
        <w:gridCol w:w="4700"/>
      </w:tblGrid>
      <w:tr>
        <w:tc>
          <w:tcPr>
            <w:tcW w:type="dxa" w:w="19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4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7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Nulo</w:t>
            </w:r>
          </w:p>
        </w:tc>
        <w:tc>
          <w:tcPr>
            <w:tcW w:type="dxa" w:w="13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Clave</w:t>
            </w:r>
          </w:p>
        </w:tc>
        <w:tc>
          <w:tcPr>
            <w:tcW w:type="dxa" w:w="47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EvaluacionId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 IDENTITY(100001,1)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PK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Número de evaluación (inicia en 100001 para calzar con el formato mostrado en pantalla).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ProductoId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FK → Productos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Producto evaluado.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UsuarioId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FK → Usuarios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Usuario que generó la evaluación (incluye la cuenta de servicio de las APIs).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PrimerNombre / SegundoNombre / PrimerApellido / SegundoApellido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NVARCHAR(100)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Parcial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Datos del solicitante (segundo nombre y segundo apellido son opcionales).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Nit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NVARCHAR(20)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Número de identificación tributaria del solicitante.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Dpi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NVARCHAR(20)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Índice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Documento personal de identificación del solicitante.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FechaNacimiento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Fecha de nacimiento, usada para las políticas de edad.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IngresosMensuales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DECIMAL(12,2)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Sí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Ingreso mensual declarado (nulo si el producto no lo requiere, ej. General).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TipoEmpleo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NVARCHAR(150)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Sí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Tipo de empleo declarado (si el producto lo requiere).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AntiguedadLaboralMeses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Sí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Antigüedad laboral en meses (si el producto lo requiere).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ResultadoGeneral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NVARCHAR(10)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CHECK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VERDE, AMARILLO o ROJO — el peor color entre todas las políticas evaluadas.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Estado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NVARCHAR(30)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Estado del registro (por defecto 'Evaluada').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SibRawXml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XML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Sí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XML crudo devuelto por la SIB (o su simulador) al momento de la evaluación.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SibScoreBuro / SibNivelEndeudamiento / SibEnListaNegra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 / DECIMAL(5,2) / BIT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Sí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Copia plana de los datos SIB más consultados, para reportes rápidos sin parsear el XML.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FechaCreacion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DATETIME2(0)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Índice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Fecha de la evaluación (UTC).</w:t>
            </w:r>
          </w:p>
        </w:tc>
      </w:tr>
    </w:tbl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A5FCD"/>
          <w:sz w:val="26"/>
          <w:szCs w:val="26"/>
        </w:rPr>
        <w:t xml:space="preserve">3.6 EvaluacionPoliticas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Detalle: el resultado de cada política individual dentro de una evaluación.</w:t>
      </w:r>
    </w:p>
    <w:tbl>
      <w:tblPr>
        <w:tblW w:type="dxa" w:w="10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900"/>
        <w:gridCol w:w="1400"/>
        <w:gridCol w:w="700"/>
        <w:gridCol w:w="1300"/>
        <w:gridCol w:w="4700"/>
      </w:tblGrid>
      <w:tr>
        <w:tc>
          <w:tcPr>
            <w:tcW w:type="dxa" w:w="19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4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7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Nulo</w:t>
            </w:r>
          </w:p>
        </w:tc>
        <w:tc>
          <w:tcPr>
            <w:tcW w:type="dxa" w:w="13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Clave</w:t>
            </w:r>
          </w:p>
        </w:tc>
        <w:tc>
          <w:tcPr>
            <w:tcW w:type="dxa" w:w="47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EvaluacionPoliticaId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 IDENTITY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PK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Identificador autonumérico del detalle.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EvaluacionId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FK → Evaluaciones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Evaluación a la que pertenece este resultado.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PoliticaId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Sí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FK → Politicas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Política evaluada. Queda NULL si la política se elimina del catálogo después de haberse usado.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NombrePolitica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NVARCHAR(150)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Copia ('foto') del nombre de la política al momento de evaluar, para que el historial no cambie si la política se renombra o se elimina después.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Resultado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NVARCHAR(10)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CHECK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VERDE, AMARILLO o ROJO para esta política en particular.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Detalle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NVARCHAR(400)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Sí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Explicación legible del resultado (ej. 'Score de 605 está en el rango Amarillo').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Orden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Orden de presentación en el reporte.</w:t>
            </w:r>
          </w:p>
        </w:tc>
      </w:tr>
    </w:tbl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A5FCD"/>
          <w:sz w:val="26"/>
          <w:szCs w:val="26"/>
        </w:rPr>
        <w:t xml:space="preserve">3.7 Lotes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Encabezado de cada carga masiva (batch) de evaluaciones vía Excel.</w:t>
      </w:r>
    </w:p>
    <w:tbl>
      <w:tblPr>
        <w:tblW w:type="dxa" w:w="10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900"/>
        <w:gridCol w:w="1400"/>
        <w:gridCol w:w="700"/>
        <w:gridCol w:w="1300"/>
        <w:gridCol w:w="4700"/>
      </w:tblGrid>
      <w:tr>
        <w:tc>
          <w:tcPr>
            <w:tcW w:type="dxa" w:w="19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4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7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Nulo</w:t>
            </w:r>
          </w:p>
        </w:tc>
        <w:tc>
          <w:tcPr>
            <w:tcW w:type="dxa" w:w="13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Clave</w:t>
            </w:r>
          </w:p>
        </w:tc>
        <w:tc>
          <w:tcPr>
            <w:tcW w:type="dxa" w:w="47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LoteId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 IDENTITY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PK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Identificador autonumérico del lote.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NombreArchivo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NVARCHAR(255)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Nombre del archivo Excel subido.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UsuarioId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FK → Usuarios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Usuario que subió el lote.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TotalRegistros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Total de filas del Excel.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TotalProcesados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Filas ya procesadas (usado para la barra de progreso mientras el lote está 'Procesando').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TotalVerde / TotalAmarillo / TotalRojo / TotalErrores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Contadores acumulados por resultado.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Estado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NVARCHAR(20)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CHECK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'Procesando', 'Completado' o 'Error'.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MensajeError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NVARCHAR(400)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Sí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Motivo si el lote terminó en estado 'Error'.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FechaCreacion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DATETIME2(0)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Índice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Fecha de creación del lote (UTC).</w:t>
            </w:r>
          </w:p>
        </w:tc>
      </w:tr>
    </w:tbl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A5FCD"/>
          <w:sz w:val="26"/>
          <w:szCs w:val="26"/>
        </w:rPr>
        <w:t xml:space="preserve">3.8 LoteEvaluaciones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Detalle: una fila del Excel corresponde a un registro aquí, exista o no una evaluación asociada.</w:t>
      </w:r>
    </w:p>
    <w:tbl>
      <w:tblPr>
        <w:tblW w:type="dxa" w:w="10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900"/>
        <w:gridCol w:w="1400"/>
        <w:gridCol w:w="700"/>
        <w:gridCol w:w="1300"/>
        <w:gridCol w:w="4700"/>
      </w:tblGrid>
      <w:tr>
        <w:tc>
          <w:tcPr>
            <w:tcW w:type="dxa" w:w="19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4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7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Nulo</w:t>
            </w:r>
          </w:p>
        </w:tc>
        <w:tc>
          <w:tcPr>
            <w:tcW w:type="dxa" w:w="13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Clave</w:t>
            </w:r>
          </w:p>
        </w:tc>
        <w:tc>
          <w:tcPr>
            <w:tcW w:type="dxa" w:w="47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LoteEvaluacionId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 IDENTITY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PK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Identificador autonumérico de la fila.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LoteId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FK → Lotes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Lote al que pertenece la fila.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EvaluacionId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Sí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FK → Evaluaciones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Evaluación generada por esta fila. NULL si la fila falló validación antes de poder evaluarse.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FilaExcel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Número de fila dentro del archivo Excel original, para poder ubicarla.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NombreCompletoOriginal / NitOriginal / DpiOriginal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NVARCHAR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Sí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Copia de los datos tal como venían en el Excel (útil incluso cuando la fila falló).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Estado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NVARCHAR(20)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CHECK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'Evaluado' o 'Error'.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MensajeError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NVARCHAR(400)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Sí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Motivo del error si el Estado es 'Error' (ej. 'DPI vacío', 'Fecha de nacimiento ilegible').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A5FCD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4. Procedimientos almacenados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Todo acceso a datos pasa por procedimientos almacenados, agrupados por área funcional: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Autenticación y usuarios: sp_Usuarios_ObtenerPorEmail, sp_Usuarios_ObtenerTodosAdmin, sp_Usuarios_ObtenerPorIdAdmin, sp_Usuarios_Crear, sp_Usuarios_Actualizar, sp_Usuarios_ActualizarPassword, sp_Usuarios_CambiarEstado.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Roles y permisos: sp_Roles_ObtenerTodosAdmin, sp_Roles_ObtenerActivos, sp_Roles_ObtenerPorIdAdmin, sp_Roles_Crear, sp_Roles_Actualizar, sp_Roles_ContarUsuariosActivos.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Catálogo (productos y políticas): procedimientos CRUD equivalentes definidos en 03_StoredProcedures.sql y 06_Administracion.sql, más sp_Productos_ObtenerPorCodigo para la carga batch.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Evaluaciones: inserción del encabezado y su detalle de políticas, y las consultas usadas por Resultado.aspx y por las APIs de integración.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Lotes y evaluaciones batch: sp_Lotes_CrearPendiente, sp_Lotes_ActualizarProgreso, sp_Lotes_CambiarEstado, sp_Lotes_ObtenerPorId, sp_Lotes_ObtenerRecientes, sp_LoteEvaluaciones_ObtenerPorLote, además de las inserciones masivas descritas abajo.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A5FCD"/>
          <w:sz w:val="26"/>
          <w:szCs w:val="26"/>
        </w:rPr>
        <w:t xml:space="preserve">4.1 Inserciones masivas con parámetros de tabla (TVP)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Para que la carga de lotes grandes no dependa de un INSERT por fila, se definieron dos tipos de tabla (Table-Valued Parameters) y sus procedimientos: EvaluacionPoliticaTVP con sp_EvaluacionPoliticas_InsertarLote, y LoteEvaluacionTVP con sp_LoteEvaluaciones_InsertarLote. Ambos permiten enviar un bloque completo de filas en una sola llamada a la base de datos, reduciendo drásticamente el número de viajes de ida y vuelta durante el procesamiento en segundo plano de un lote.</w:t>
      </w:r>
    </w:p>
    <w:p>
      <w:pPr>
        <w:pStyle w:val="Heading1"/>
        <w:pBdr>
          <w:bottom w:val="single" w:color="3A5FCD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5. Plan de respaldo y mantenimiento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A5FCD"/>
          <w:sz w:val="26"/>
          <w:szCs w:val="26"/>
        </w:rPr>
        <w:t xml:space="preserve">5.1 Respaldo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Dado que el entorno publicado corre sobre un plan de hosting gratuito con cuota de almacenamiento limitada (30 MB), el plan de respaldo se apoya en dos mecanismos complementarios: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Respaldo del esquema y los scripts: los 11 scripts de Database/ son, en sí mismos, la fuente de verdad reproducible de la estructura completa (tablas, procedimientos almacenados, tipos de tabla y datos semilla). Están versionados junto con el resto del código fuente, así que la base de datos siempre puede reconstruirse desde cero ejecutándolos en orden.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Respaldo de datos: mediante SQL Server Management Studio o Azure Data Studio, conectado a la instancia (local o del proveedor de hosting), se puede generar un respaldo lógico exportando los datos con la utilidad 'Generate Scripts' (script de datos) o un backup completo (.bak) cuando el motor y el plan de hosting lo permiten. Se recomienda tomar este respaldo antes de cualquier carga masiva grande y al cierre de cada periodo de pruebas del curso.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A5FCD"/>
          <w:sz w:val="26"/>
          <w:szCs w:val="26"/>
        </w:rPr>
        <w:t xml:space="preserve">5.2 Mantenimiento y control de espacio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La cuota reducida del entorno de hosting hace necesario un mantenimiento activo del espacio en disco, especialmente después de pruebas de carga masiva. Se documentan dos prácticas: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Script de limpieza de datos de prueba (Database/Utilidades/LimpiarDatosEvaluaciones.sql): elimina el contenido de LoteEvaluaciones, EvaluacionPoliticas, Evaluaciones y Lotes, respetando el orden de llaves foráneas, sin tocar Usuarios, Roles, Productos ni Politicas. Incluye el reinicio opcional de los contadores IDENTITY y una llamada a DBCC SHRINKDATABASE para compactar el archivo físico después del borrado (un DELETE libera espacio para reutilización interna, pero no reduce el tamaño del archivo en disco por sí solo).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Recomendación operativa: probar lotes grandes (varios miles de filas) únicamente contra la instancia local de SQL Server Express durante el desarrollo, y reservar el entorno publicado para lotes de tamaño moderado, acordes a su cuota.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A5FCD"/>
          <w:sz w:val="26"/>
          <w:szCs w:val="26"/>
        </w:rPr>
        <w:t xml:space="preserve">5.3 Índices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Se definieron índices no agrupados sobre las columnas más consultadas fuera de las llaves primarias: Evaluaciones.Dpi (búsqueda de un cliente por documento), Evaluaciones.FechaCreacion descendente (listados recientes del dashboard), EvaluacionPoliticas.EvaluacionId (carga del detalle de una evaluación), Lotes.FechaCreacion descendente (listado de cargas recientes) y LoteEvaluaciones.LoteId (carga del detalle de un lote).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6"/>
        <w:szCs w:val="16"/>
      </w:rPr>
      <w:t xml:space="preserve">Página </w:t>
    </w:r>
    <w:r>
      <w:rPr>
        <w:rFonts w:ascii="Calibri" w:cs="Calibri" w:eastAsia="Calibri" w:hAnsi="Calibri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6"/>
        <w:szCs w:val="16"/>
      </w:rPr>
      <w:t xml:space="preserve"> de </w:t>
    </w:r>
    <w:r>
      <w:rPr>
        <w:rFonts w:ascii="Calibri" w:cs="Calibri" w:eastAsia="Calibri" w:hAnsi="Calibri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1F3A5F"/>
        <w:sz w:val="16"/>
        <w:szCs w:val="16"/>
      </w:rPr>
      <w:t xml:space="preserve">CreditPulse</w:t>
    </w:r>
    <w:r>
      <w:rPr>
        <w:rFonts w:ascii="Calibri" w:cs="Calibri" w:eastAsia="Calibri" w:hAnsi="Calibri"/>
        <w:i/>
        <w:iCs/>
        <w:color w:val="555555"/>
        <w:sz w:val="16"/>
        <w:szCs w:val="16"/>
      </w:rPr>
      <w:t xml:space="preserve">	Documentación de la Base de Datos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6da3c87c6d22b29d9a30b89ad244600c99ef57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2026-09-27T05:25:40.802Z</dcterms:created>
  <dcterms:modified xsi:type="dcterms:W3CDTF">2026-09-27T05:25:40.802Z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