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3D46F5"/>
          <w:sz w:val="64"/>
          <w:szCs w:val="64"/>
        </w:rPr>
        <w:t xml:space="preserve">EKIP</w:t>
      </w:r>
    </w:p>
    <w:p>
      <w:pPr>
        <w:spacing w:after="100" w:before="200"/>
        <w:jc w:val="center"/>
      </w:pPr>
      <w:r>
        <w:rPr>
          <w:color w:val="5B5B63"/>
          <w:sz w:val="28"/>
          <w:szCs w:val="28"/>
        </w:rPr>
        <w:t xml:space="preserve">Enterprise Knowledge Intelligence Platform</w:t>
      </w:r>
    </w:p>
    <w:p>
      <w:pPr>
        <w:spacing w:before="400"/>
        <w:jc w:val="center"/>
      </w:pPr>
      <w:r>
        <w:rPr>
          <w:b/>
          <w:bCs/>
          <w:sz w:val="40"/>
          <w:szCs w:val="40"/>
        </w:rPr>
        <w:t xml:space="preserve">Deployment Guide</w:t>
      </w:r>
    </w:p>
    <w:p>
      <w:pPr>
        <w:spacing w:before="120"/>
        <w:jc w:val="center"/>
      </w:pPr>
      <w:r>
        <w:rPr>
          <w:color w:val="5B5B63"/>
          <w:sz w:val="22"/>
          <w:szCs w:val="22"/>
        </w:rPr>
        <w:t xml:space="preserve">From local development to a production launch</w:t>
      </w:r>
    </w:p>
    <w:p>
      <w:pPr>
        <w:spacing w:before="800"/>
        <w:jc w:val="center"/>
      </w:pPr>
      <w:r>
        <w:rPr>
          <w:color w:val="5B5B63"/>
          <w:sz w:val="20"/>
          <w:szCs w:val="20"/>
        </w:rPr>
        <w:t xml:space="preserve">Version 1.0 · July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Deployment Topology</w:t>
      </w:r>
    </w:p>
    <w:p>
      <w:pPr>
        <w:spacing w:after="160"/>
      </w:pPr>
      <w:r>
        <w:t xml:space="preserve">EKIP is a two-tier application plus one background worker, sitting in front of three managed external services. Nothing in the application tier is stateful — session state lives entirely in the refresh cookie plus MongoDB, so both the API tier and the worker scale horizontally without sticky sessions.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DEDEA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000"/>
            <w:shd w:fill="EDEDEA" w:val="clea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Frontend (static build)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React/Vite build, served via CDN or any static host — no server-side rendering needed.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Backend API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Stateless Node/Express process. Handles auth, chat/RAG requests, document/admin CRUD. Horizontally scalable behind a load balancer.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Ingestion worker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Separate Node process (`npm run worker`) consuming the BullMQ queue — extraction, chunking, embedding, indexing. Scales independently of the API tier based on upload volume.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System of record: users, documents, chunks + vector index, conversations, audit log. Managed, external.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Identity only — email/password, JWT issuance at the Supabase layer. Managed, external.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Backs the BullMQ ingestion queue. Self-hosted or a managed Redis (e.g. Elasticache/Upstash).</w:t>
            </w:r>
          </w:p>
        </w:tc>
      </w:tr>
    </w:tbl>
    <w:p>
      <w:pPr>
        <w:spacing w:before="200"/>
      </w:pPr>
    </w:p>
    <w:p>
      <w:pPr>
        <w:spacing w:after="160"/>
      </w:pPr>
      <w:r>
        <w:t xml:space="preserve">Request flow: Frontend → Backend API (Bearer token) → MongoDB Atlas / LLM provider. Refresh flow: Frontend → Backend API (HttpOnly cookie) → mints new access token. Upload flow: Frontend → Backend API → BullMQ/Redis → Worker → MongoDB Atlas.</w:t>
      </w:r>
    </w:p>
    <w:p>
      <w:pPr>
        <w:pStyle w:val="Heading1"/>
        <w:spacing w:after="160" w:before="360"/>
      </w:pPr>
      <w:r>
        <w:t xml:space="preserve">2. 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MongoDB Atlas account and cluster. M10 or higher is recommended for production Vector Search workloads; the free (M0) tier is sufficient for development but does not support all Vector Search index options at scale.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Supabase project, used for Auth only. No Supabase database tables are used by this application.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LLM/embedding provider account (OpenAI by default) with billing configured, or an Ollama deployment if running fully self-hosted.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Redis instance reachable from both the API and worker processes.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domain name and TLS certificate for the production frontend and API hostnames.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container registry (if deploying via containers) and a target compute environment (Kubernetes, ECS, a PaaS, or plain VMs behind a load balancer all work — nothing in this app is platform-specific).</w:t>
      </w:r>
    </w:p>
    <w:p>
      <w:pPr>
        <w:pStyle w:val="Heading1"/>
        <w:spacing w:after="160" w:before="360"/>
      </w:pPr>
      <w:r>
        <w:t xml:space="preserve">3. Environment Configuration</w:t>
      </w:r>
    </w:p>
    <w:p>
      <w:pPr>
        <w:spacing w:after="160"/>
      </w:pPr>
      <w:r>
        <w:t xml:space="preserve">Every variable below lives in `backend/.env` (copy from the root `.env.example`). The frontend needs only the `VITE_`-prefixed subset, in `frontend/.env`.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00"/>
      </w:tblGrid>
      <w:tr>
        <w:trPr>
          <w:tblHeader/>
        </w:trPr>
        <w:tc>
          <w:tcPr>
            <w:tcW w:type="dxa" w:w="2600"/>
            <w:shd w:fill="EDEDEA" w:val="clear"/>
          </w:tcPr>
          <w:p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shd w:fill="EDEDEA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5200"/>
            <w:shd w:fill="EDEDEA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SUPABASE_URL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Your Supabase project URL.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Public anon key — safe to also expose to the frontend as VITE_SUPABASE_ANON_KEY.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Server-only, full-privilege key. See the Credentials &amp; Secrets Management Guide — never expose this to the frontend or commit it.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MONGODB_URI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Atlas connection string, scoped to a database user with least-privilege access (see Credentials guide).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VECTOR_INDEX_NAME / VECTOR_DIMENSIONS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Must match what you create via scripts/create-vector-index.js and your embedding model's output size (1536 for OpenAI text-embedding-3-small).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APP_JWT_SECRET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Long, random, generated per environment. Rotating this invalidates every active session — see Credentials guide.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REFRESH_COOKIE_DOMAIN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Must match your production frontend's domain, or refresh will silently fail.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LLM_PROVIDER / EMBEDDING_PROVIDER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"openai" | "anthropic" | "ollama" (LLM) and "openai" | "ollama" (embeddings).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OPENAI_API_KEY / ANTHROPIC_API_KEY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Conditional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Required for whichever provider(s) you selected above.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REDIS_URL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Connection string for the ingestion queue.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TRUST_PROXY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Yes, in production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See §6 below — required for rate limiting to work correctly behind a load balancer.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FRONTEND_ORIGIN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Exact production frontend origin — CORS will reject everything else.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NODE_ENV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Must be the literal string "production" in production — several safety behaviors key off this exact value.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4. MongoDB Atlas Setup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Create a cluster (M10+ recommended for production).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Create a database user scoped to only the application database — not an Atlas admin user. Grant `readWrite` on that one database only.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Add your API tier's outbound IP range (or VPC peering / Private Endpoint, preferred for production) to the Atlas Network Access list. Avoid `0.0.0.0/0` in production.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Set `MONGODB_URI` in `backend/.env` to the connection string for that user.</w:t>
      </w:r>
    </w:p>
    <w:p>
      <w:pPr>
        <w:spacing w:after="100"/>
      </w:pPr>
      <w:r>
        <w:rPr>
          <w:b/>
          <w:bCs/>
        </w:rPr>
        <w:t xml:space="preserve">5. </w:t>
      </w:r>
      <w:r>
        <w:t xml:space="preserve">Run the one-time vector index creation script:</w:t>
      </w:r>
    </w:p>
    <w:p>
      <w:pPr>
        <w:pBdr>
          <w:top w:val="single" w:color="D8D8D4" w:sz="2"/>
          <w:bottom w:val="single" w:color="D8D8D4" w:sz="2"/>
          <w:left w:val="single" w:color="D8D8D4" w:sz="2"/>
          <w:right w:val="single" w:color="D8D8D4" w:sz="2"/>
        </w:pBdr>
        <w:shd w:fill="EDEDEA" w:val="clear"/>
        <w:spacing w:after="160" w:before="80"/>
      </w:pPr>
      <w:r>
        <w:rPr>
          <w:rFonts w:ascii="Courier New" w:cs="Courier New" w:eastAsia="Courier New" w:hAnsi="Courier New"/>
          <w:sz w:val="19"/>
          <w:szCs w:val="19"/>
        </w:rPr>
        <w:t xml:space="preserve">cd backend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node scripts/create-vector-index.js</w:t>
      </w:r>
    </w:p>
    <w:p>
      <w:pPr>
        <w:spacing w:after="160"/>
      </w:pPr>
      <w:r>
        <w:t xml:space="preserve">This creates the Atlas Vector Search index on `document_chunks` with the tenant/department/security-level pre-filters baked in — the mechanism the RAG pipeline relies on for permission-aware retrieval. Re-run this any time `VECTOR_DIMENSIONS` changes (e.g. switching embedding models).</w:t>
      </w:r>
    </w:p>
    <w:p>
      <w:pPr>
        <w:pStyle w:val="Heading1"/>
        <w:spacing w:after="160" w:before="360"/>
      </w:pPr>
      <w:r>
        <w:t xml:space="preserve">5. Supabase Setup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Create a Supabase project.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Under Authentication settings, configure the password policy, email templates (invite/reset), and (recommended) require email confirmation for self-service signups.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Copy the Project URL, anon key, and service_role key into your environment configuration. The service_role key is highly sensitive — see the Credentials &amp; Secrets Management Guide before proceeding.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No Supabase tables need to be created — this application uses Supabase Auth exclusively; all application data lives in MongoDB.</w:t>
      </w:r>
    </w:p>
    <w:p>
      <w:pPr>
        <w:pStyle w:val="Heading1"/>
        <w:spacing w:after="160" w:before="360"/>
      </w:pPr>
      <w:r>
        <w:t xml:space="preserve">6. Reverse Proxy &amp; Rate Limiting</w:t>
      </w:r>
    </w:p>
    <w:p>
      <w:pPr>
        <w:spacing w:after="160"/>
      </w:pPr>
      <w:r>
        <w:t xml:space="preserve">This is a step that is easy to skip and silently degrades security if skipped: the backend's rate limiter keys off the request's IP address, which Express can only determine correctly if it's told how many reverse-proxy hops sit in front of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Behind exactly one reverse proxy or load balancer (a single Nginx, a single ALB, a single Cloudflare hop) — set `TRUST_PROXY=1`.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Behind no proxy at all (directly exposed, not recommended) — leave `TRUST_PROXY` unset.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Behind more than one hop — set `TRUST_PROXY` to the exact hop count, or a specific trusted CIDR range per Express's `trust proxy` documentation.</w:t>
      </w:r>
    </w:p>
    <w:p>
      <w:pPr>
        <w:spacing w:after="160"/>
      </w:pPr>
      <w:r>
        <w:t xml:space="preserve">Setting this incorrectly in either direction has a real cost: too low (or unset, behind a real proxy) makes every request appear to originate from the proxy's IP, making the rate limiter effectively a no-op; too high (or blindly trusting) lets a client spoof `X-Forwarded-For` to bypass rate limiting entirely.</w:t>
      </w:r>
    </w:p>
    <w:p>
      <w:pPr>
        <w:pStyle w:val="Heading1"/>
        <w:spacing w:after="160" w:before="360"/>
      </w:pPr>
      <w:r>
        <w:t xml:space="preserve">7. Build &amp; Deploy</w:t>
      </w:r>
    </w:p>
    <w:p>
      <w:pPr>
        <w:pStyle w:val="Heading3"/>
        <w:spacing w:after="100" w:before="200"/>
      </w:pPr>
      <w:r>
        <w:t xml:space="preserve">Backend</w:t>
      </w:r>
    </w:p>
    <w:p>
      <w:pPr>
        <w:pBdr>
          <w:top w:val="single" w:color="D8D8D4" w:sz="2"/>
          <w:bottom w:val="single" w:color="D8D8D4" w:sz="2"/>
          <w:left w:val="single" w:color="D8D8D4" w:sz="2"/>
          <w:right w:val="single" w:color="D8D8D4" w:sz="2"/>
        </w:pBdr>
        <w:shd w:fill="EDEDEA" w:val="clear"/>
        <w:spacing w:after="160" w:before="80"/>
      </w:pPr>
      <w:r>
        <w:rPr>
          <w:rFonts w:ascii="Courier New" w:cs="Courier New" w:eastAsia="Courier New" w:hAnsi="Courier New"/>
          <w:sz w:val="19"/>
          <w:szCs w:val="19"/>
        </w:rPr>
        <w:t xml:space="preserve">cd backend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npm install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npm run start        # API process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npm run worker       # separate process — ingestion queue consumer</w:t>
      </w:r>
    </w:p>
    <w:p>
      <w:pPr>
        <w:pStyle w:val="Heading3"/>
        <w:spacing w:after="100" w:before="200"/>
      </w:pPr>
      <w:r>
        <w:t xml:space="preserve">Frontend</w:t>
      </w:r>
    </w:p>
    <w:p>
      <w:pPr>
        <w:pBdr>
          <w:top w:val="single" w:color="D8D8D4" w:sz="2"/>
          <w:bottom w:val="single" w:color="D8D8D4" w:sz="2"/>
          <w:left w:val="single" w:color="D8D8D4" w:sz="2"/>
          <w:right w:val="single" w:color="D8D8D4" w:sz="2"/>
        </w:pBdr>
        <w:shd w:fill="EDEDEA" w:val="clear"/>
        <w:spacing w:after="160" w:before="80"/>
      </w:pPr>
      <w:r>
        <w:rPr>
          <w:rFonts w:ascii="Courier New" w:cs="Courier New" w:eastAsia="Courier New" w:hAnsi="Courier New"/>
          <w:sz w:val="19"/>
          <w:szCs w:val="19"/>
        </w:rPr>
        <w:t xml:space="preserve">cd frontend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npm install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npm run build        # outputs static assets to frontend/dist/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# serve dist/ via your CDN or static host of choice</w:t>
      </w:r>
    </w:p>
    <w:p>
      <w:pPr>
        <w:pStyle w:val="Heading3"/>
        <w:spacing w:after="100" w:before="200"/>
      </w:pPr>
      <w:r>
        <w:t xml:space="preserve">Containers</w:t>
      </w:r>
    </w:p>
    <w:p>
      <w:pPr>
        <w:spacing w:after="160"/>
      </w:pPr>
      <w:r>
        <w:t xml:space="preserve">Both `backend/Dockerfile` and `frontend/Dockerfile` are provided. The backend image installs GraphicsMagick and Ghostscript (required by the OCR pipeline's PDF-to-image step) — do not strip these out when customizing the image. `docker-compose.yml` runs the full stack (API, worker, frontend dev server, Redis) for local development; for production, build and push each image to your registry and run them as separate services/tasks rather than via docker-compose.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8. CI/CD Recommendations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Install → lint → test (`npm test` in both `backend/` and `frontend/`) on every pull request.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Run a dependency audit (`npm audit` or equivalent) as a pipeline gate once you have registry access — this was not possible from the review sandbox this project was partly developed in, and should not be skipped in a real CI environment.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Build both Docker images, tag with the commit SHA, push to your registry.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Deploy to a staging environment first; run the Security Audit Report's recommended live penetration test / dynamic scan against staging before promoting to production.</w:t>
      </w:r>
    </w:p>
    <w:p>
      <w:pPr>
        <w:spacing w:after="100"/>
      </w:pPr>
      <w:r>
        <w:rPr>
          <w:b/>
          <w:bCs/>
        </w:rPr>
        <w:t xml:space="preserve">5. </w:t>
      </w:r>
      <w:r>
        <w:t xml:space="preserve">Roll out to production with a health-check gate on `GET /api/health` before routing traffic to a new instance.</w:t>
      </w:r>
    </w:p>
    <w:p>
      <w:pPr>
        <w:pStyle w:val="Heading1"/>
        <w:spacing w:after="160" w:before="360"/>
      </w:pPr>
      <w:r>
        <w:t xml:space="preserve">9. Monitoring &amp; Logging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`GET /api/health` reports API liveness and MongoDB connection state — wire this into your load balancer's health check and an uptime monitor.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Admin Console's System Health page reads live BullMQ queue depth — alert if `failed` count grows unexpectedly, which usually indicates an LLM/embedding provider outage or a bad document making it partway through ingestion repeatedly.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Structured request logs (`morgan`) are emitted in `combined` format in production — ship these to your log aggregator of choice.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document access, permission change, and login is recorded in the `audit_logs` collection — consider a periodic export/alerting job on top of it for anomalous patterns (e.g. one account triggering many `AUTH_FORBIDDEN` responses in a short window).</w:t>
      </w:r>
    </w:p>
    <w:p>
      <w:pPr>
        <w:pStyle w:val="Heading1"/>
        <w:spacing w:after="160" w:before="360"/>
      </w:pPr>
      <w:r>
        <w:t xml:space="preserve">10. Backup &amp; Disaster Recovery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Enable Atlas's automated continuous backups (Cloud Backup) on the production cluster; test a restore at least once before go-live, not for the first time during an actual incident.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Uploaded original files (`storage/uploaded_docs/`) are not currently backed up by this project as shipped — if using local/EBS-style storage, add it to your regular backup rotation, or migrate to S3/GCS with versioning enabled (recommended for production; see docs/02-system-architecture.md for the storage abstraction point).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Redis holds only in-flight/recent job state, not source-of-truth data — it does not need the same backup rigor as MongoDB, but a Redis outage will pause new document ingestion until it recovers (already-ready documents remain fully queryable).</w:t>
      </w:r>
    </w:p>
    <w:p>
      <w:pPr>
        <w:pStyle w:val="Heading1"/>
        <w:spacing w:after="160" w:before="360"/>
      </w:pPr>
      <w:r>
        <w:t xml:space="preserve">11. Rollback Strategy</w:t>
      </w:r>
    </w:p>
    <w:p>
      <w:pPr>
        <w:spacing w:after="160"/>
      </w:pPr>
      <w:r>
        <w:t xml:space="preserve">Because the API tier is stateless, rolling back is a matter of redeploying the previous container image/build — no database migration rollback is implied by an application rollback in the common case. If a specific release DID include a MongoDB schema change, coordinate that separately: prefer additive, backward-compatible schema changes (new optional fields) so an application rollback never requires a corresponding data rollback.</w:t>
      </w:r>
    </w:p>
    <w:p>
      <w:pPr>
        <w:pStyle w:val="Heading1"/>
        <w:spacing w:after="160" w:before="360"/>
      </w:pPr>
      <w:r>
        <w:t xml:space="preserve">12. Post-Deployment 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NODE_ENV=production is set explicitly (not merely "not development").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TRUST_PROXY is set correctly for your actual topology (§6).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APP_JWT_SECRET is a freshly generated, long random value — not the value from `.env.example` or any shared development secret.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MongoDB Atlas Network Access is scoped to your actual infrastructure, not 0.0.0.0/0.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The Atlas Vector Search index has been created and confirmed present (`node scripts/create-vector-index.js`).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FRONTEND_ORIGIN exactly matches your production frontend's origin (scheme + host + port).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TLS/HTTPS is terminated correctly in front of both the frontend and API.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`GET /api/health` is wired into your load balancer's health check.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A first Admin user has been created/promoted and can log 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The items in the Security Audit Report's "Before production launch" section have been actioned.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5B63"/>
        <w:sz w:val="16"/>
        <w:szCs w:val="16"/>
      </w:rPr>
      <w:t xml:space="preserve">Page </w:t>
    </w:r>
    <w:r>
      <w:rPr>
        <w:color w:val="5B5B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5B63"/>
        <w:sz w:val="16"/>
        <w:szCs w:val="16"/>
      </w:rPr>
      <w:t xml:space="preserve">EKIP —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1111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Arial" w:cs="Arial" w:eastAsia="Arial" w:hAnsi="Arial"/>
      <w:b/>
      <w:bCs/>
      <w:color w:val="1111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Arial" w:cs="Arial" w:eastAsia="Arial" w:hAnsi="Arial"/>
      <w:b/>
      <w:bCs/>
      <w:color w:val="3D46F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1111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2026-07-25T11:34:39.348Z</dcterms:created>
  <dcterms:modified xsi:type="dcterms:W3CDTF">2026-07-25T11:34:39.364Z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