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3D46F5"/>
          <w:sz w:val="64"/>
          <w:szCs w:val="64"/>
        </w:rPr>
        <w:t xml:space="preserve">EKIP</w:t>
      </w:r>
    </w:p>
    <w:p>
      <w:pPr>
        <w:spacing w:after="100" w:before="200"/>
        <w:jc w:val="center"/>
      </w:pPr>
      <w:r>
        <w:rPr>
          <w:color w:val="5B5B63"/>
          <w:sz w:val="28"/>
          <w:szCs w:val="28"/>
        </w:rPr>
        <w:t xml:space="preserve">Enterprise Knowledge Intelligence Platform</w:t>
      </w:r>
    </w:p>
    <w:p>
      <w:pPr>
        <w:spacing w:before="400"/>
        <w:jc w:val="center"/>
      </w:pPr>
      <w:r>
        <w:rPr>
          <w:b/>
          <w:bCs/>
          <w:sz w:val="40"/>
          <w:szCs w:val="40"/>
        </w:rPr>
        <w:t xml:space="preserve">System Architecture</w:t>
      </w:r>
    </w:p>
    <w:p>
      <w:pPr>
        <w:spacing w:before="120"/>
        <w:jc w:val="center"/>
      </w:pPr>
      <w:r>
        <w:rPr>
          <w:color w:val="5B5B63"/>
          <w:sz w:val="22"/>
          <w:szCs w:val="22"/>
        </w:rPr>
        <w:t xml:space="preserve">Including the security hardening layer added during audit remediation</w:t>
      </w:r>
    </w:p>
    <w:p>
      <w:pPr>
        <w:spacing w:before="800"/>
        <w:jc w:val="center"/>
      </w:pPr>
      <w:r>
        <w:rPr>
          <w:color w:val="5B5B63"/>
          <w:sz w:val="20"/>
          <w:szCs w:val="20"/>
        </w:rPr>
        <w:t xml:space="preserve">Version 1.1 · July 2026</w:t>
      </w:r>
    </w:p>
    <w:p>
      <w:r>
        <w:br w:type="page"/>
      </w:r>
    </w:p>
    <w:p>
      <w:pPr>
        <w:pStyle w:val="Heading1"/>
        <w:spacing w:after="160" w:before="360"/>
      </w:pPr>
      <w:r>
        <w:t xml:space="preserve">1. High-Level Architecture</w:t>
      </w:r>
    </w:p>
    <w:p>
      <w:pPr>
        <w:shd w:fill="EDEDEA" w:val="clear"/>
        <w:spacing w:after="200" w:before="80"/>
      </w:pPr>
      <w:r>
        <w:rPr>
          <w:rFonts w:ascii="Courier New" w:cs="Courier New" w:eastAsia="Courier New" w:hAnsi="Courier New"/>
          <w:sz w:val="19"/>
          <w:szCs w:val="19"/>
        </w:rPr>
        <w:t xml:space="preserve">┌─────────────────────────────┐</w:t>
      </w:r>
      <w:r>
        <w:br/>
      </w:r>
      <w:r>
        <w:rPr>
          <w:rFonts w:ascii="Courier New" w:cs="Courier New" w:eastAsia="Courier New" w:hAnsi="Courier New"/>
          <w:sz w:val="19"/>
          <w:szCs w:val="19"/>
        </w:rPr>
        <w:t xml:space="preserve">│   React (Vite) + Tailwind   │  ← SPA, MVVM-organized</w:t>
      </w:r>
      <w:r>
        <w:br/>
      </w:r>
      <w:r>
        <w:rPr>
          <w:rFonts w:ascii="Courier New" w:cs="Courier New" w:eastAsia="Courier New" w:hAnsi="Courier New"/>
          <w:sz w:val="19"/>
          <w:szCs w:val="19"/>
        </w:rPr>
        <w:t xml:space="preserve">│   Frontend (browser)        │</w:t>
      </w:r>
      <w:r>
        <w:br/>
      </w:r>
      <w:r>
        <w:rPr>
          <w:rFonts w:ascii="Courier New" w:cs="Courier New" w:eastAsia="Courier New" w:hAnsi="Courier New"/>
          <w:sz w:val="19"/>
          <w:szCs w:val="19"/>
        </w:rPr>
        <w:t xml:space="preserve">└───────────────┬──────────────┘</w:t>
      </w:r>
      <w:r>
        <w:br/>
      </w:r>
      <w:r>
        <w:rPr>
          <w:rFonts w:ascii="Courier New" w:cs="Courier New" w:eastAsia="Courier New" w:hAnsi="Courier New"/>
          <w:sz w:val="19"/>
          <w:szCs w:val="19"/>
        </w:rPr>
        <w:t xml:space="preserve">                │  HTTPS (JSON) + refresh cookie</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w:t>
      </w:r>
      <w:r>
        <w:br/>
      </w:r>
      <w:r>
        <w:rPr>
          <w:rFonts w:ascii="Courier New" w:cs="Courier New" w:eastAsia="Courier New" w:hAnsi="Courier New"/>
          <w:sz w:val="19"/>
          <w:szCs w:val="19"/>
        </w:rPr>
        <w:t xml:space="preserve">│  sanitizeInput middleware    │  ← strips $/. operator-injection keys</w:t>
      </w:r>
      <w:r>
        <w:br/>
      </w:r>
      <w:r>
        <w:rPr>
          <w:rFonts w:ascii="Courier New" w:cs="Courier New" w:eastAsia="Courier New" w:hAnsi="Courier New"/>
          <w:sz w:val="19"/>
          <w:szCs w:val="19"/>
        </w:rPr>
        <w:t xml:space="preserve">│  Node.js + Express (BFF)    │  ← auth (JWT type-checked), RBAC, RAG orchestration</w:t>
      </w:r>
      <w:r>
        <w:br/>
      </w:r>
      <w:r>
        <w:rPr>
          <w:rFonts w:ascii="Courier New" w:cs="Courier New" w:eastAsia="Courier New" w:hAnsi="Courier New"/>
          <w:sz w:val="19"/>
          <w:szCs w:val="19"/>
        </w:rPr>
        <w:t xml:space="preserve">└───┬───────────────────┬──────┘</w:t>
      </w:r>
      <w:r>
        <w:br/>
      </w:r>
      <w:r>
        <w:rPr>
          <w:rFonts w:ascii="Courier New" w:cs="Courier New" w:eastAsia="Courier New" w:hAnsi="Courier New"/>
          <w:sz w:val="19"/>
          <w:szCs w:val="19"/>
        </w:rPr>
        <w:t xml:space="preserve">    │                   │</w:t>
      </w:r>
      <w:r>
        <w:br/>
      </w:r>
      <w:r>
        <w:rPr>
          <w:rFonts w:ascii="Courier New" w:cs="Courier New" w:eastAsia="Courier New" w:hAnsi="Courier New"/>
          <w:sz w:val="19"/>
          <w:szCs w:val="19"/>
        </w:rPr>
        <w:t xml:space="preserve">    ▼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Supabase│     │  RAG Engine (module)  │</w:t>
      </w:r>
      <w:r>
        <w:br/>
      </w:r>
      <w:r>
        <w:rPr>
          <w:rFonts w:ascii="Courier New" w:cs="Courier New" w:eastAsia="Courier New" w:hAnsi="Courier New"/>
          <w:sz w:val="19"/>
          <w:szCs w:val="19"/>
        </w:rPr>
        <w:t xml:space="preserve">│  Auth   │     │  ingestion / retrieval│</w:t>
      </w:r>
      <w:r>
        <w:br/>
      </w:r>
      <w:r>
        <w:rPr>
          <w:rFonts w:ascii="Courier New" w:cs="Courier New" w:eastAsia="Courier New" w:hAnsi="Courier New"/>
          <w:sz w:val="19"/>
          <w:szCs w:val="19"/>
        </w:rPr>
        <w:t xml:space="preserve">│ (JWT)   │     │  / generation service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   MongoDB Atlas       │</w:t>
      </w:r>
      <w:r>
        <w:br/>
      </w:r>
      <w:r>
        <w:rPr>
          <w:rFonts w:ascii="Courier New" w:cs="Courier New" w:eastAsia="Courier New" w:hAnsi="Courier New"/>
          <w:sz w:val="19"/>
          <w:szCs w:val="19"/>
        </w:rPr>
        <w:t xml:space="preserve">                │  - users / permissions│</w:t>
      </w:r>
      <w:r>
        <w:br/>
      </w:r>
      <w:r>
        <w:rPr>
          <w:rFonts w:ascii="Courier New" w:cs="Courier New" w:eastAsia="Courier New" w:hAnsi="Courier New"/>
          <w:sz w:val="19"/>
          <w:szCs w:val="19"/>
        </w:rPr>
        <w:t xml:space="preserve">                │  - documents / chunks │</w:t>
      </w:r>
      <w:r>
        <w:br/>
      </w:r>
      <w:r>
        <w:rPr>
          <w:rFonts w:ascii="Courier New" w:cs="Courier New" w:eastAsia="Courier New" w:hAnsi="Courier New"/>
          <w:sz w:val="19"/>
          <w:szCs w:val="19"/>
        </w:rPr>
        <w:t xml:space="preserve">                │  - $vectorSearch index│</w:t>
      </w:r>
      <w:r>
        <w:br/>
      </w:r>
      <w:r>
        <w:rPr>
          <w:rFonts w:ascii="Courier New" w:cs="Courier New" w:eastAsia="Courier New" w:hAnsi="Courier New"/>
          <w:sz w:val="19"/>
          <w:szCs w:val="19"/>
        </w:rPr>
        <w:t xml:space="preserve">                │  - conversations      │</w:t>
      </w:r>
      <w:r>
        <w:br/>
      </w:r>
      <w:r>
        <w:rPr>
          <w:rFonts w:ascii="Courier New" w:cs="Courier New" w:eastAsia="Courier New" w:hAnsi="Courier New"/>
          <w:sz w:val="19"/>
          <w:szCs w:val="19"/>
        </w:rPr>
        <w:t xml:space="preserve">                │  - audit_logs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  LLM / Embedding      │</w:t>
      </w:r>
      <w:r>
        <w:br/>
      </w:r>
      <w:r>
        <w:rPr>
          <w:rFonts w:ascii="Courier New" w:cs="Courier New" w:eastAsia="Courier New" w:hAnsi="Courier New"/>
          <w:sz w:val="19"/>
          <w:szCs w:val="19"/>
        </w:rPr>
        <w:t xml:space="preserve">                │  Provider Adapter     │</w:t>
      </w:r>
      <w:r>
        <w:br/>
      </w:r>
      <w:r>
        <w:rPr>
          <w:rFonts w:ascii="Courier New" w:cs="Courier New" w:eastAsia="Courier New" w:hAnsi="Courier New"/>
          <w:sz w:val="19"/>
          <w:szCs w:val="19"/>
        </w:rPr>
        <w:t xml:space="preserve">                │  (OpenAI / Anthropic /│</w:t>
      </w:r>
      <w:r>
        <w:br/>
      </w:r>
      <w:r>
        <w:rPr>
          <w:rFonts w:ascii="Courier New" w:cs="Courier New" w:eastAsia="Courier New" w:hAnsi="Courier New"/>
          <w:sz w:val="19"/>
          <w:szCs w:val="19"/>
        </w:rPr>
        <w:t xml:space="preserve">                │   Ollama-local)       │</w:t>
      </w:r>
      <w:r>
        <w:br/>
      </w:r>
      <w:r>
        <w:rPr>
          <w:rFonts w:ascii="Courier New" w:cs="Courier New" w:eastAsia="Courier New" w:hAnsi="Courier New"/>
          <w:sz w:val="19"/>
          <w:szCs w:val="19"/>
        </w:rPr>
        <w:t xml:space="preserve">                └───────────────────────┘</w:t>
      </w:r>
    </w:p>
    <w:p>
      <w:pPr>
        <w:spacing w:after="160"/>
      </w:pPr>
      <w:r>
        <w:t xml:space="preserve">Supabase owns identity only (who you are). MongoDB owns everything about what you can do and see (role, department, permissions, documents, vectors, history, audit). The Express layer is the only thing that talks to both, and — as of this version — every request passes through a global sanitization middleware before reaching any route handler, and every JWT carries an explicit type claim checked on every verification.</w:t>
      </w:r>
    </w:p>
    <w:p>
      <w:pPr>
        <w:pStyle w:val="Heading1"/>
        <w:spacing w:after="160" w:before="360"/>
      </w:pPr>
      <w:r>
        <w:t xml:space="preserve">2. Frontend Architecture — MVVM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EDEDEA" w:val="clear"/>
          </w:tcPr>
          <w:p>
            <w:r>
              <w:rPr>
                <w:b/>
                <w:bCs/>
                <w:sz w:val="20"/>
                <w:szCs w:val="20"/>
              </w:rPr>
              <w:t xml:space="preserve">Layer</w:t>
            </w:r>
          </w:p>
        </w:tc>
        <w:tc>
          <w:tcPr>
            <w:tcW w:type="dxa" w:w="3600"/>
            <w:shd w:fill="EDEDEA" w:val="clear"/>
          </w:tcPr>
          <w:p>
            <w:r>
              <w:rPr>
                <w:b/>
                <w:bCs/>
                <w:sz w:val="20"/>
                <w:szCs w:val="20"/>
              </w:rPr>
              <w:t xml:space="preserve">What lives here</w:t>
            </w:r>
          </w:p>
        </w:tc>
        <w:tc>
          <w:tcPr>
            <w:tcW w:type="dxa" w:w="3600"/>
            <w:shd w:fill="EDEDEA" w:val="clear"/>
          </w:tcPr>
          <w:p>
            <w:r>
              <w:rPr>
                <w:b/>
                <w:bCs/>
                <w:sz w:val="20"/>
                <w:szCs w:val="20"/>
              </w:rPr>
              <w:t xml:space="preserve">Example</w:t>
            </w:r>
          </w:p>
        </w:tc>
      </w:tr>
      <w:tr>
        <w:tc>
          <w:tcPr>
            <w:tcW w:type="dxa" w:w="1800"/>
          </w:tcPr>
          <w:p>
            <w:r>
              <w:rPr>
                <w:sz w:val="20"/>
                <w:szCs w:val="20"/>
              </w:rPr>
              <w:t xml:space="preserve">Model</w:t>
            </w:r>
          </w:p>
        </w:tc>
        <w:tc>
          <w:tcPr>
            <w:tcW w:type="dxa" w:w="3600"/>
          </w:tcPr>
          <w:p>
            <w:r>
              <w:rPr>
                <w:sz w:val="20"/>
                <w:szCs w:val="20"/>
              </w:rPr>
              <w:t xml:space="preserve">Plain data shapes + API client functions. No React.</w:t>
            </w:r>
          </w:p>
        </w:tc>
        <w:tc>
          <w:tcPr>
            <w:tcW w:type="dxa" w:w="3600"/>
          </w:tcPr>
          <w:p>
            <w:r>
              <w:rPr>
                <w:sz w:val="20"/>
                <w:szCs w:val="20"/>
              </w:rPr>
              <w:t xml:space="preserve">src/models/document.js, src/services/documentService.js</w:t>
            </w:r>
          </w:p>
        </w:tc>
      </w:tr>
      <w:tr>
        <w:tc>
          <w:tcPr>
            <w:tcW w:type="dxa" w:w="1800"/>
          </w:tcPr>
          <w:p>
            <w:r>
              <w:rPr>
                <w:sz w:val="20"/>
                <w:szCs w:val="20"/>
              </w:rPr>
              <w:t xml:space="preserve">ViewModel</w:t>
            </w:r>
          </w:p>
        </w:tc>
        <w:tc>
          <w:tcPr>
            <w:tcW w:type="dxa" w:w="3600"/>
          </w:tcPr>
          <w:p>
            <w:r>
              <w:rPr>
                <w:sz w:val="20"/>
                <w:szCs w:val="20"/>
              </w:rPr>
              <w:t xml:space="preserve">Custom hooks holding state, calling services, handling loading/error. No JSX.</w:t>
            </w:r>
          </w:p>
        </w:tc>
        <w:tc>
          <w:tcPr>
            <w:tcW w:type="dxa" w:w="3600"/>
          </w:tcPr>
          <w:p>
            <w:r>
              <w:rPr>
                <w:sz w:val="20"/>
                <w:szCs w:val="20"/>
              </w:rPr>
              <w:t xml:space="preserve">useChatViewModel, useDocumentLibraryViewModel</w:t>
            </w:r>
          </w:p>
        </w:tc>
      </w:tr>
      <w:tr>
        <w:tc>
          <w:tcPr>
            <w:tcW w:type="dxa" w:w="1800"/>
          </w:tcPr>
          <w:p>
            <w:r>
              <w:rPr>
                <w:sz w:val="20"/>
                <w:szCs w:val="20"/>
              </w:rPr>
              <w:t xml:space="preserve">View</w:t>
            </w:r>
          </w:p>
        </w:tc>
        <w:tc>
          <w:tcPr>
            <w:tcW w:type="dxa" w:w="3600"/>
          </w:tcPr>
          <w:p>
            <w:r>
              <w:rPr>
                <w:sz w:val="20"/>
                <w:szCs w:val="20"/>
              </w:rPr>
              <w:t xml:space="preserve">Presentational components. No fetch, no business logic.</w:t>
            </w:r>
          </w:p>
        </w:tc>
        <w:tc>
          <w:tcPr>
            <w:tcW w:type="dxa" w:w="3600"/>
          </w:tcPr>
          <w:p>
            <w:r>
              <w:rPr>
                <w:sz w:val="20"/>
                <w:szCs w:val="20"/>
              </w:rPr>
              <w:t xml:space="preserve">ChatPage.jsx, ChatMessageBubble.jsx</w:t>
            </w:r>
          </w:p>
        </w:tc>
      </w:tr>
    </w:tbl>
    <w:p>
      <w:pPr>
        <w:spacing w:before="200"/>
      </w:pPr>
    </w:p>
    <w:p>
      <w:pPr>
        <w:spacing w:after="160"/>
      </w:pPr>
      <w:r>
        <w:t xml:space="preserve">Rule of thumb: if a component needs a useEffect that calls an API, that logic belongs in a ViewModel hook, not the component.</w:t>
      </w:r>
    </w:p>
    <w:p>
      <w:pPr>
        <w:pStyle w:val="Heading1"/>
        <w:spacing w:after="160" w:before="360"/>
      </w:pPr>
      <w:r>
        <w:t xml:space="preserve">3. Backend Architecture</w:t>
      </w:r>
    </w:p>
    <w:p>
      <w:pPr>
        <w:shd w:fill="EDEDEA" w:val="clear"/>
        <w:spacing w:after="200" w:before="80"/>
      </w:pPr>
      <w:r>
        <w:rPr>
          <w:rFonts w:ascii="Courier New" w:cs="Courier New" w:eastAsia="Courier New" w:hAnsi="Courier New"/>
          <w:sz w:val="19"/>
          <w:szCs w:val="19"/>
        </w:rPr>
        <w:t xml:space="preserve">backend/src/</w:t>
      </w:r>
      <w:r>
        <w:br/>
      </w:r>
      <w:r>
        <w:rPr>
          <w:rFonts w:ascii="Courier New" w:cs="Courier New" w:eastAsia="Courier New" w:hAnsi="Courier New"/>
          <w:sz w:val="19"/>
          <w:szCs w:val="19"/>
        </w:rPr>
        <w:t xml:space="preserve">  routes/          thin: HTTP verb + path → controller</w:t>
      </w:r>
      <w:r>
        <w:br/>
      </w:r>
      <w:r>
        <w:rPr>
          <w:rFonts w:ascii="Courier New" w:cs="Courier New" w:eastAsia="Courier New" w:hAnsi="Courier New"/>
          <w:sz w:val="19"/>
          <w:szCs w:val="19"/>
        </w:rPr>
        <w:t xml:space="preserve">  controllers/     parse request, call service, shape response</w:t>
      </w:r>
      <w:r>
        <w:br/>
      </w:r>
      <w:r>
        <w:rPr>
          <w:rFonts w:ascii="Courier New" w:cs="Courier New" w:eastAsia="Courier New" w:hAnsi="Courier New"/>
          <w:sz w:val="19"/>
          <w:szCs w:val="19"/>
        </w:rPr>
        <w:t xml:space="preserve">  services/</w:t>
      </w:r>
      <w:r>
        <w:br/>
      </w:r>
      <w:r>
        <w:rPr>
          <w:rFonts w:ascii="Courier New" w:cs="Courier New" w:eastAsia="Courier New" w:hAnsi="Courier New"/>
          <w:sz w:val="19"/>
          <w:szCs w:val="19"/>
        </w:rPr>
        <w:t xml:space="preserve">    authService.js         Supabase bridge + JWT mint/verify</w:t>
      </w:r>
      <w:r>
        <w:br/>
      </w:r>
      <w:r>
        <w:rPr>
          <w:rFonts w:ascii="Courier New" w:cs="Courier New" w:eastAsia="Courier New" w:hAnsi="Courier New"/>
          <w:sz w:val="19"/>
          <w:szCs w:val="19"/>
        </w:rPr>
        <w:t xml:space="preserve">    documentService.js     CRUD + enqueues ingestion (BullMQ)</w:t>
      </w:r>
      <w:r>
        <w:br/>
      </w:r>
      <w:r>
        <w:rPr>
          <w:rFonts w:ascii="Courier New" w:cs="Courier New" w:eastAsia="Courier New" w:hAnsi="Courier New"/>
          <w:sz w:val="19"/>
          <w:szCs w:val="19"/>
        </w:rPr>
        <w:t xml:space="preserve">    permissionService.js   resolves what a user can see</w:t>
      </w:r>
      <w:r>
        <w:br/>
      </w:r>
      <w:r>
        <w:rPr>
          <w:rFonts w:ascii="Courier New" w:cs="Courier New" w:eastAsia="Courier New" w:hAnsi="Courier New"/>
          <w:sz w:val="19"/>
          <w:szCs w:val="19"/>
        </w:rPr>
        <w:t xml:space="preserve">    auditService.js        append-only log writer</w:t>
      </w:r>
      <w:r>
        <w:br/>
      </w:r>
      <w:r>
        <w:rPr>
          <w:rFonts w:ascii="Courier New" w:cs="Courier New" w:eastAsia="Courier New" w:hAnsi="Courier New"/>
          <w:sz w:val="19"/>
          <w:szCs w:val="19"/>
        </w:rPr>
        <w:t xml:space="preserve">    rag/</w:t>
      </w:r>
      <w:r>
        <w:br/>
      </w:r>
      <w:r>
        <w:rPr>
          <w:rFonts w:ascii="Courier New" w:cs="Courier New" w:eastAsia="Courier New" w:hAnsi="Courier New"/>
          <w:sz w:val="19"/>
          <w:szCs w:val="19"/>
        </w:rPr>
        <w:t xml:space="preserve">      ingestionService.js   extract → chunk → embed → store</w:t>
      </w:r>
      <w:r>
        <w:br/>
      </w:r>
      <w:r>
        <w:rPr>
          <w:rFonts w:ascii="Courier New" w:cs="Courier New" w:eastAsia="Courier New" w:hAnsi="Courier New"/>
          <w:sz w:val="19"/>
          <w:szCs w:val="19"/>
        </w:rPr>
        <w:t xml:space="preserve">      retrievalService.js   embed query → $vectorSearch w/ permission filter</w:t>
      </w:r>
      <w:r>
        <w:br/>
      </w:r>
      <w:r>
        <w:rPr>
          <w:rFonts w:ascii="Courier New" w:cs="Courier New" w:eastAsia="Courier New" w:hAnsi="Courier New"/>
          <w:sz w:val="19"/>
          <w:szCs w:val="19"/>
        </w:rPr>
        <w:t xml:space="preserve">      generationService.js  prompt assembly → LLM → citation mapping</w:t>
      </w:r>
      <w:r>
        <w:br/>
      </w:r>
      <w:r>
        <w:rPr>
          <w:rFonts w:ascii="Courier New" w:cs="Courier New" w:eastAsia="Courier New" w:hAnsi="Courier New"/>
          <w:sz w:val="19"/>
          <w:szCs w:val="19"/>
        </w:rPr>
        <w:t xml:space="preserve">      evaluationService.js  feedback aggregation</w:t>
      </w:r>
      <w:r>
        <w:br/>
      </w:r>
      <w:r>
        <w:rPr>
          <w:rFonts w:ascii="Courier New" w:cs="Courier New" w:eastAsia="Courier New" w:hAnsi="Courier New"/>
          <w:sz w:val="19"/>
          <w:szCs w:val="19"/>
        </w:rPr>
        <w:t xml:space="preserve">  models/          Mongoose schemas</w:t>
      </w:r>
      <w:r>
        <w:br/>
      </w:r>
      <w:r>
        <w:rPr>
          <w:rFonts w:ascii="Courier New" w:cs="Courier New" w:eastAsia="Courier New" w:hAnsi="Courier New"/>
          <w:sz w:val="19"/>
          <w:szCs w:val="19"/>
        </w:rPr>
        <w:t xml:space="preserve">  middleware/      requireAuth, requireRole, sanitizeInput, auditWrite, errorHandler</w:t>
      </w:r>
      <w:r>
        <w:br/>
      </w:r>
      <w:r>
        <w:rPr>
          <w:rFonts w:ascii="Courier New" w:cs="Courier New" w:eastAsia="Courier New" w:hAnsi="Courier New"/>
          <w:sz w:val="19"/>
          <w:szCs w:val="19"/>
        </w:rPr>
        <w:t xml:space="preserve">  providers/       llmProvider.js, embeddingProvider.js (swap via env var)</w:t>
      </w:r>
      <w:r>
        <w:br/>
      </w:r>
      <w:r>
        <w:rPr>
          <w:rFonts w:ascii="Courier New" w:cs="Courier New" w:eastAsia="Courier New" w:hAnsi="Courier New"/>
          <w:sz w:val="19"/>
          <w:szCs w:val="19"/>
        </w:rPr>
        <w:t xml:space="preserve">  queues/          ingestionQueue.js (BullMQ), ingestionWorker.js (separate process)</w:t>
      </w:r>
    </w:p>
    <w:p>
      <w:r>
        <w:br w:type="page"/>
      </w:r>
    </w:p>
    <w:p>
      <w:pPr>
        <w:pStyle w:val="Heading1"/>
        <w:spacing w:after="160" w:before="360"/>
      </w:pPr>
      <w:r>
        <w:t xml:space="preserve">4. Security Architecture</w:t>
      </w:r>
    </w:p>
    <w:p>
      <w:pPr>
        <w:spacing w:after="160"/>
      </w:pPr>
      <w:r>
        <w:t xml:space="preserve">This section documents the hardening layer added during the security audit (see the companion Security Audit Report for the full findings, exploit evidence, and verification of each fix).</w:t>
      </w:r>
    </w:p>
    <w:p>
      <w:pPr>
        <w:pStyle w:val="Heading3"/>
        <w:spacing w:after="100" w:before="200"/>
      </w:pPr>
      <w:r>
        <w:t xml:space="preserve">4.1 Authentication &amp; token handling</w:t>
      </w:r>
    </w:p>
    <w:p>
      <w:pPr>
        <w:pStyle w:val="ListParagraph"/>
        <w:numPr>
          <w:ilvl w:val="0"/>
          <w:numId w:val="1"/>
        </w:numPr>
        <w:spacing w:after="80"/>
      </w:pPr>
      <w:r>
        <w:t xml:space="preserve">Login verifies credentials against Supabase server-side, then Express mints its own short-lived (15 min) access token and a separate long-lived (30 day) refresh token, both signed HS256.</w:t>
      </w:r>
    </w:p>
    <w:p>
      <w:pPr>
        <w:pStyle w:val="ListParagraph"/>
        <w:numPr>
          <w:ilvl w:val="0"/>
          <w:numId w:val="1"/>
        </w:numPr>
        <w:spacing w:after="80"/>
      </w:pPr>
      <w:r>
        <w:t xml:space="preserve">Every token carries an explicit type claim ("access" or "refresh"). requireAuth rejects any token where type ≠ "access"; the refresh endpoint rejects any token where type ≠ "refresh". This closes a token-type-confusion vulnerability where either token could previously be used in place of the other.</w:t>
      </w:r>
    </w:p>
    <w:p>
      <w:pPr>
        <w:pStyle w:val="ListParagraph"/>
        <w:numPr>
          <w:ilvl w:val="0"/>
          <w:numId w:val="1"/>
        </w:numPr>
        <w:spacing w:after="80"/>
      </w:pPr>
      <w:r>
        <w:t xml:space="preserve">Both jwt.verify() call sites pin algorithms: ["HS256"] explicitly, rather than accepting whatever algorithm the token header declares.</w:t>
      </w:r>
    </w:p>
    <w:p>
      <w:pPr>
        <w:pStyle w:val="ListParagraph"/>
        <w:numPr>
          <w:ilvl w:val="0"/>
          <w:numId w:val="1"/>
        </w:numPr>
        <w:spacing w:after="80"/>
      </w:pPr>
      <w:r>
        <w:t xml:space="preserve">The access token lives in memory on the frontend only; the refresh token is HttpOnly, Secure, SameSite=Lax, and scoped to the /api/auth path — never reachable from JavaScript, and not attached to cross-site POST requests by the browser's own SameSite enforcement.</w:t>
      </w:r>
    </w:p>
    <w:p>
      <w:pPr>
        <w:pStyle w:val="ListParagraph"/>
        <w:numPr>
          <w:ilvl w:val="0"/>
          <w:numId w:val="1"/>
        </w:numPr>
        <w:spacing w:after="80"/>
      </w:pPr>
      <w:r>
        <w:t xml:space="preserve">Role and department are re-read from MongoDB on every request (via requireAuth), not trusted from the JWT payload — a role change takes effect on the user's very next request, without requiring re-login.</w:t>
      </w:r>
    </w:p>
    <w:p>
      <w:pPr>
        <w:pStyle w:val="Heading3"/>
        <w:spacing w:after="100" w:before="200"/>
      </w:pPr>
      <w:r>
        <w:t xml:space="preserve">4.2 Input sanitization</w:t>
      </w:r>
    </w:p>
    <w:p>
      <w:pPr>
        <w:pStyle w:val="ListParagraph"/>
        <w:numPr>
          <w:ilvl w:val="0"/>
          <w:numId w:val="1"/>
        </w:numPr>
        <w:spacing w:after="80"/>
      </w:pPr>
      <w:r>
        <w:t xml:space="preserve">A global sanitizeInput middleware runs before every route handler, recursively stripping any object key starting with "$" or containing "." from req.body, req.query, and req.params — closing the NoSQL operator-injection surface that Express's bracket-notation query parsing otherwise opens up (e.g. ?tag[$exists]=false).</w:t>
      </w:r>
    </w:p>
    <w:p>
      <w:pPr>
        <w:pStyle w:val="ListParagraph"/>
        <w:numPr>
          <w:ilvl w:val="0"/>
          <w:numId w:val="1"/>
        </w:numPr>
        <w:spacing w:after="80"/>
      </w:pPr>
      <w:r>
        <w:t xml:space="preserve">Server-side validation (src/utils/validators.js) enforces password strength and email format on signup independently of any client-side form validation, which enforces nothing against a direct API call.</w:t>
      </w:r>
    </w:p>
    <w:p>
      <w:pPr>
        <w:pStyle w:val="Heading3"/>
        <w:spacing w:after="100" w:before="200"/>
      </w:pPr>
      <w:r>
        <w:t xml:space="preserve">4.3 Authorization &amp; permission model</w:t>
      </w:r>
    </w:p>
    <w:p>
      <w:pPr>
        <w:pStyle w:val="ListParagraph"/>
        <w:numPr>
          <w:ilvl w:val="0"/>
          <w:numId w:val="1"/>
        </w:numPr>
        <w:spacing w:after="80"/>
      </w:pPr>
      <w:r>
        <w:t xml:space="preserve">permissionService.buildVisibilityFilter() constructs the $or clause embedded directly inside the $vectorSearch pre-filter — permission checking happens inside the database query itself, not as a post-hoc filter on results.</w:t>
      </w:r>
    </w:p>
    <w:p>
      <w:pPr>
        <w:pStyle w:val="ListParagraph"/>
        <w:numPr>
          <w:ilvl w:val="0"/>
          <w:numId w:val="1"/>
        </w:numPr>
        <w:spacing w:after="80"/>
      </w:pPr>
      <w:r>
        <w:t xml:space="preserve">permissionService.resolveAccessLevel() resolves, in order: explicit user-level override → explicit role-level override → department/security-level default. Documents outside a user's visibility return 404, identical to a nonexistent document — existence is never leaked to an unauthorized user.</w:t>
      </w:r>
    </w:p>
    <w:p>
      <w:pPr>
        <w:pStyle w:val="ListParagraph"/>
        <w:numPr>
          <w:ilvl w:val="0"/>
          <w:numId w:val="1"/>
        </w:numPr>
        <w:spacing w:after="80"/>
      </w:pPr>
      <w:r>
        <w:t xml:space="preserve">The document file-download endpoint (GET /api/documents/:id/file) re-resolves this permission on every single request and requires the "cite" access level specifically (not just "view") — it never trusts a cached or previous authorization decision, and only ever reads a filesystem path from the document's own database record, never from client input.</w:t>
      </w:r>
    </w:p>
    <w:p>
      <w:pPr>
        <w:pStyle w:val="Heading3"/>
        <w:spacing w:after="100" w:before="200"/>
      </w:pPr>
      <w:r>
        <w:t xml:space="preserve">4.4 File upload handling</w:t>
      </w:r>
    </w:p>
    <w:p>
      <w:pPr>
        <w:pStyle w:val="ListParagraph"/>
        <w:numPr>
          <w:ilvl w:val="0"/>
          <w:numId w:val="1"/>
        </w:numPr>
        <w:spacing w:after="80"/>
      </w:pPr>
      <w:r>
        <w:t xml:space="preserve">Multer's fileFilter allow-lists both file extension and declared MIME type, rejecting disallowed combinations before anything is written to disk (not just after, in the controller).</w:t>
      </w:r>
    </w:p>
    <w:p>
      <w:pPr>
        <w:pStyle w:val="ListParagraph"/>
        <w:numPr>
          <w:ilvl w:val="0"/>
          <w:numId w:val="1"/>
        </w:numPr>
        <w:spacing w:after="80"/>
      </w:pPr>
      <w:r>
        <w:t xml:space="preserve">Documented residual risk: this checks client-declared type metadata, not the file's actual content/magic bytes — a follow-up magic-byte check is recommended before treating this as resistant to a deliberately adversarial uploader (see Security Audit Report, Finding 4).</w:t>
      </w:r>
    </w:p>
    <w:p>
      <w:pPr>
        <w:pStyle w:val="Heading3"/>
        <w:spacing w:after="100" w:before="200"/>
      </w:pPr>
      <w:r>
        <w:t xml:space="preserve">4.5 Error handling</w:t>
      </w:r>
    </w:p>
    <w:p>
      <w:pPr>
        <w:pStyle w:val="ListParagraph"/>
        <w:numPr>
          <w:ilvl w:val="0"/>
          <w:numId w:val="1"/>
        </w:numPr>
        <w:spacing w:after="80"/>
      </w:pPr>
      <w:r>
        <w:t xml:space="preserve">Mongoose CastError and ValidationError are explicitly normalized to a clean 400 response, regardless of NODE_ENV — previously, an unset or non-"production" NODE_ENV (the default in some deploys) would echo raw driver error text, including internal model/field names, straight back to the client.</w:t>
      </w:r>
    </w:p>
    <w:p>
      <w:pPr>
        <w:pStyle w:val="Heading3"/>
        <w:spacing w:after="100" w:before="200"/>
      </w:pPr>
      <w:r>
        <w:t xml:space="preserve">4.6 Rate limiting &amp; network topology</w:t>
      </w:r>
    </w:p>
    <w:p>
      <w:pPr>
        <w:pStyle w:val="ListParagraph"/>
        <w:numPr>
          <w:ilvl w:val="0"/>
          <w:numId w:val="1"/>
        </w:numPr>
        <w:spacing w:after="80"/>
      </w:pPr>
      <w:r>
        <w:t xml:space="preserve">A stricter rate limiter applies to all four auth endpoints (signup, login, forgot-password, and refresh — previously refresh was excluded).</w:t>
      </w:r>
    </w:p>
    <w:p>
      <w:pPr>
        <w:pStyle w:val="ListParagraph"/>
        <w:numPr>
          <w:ilvl w:val="0"/>
          <w:numId w:val="1"/>
        </w:numPr>
        <w:spacing w:after="80"/>
      </w:pPr>
      <w:r>
        <w:t xml:space="preserve">An explicit TRUST_PROXY environment variable controls Express's trust-proxy setting, defaulting to the safe (untrusting) option. This must be set correctly for the actual deployment topology for IP-based rate limiting to be meaningful at all — see the Deployment Guide, §6.</w:t>
      </w:r>
    </w:p>
    <w:p>
      <w:r>
        <w:br w:type="page"/>
      </w:r>
    </w:p>
    <w:p>
      <w:pPr>
        <w:pStyle w:val="Heading1"/>
        <w:spacing w:after="160" w:before="360"/>
      </w:pPr>
      <w:r>
        <w:t xml:space="preserve">5. RAG Pipeline</w:t>
      </w:r>
    </w:p>
    <w:p>
      <w:pPr>
        <w:pStyle w:val="Heading3"/>
        <w:spacing w:after="100" w:before="200"/>
      </w:pPr>
      <w:r>
        <w:t xml:space="preserve">5.1 Ingestion</w:t>
      </w:r>
    </w:p>
    <w:p>
      <w:pPr>
        <w:spacing w:after="160"/>
      </w:pPr>
      <w:r>
        <w:t xml:space="preserve">Upload → BullMQ queue (Redis) → separate worker process → extract (with automatic OCR fallback for scanned PDFs via pdf2pic + tesseract.js; native OOXML-zip text extraction for .pptx via jszip) → chunk (recursive, ~600 tokens, 15% overlap) → embed → store in document_chunks with tenantId/department/securityLevel denormalized onto each chunk for the vector-search pre-filter.</w:t>
      </w:r>
    </w:p>
    <w:p>
      <w:pPr>
        <w:pStyle w:val="Heading3"/>
        <w:spacing w:after="100" w:before="200"/>
      </w:pPr>
      <w:r>
        <w:t xml:space="preserve">5.2 Retrieval</w:t>
      </w:r>
    </w:p>
    <w:p>
      <w:pPr>
        <w:spacing w:after="160"/>
      </w:pPr>
      <w:r>
        <w:t xml:space="preserve">User question → embed → MongoDB $vectorSearch, pre-filtered by tenantId + the requesting user's allowed security levels + department/public/role scope, all inside the same aggregation stage — not a separate authorization check layered on afterward.</w:t>
      </w:r>
    </w:p>
    <w:p>
      <w:pPr>
        <w:pStyle w:val="Heading3"/>
        <w:spacing w:after="100" w:before="200"/>
      </w:pPr>
      <w:r>
        <w:t xml:space="preserve">5.3 Generation</w:t>
      </w:r>
    </w:p>
    <w:p>
      <w:pPr>
        <w:spacing w:after="160"/>
      </w:pPr>
      <w:r>
        <w:t xml:space="preserve">Top-K chunks + short-term conversation memory → prompt assembly (the system prompt instructs the model to answer only from the provided context and to emit an explicit not-found marker otherwise) → LLM call → citation mapping back to source document/page → confidence scoring, blending retrieval similarity with agreement across the top chunks. An answer is only presented as grounded if BOTH real citations exist AND computed confidence clears a floor — a fluent-sounding answer with weak retrieval support is treated as ungrounded regardless of what the model produced.</w:t>
      </w:r>
    </w:p>
    <w:p>
      <w:pPr>
        <w:pStyle w:val="Heading1"/>
        <w:spacing w:after="160" w:before="360"/>
      </w:pPr>
      <w:r>
        <w:t xml:space="preserve">6. Multi-Tenancy</w:t>
      </w:r>
    </w:p>
    <w:p>
      <w:pPr>
        <w:spacing w:after="160"/>
      </w:pPr>
      <w:r>
        <w:t xml:space="preserve">Every collection carries tenantId; every service-layer query — especially $vectorSearch — filters on it. tenantId is derived exclusively from the authenticated user's own database record on every request and is never accepted from client input, so there is no cross-tenant injection surface via request parameters. v1 runs a single default tenant; the schema and query layer are already multi-tenant-shaped for when that changes.</w:t>
      </w:r>
    </w:p>
    <w:p>
      <w:pPr>
        <w:pStyle w:val="Heading1"/>
        <w:spacing w:after="160" w:before="360"/>
      </w:pPr>
      <w:r>
        <w:t xml:space="preserve">7. Deployment Overview</w:t>
      </w:r>
    </w:p>
    <w:p>
      <w:pPr>
        <w:spacing w:after="160"/>
      </w:pPr>
      <w:r>
        <w:t xml:space="preserve">The API tier and ingestion worker are both stateless Node processes and scale horizontally independently of each other. See the companion Deployment Guide for the full topology, environment configuration, and production launch checklist.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63"/>
        <w:sz w:val="16"/>
        <w:szCs w:val="16"/>
      </w:rPr>
      <w:t xml:space="preserve">Page </w:t>
    </w:r>
    <w:r>
      <w:rPr>
        <w:color w:val="5B5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B63"/>
        <w:sz w:val="16"/>
        <w:szCs w:val="16"/>
      </w:rPr>
      <w:t xml:space="preserve">EKIP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1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Arial" w:cs="Arial" w:eastAsia="Arial" w:hAnsi="Arial"/>
      <w:b/>
      <w:bCs/>
      <w:color w:val="111114"/>
      <w:sz w:val="32"/>
      <w:szCs w:val="32"/>
    </w:rPr>
  </w:style>
  <w:style w:type="paragraph" w:styleId="Heading2">
    <w:name w:val="Heading 2"/>
    <w:basedOn w:val="Normal"/>
    <w:next w:val="Normal"/>
    <w:qFormat/>
    <w:pPr>
      <w:spacing w:after="120" w:before="300"/>
    </w:pPr>
    <w:rPr>
      <w:rFonts w:ascii="Arial" w:cs="Arial" w:eastAsia="Arial" w:hAnsi="Arial"/>
      <w:b/>
      <w:bCs/>
      <w:color w:val="3D46F5"/>
      <w:sz w:val="26"/>
      <w:szCs w:val="26"/>
    </w:rPr>
  </w:style>
  <w:style w:type="paragraph" w:styleId="Heading3">
    <w:name w:val="Heading 3"/>
    <w:basedOn w:val="Normal"/>
    <w:next w:val="Normal"/>
    <w:qFormat/>
    <w:pPr>
      <w:spacing w:after="100" w:before="200"/>
    </w:pPr>
    <w:rPr>
      <w:rFonts w:ascii="Arial" w:cs="Arial" w:eastAsia="Arial" w:hAnsi="Arial"/>
      <w:b/>
      <w:bCs/>
      <w:color w:val="1111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2026-07-25T11:37:26.218Z</dcterms:created>
  <dcterms:modified xsi:type="dcterms:W3CDTF">2026-07-25T11:37:26.219Z</dcterms:modified>
</cp:coreProperties>
</file>

<file path=docProps/custom.xml><?xml version="1.0" encoding="utf-8"?>
<Properties xmlns="http://schemas.openxmlformats.org/officeDocument/2006/custom-properties" xmlns:vt="http://schemas.openxmlformats.org/officeDocument/2006/docPropsVTypes"/>
</file>