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Multimedia</w:t>
      </w:r>
      <w:r>
        <w:t xml:space="preserve"> </w:t>
      </w:r>
      <w:r>
        <w:t xml:space="preserve">Information</w:t>
      </w:r>
      <w:r>
        <w:t xml:space="preserve"> </w:t>
      </w:r>
      <w:r>
        <w:t xml:space="preserve">Processing</w:t>
      </w:r>
      <w:r>
        <w:t xml:space="preserve"> </w:t>
      </w:r>
      <w:r>
        <w:t xml:space="preserve">–</w:t>
      </w:r>
      <w:r>
        <w:t xml:space="preserve"> </w:t>
      </w:r>
      <w:r>
        <w:t xml:space="preserve">Assignment</w:t>
      </w:r>
      <w:r>
        <w:t xml:space="preserve"> </w:t>
      </w:r>
      <w:r>
        <w:t xml:space="preserve">#1</w:t>
      </w:r>
    </w:p>
    <w:p>
      <w:pPr>
        <w:pStyle w:val="Author"/>
      </w:pPr>
      <w:r>
        <w:t xml:space="preserve">Fiaz</w:t>
      </w:r>
      <w:r>
        <w:t xml:space="preserve"> </w:t>
      </w:r>
      <w:r>
        <w:t xml:space="preserve">Zafar</w:t>
      </w:r>
      <w:r>
        <w:t xml:space="preserve"> </w:t>
      </w:r>
      <w:r>
        <w:t xml:space="preserve">(SAP-ID</w:t>
      </w:r>
      <w:r>
        <w:t xml:space="preserve"> </w:t>
      </w:r>
      <w:r>
        <w:t xml:space="preserve">70189246)</w:t>
      </w:r>
    </w:p>
    <w:p>
      <w:pPr>
        <w:pStyle w:val="Date"/>
      </w:pPr>
      <w:r>
        <w:t xml:space="preserve">15</w:t>
      </w:r>
      <w:r>
        <w:t xml:space="preserve"> </w:t>
      </w:r>
      <w:r>
        <w:t xml:space="preserve">November</w:t>
      </w:r>
      <w:r>
        <w:t xml:space="preserve"> </w:t>
      </w:r>
      <w:r>
        <w:t xml:space="preserve">2025</w:t>
      </w:r>
    </w:p>
    <w:bookmarkStart w:id="20" w:name="cover-page"/>
    <w:p>
      <w:pPr>
        <w:pStyle w:val="Heading1"/>
      </w:pPr>
      <w:r>
        <w:t xml:space="preserve">Cover Page</w:t>
      </w:r>
    </w:p>
    <w:p>
      <w:pPr>
        <w:pStyle w:val="FirstParagraph"/>
      </w:pPr>
      <w:r>
        <w:rPr>
          <w:bCs/>
          <w:b/>
        </w:rPr>
        <w:t xml:space="preserve">Department of Computer Science</w:t>
      </w:r>
      <w:r>
        <w:br/>
      </w:r>
      <w:r>
        <w:rPr>
          <w:bCs/>
          <w:b/>
        </w:rPr>
        <w:t xml:space="preserve">Subject:</w:t>
      </w:r>
      <w:r>
        <w:t xml:space="preserve"> </w:t>
      </w:r>
      <w:r>
        <w:t xml:space="preserve">Multimedia Information Processing</w:t>
      </w:r>
      <w:r>
        <w:br/>
      </w:r>
      <w:r>
        <w:rPr>
          <w:bCs/>
          <w:b/>
        </w:rPr>
        <w:t xml:space="preserve">Assignment # 1 – Cosine Similarity using Category Discriminating Terms</w:t>
      </w:r>
      <w:r>
        <w:br/>
      </w:r>
      <w:r>
        <w:rPr>
          <w:bCs/>
          <w:b/>
        </w:rPr>
        <w:t xml:space="preserve">Due Date:</w:t>
      </w:r>
      <w:r>
        <w:t xml:space="preserve"> </w:t>
      </w:r>
      <w:r>
        <w:t xml:space="preserve">15/11/2025     </w:t>
      </w:r>
      <w:r>
        <w:t xml:space="preserve"> </w:t>
      </w:r>
      <w:r>
        <w:rPr>
          <w:bCs/>
          <w:b/>
        </w:rPr>
        <w:t xml:space="preserve">Total Marks:</w:t>
      </w:r>
      <w:r>
        <w:t xml:space="preserve"> </w:t>
      </w:r>
      <w:r>
        <w:t xml:space="preserve">15</w:t>
      </w:r>
    </w:p>
    <w:p>
      <w:pPr>
        <w:pStyle w:val="BodyText"/>
      </w:pPr>
      <w:r>
        <w:rPr>
          <w:bCs/>
          <w:b/>
        </w:rPr>
        <w:t xml:space="preserve">Submitted By:</w:t>
      </w:r>
      <w:r>
        <w:br/>
      </w:r>
      <w:r>
        <w:t xml:space="preserve">Name:</w:t>
      </w:r>
      <w:r>
        <w:t xml:space="preserve"> </w:t>
      </w:r>
      <w:r>
        <w:rPr>
          <w:bCs/>
          <w:b/>
        </w:rPr>
        <w:t xml:space="preserve">Fiaz Zafar</w:t>
      </w:r>
      <w:r>
        <w:br/>
      </w:r>
      <w:r>
        <w:t xml:space="preserve">SAP-ID / Roll No:</w:t>
      </w:r>
      <w:r>
        <w:t xml:space="preserve"> </w:t>
      </w:r>
      <w:r>
        <w:rPr>
          <w:bCs/>
          <w:b/>
        </w:rPr>
        <w:t xml:space="preserve">70189246</w:t>
      </w:r>
      <w:r>
        <w:br/>
      </w:r>
      <w:r>
        <w:t xml:space="preserve">Program:</w:t>
      </w:r>
      <w:r>
        <w:t xml:space="preserve"> </w:t>
      </w:r>
      <w:r>
        <w:rPr>
          <w:bCs/>
          <w:b/>
        </w:rPr>
        <w:t xml:space="preserve">MS Computer Science</w:t>
      </w:r>
      <w:r>
        <w:br/>
      </w:r>
      <w:r>
        <w:t xml:space="preserve">Submitted To:</w:t>
      </w:r>
      <w:r>
        <w:t xml:space="preserve"> </w:t>
      </w:r>
      <w:r>
        <w:rPr>
          <w:bCs/>
          <w:b/>
        </w:rPr>
        <w:t xml:space="preserve">Dr. Mehtab Afzal</w:t>
      </w:r>
      <w:r>
        <w:br/>
      </w:r>
      <w:r>
        <w:t xml:space="preserve">Institution:</w:t>
      </w:r>
      <w:r>
        <w:t xml:space="preserve"> </w:t>
      </w:r>
      <w:r>
        <w:rPr>
          <w:bCs/>
          <w:b/>
        </w:rPr>
        <w:t xml:space="preserve">The University of Lahore</w:t>
      </w:r>
      <w:r>
        <w:br/>
      </w:r>
      <w:r>
        <w:t xml:space="preserve">Submission Date:</w:t>
      </w:r>
      <w:r>
        <w:t xml:space="preserve"> </w:t>
      </w:r>
      <w:r>
        <w:rPr>
          <w:bCs/>
          <w:b/>
        </w:rPr>
        <w:t xml:space="preserve">15 November 2025</w:t>
      </w:r>
    </w:p>
    <w:p>
      <w:pPr>
        <w:pStyle w:val="BlockText"/>
      </w:pPr>
      <w:r>
        <w:rPr>
          <w:bCs/>
          <w:b/>
        </w:rPr>
        <w:t xml:space="preserve">Design Note:</w:t>
      </w:r>
      <w:r>
        <w:t xml:space="preserve"> </w:t>
      </w:r>
      <w:r>
        <w:t xml:space="preserve">Insert the University of Lahore crest centered near the top of the cover page and place a low-opacity Minar-e-Pakistan watermark in the lower-right corner. Keep the color palette green (#0C5C2C) and gray, mirroring your friend’s layout while remaining original.</w:t>
      </w:r>
    </w:p>
    <w:bookmarkEnd w:id="20"/>
    <w:bookmarkStart w:id="21" w:name="table-of-contents"/>
    <w:p>
      <w:pPr>
        <w:pStyle w:val="Heading1"/>
      </w:pPr>
      <w:r>
        <w:t xml:space="preserve">Table of Contents</w:t>
      </w:r>
    </w:p>
    <w:p>
      <w:pPr>
        <w:numPr>
          <w:ilvl w:val="0"/>
          <w:numId w:val="1001"/>
        </w:numPr>
        <w:pStyle w:val="Compact"/>
      </w:pPr>
      <w:r>
        <w:t xml:space="preserve">Introduction</w:t>
      </w:r>
      <w:r>
        <w:br/>
      </w:r>
    </w:p>
    <w:p>
      <w:pPr>
        <w:numPr>
          <w:ilvl w:val="0"/>
          <w:numId w:val="1001"/>
        </w:numPr>
        <w:pStyle w:val="Compact"/>
      </w:pPr>
      <w:r>
        <w:t xml:space="preserve">Dataset Overview</w:t>
      </w:r>
      <w:r>
        <w:br/>
      </w:r>
    </w:p>
    <w:p>
      <w:pPr>
        <w:numPr>
          <w:ilvl w:val="0"/>
          <w:numId w:val="1001"/>
        </w:numPr>
        <w:pStyle w:val="Compact"/>
      </w:pPr>
      <w:r>
        <w:t xml:space="preserve">Experimental Objectives</w:t>
      </w:r>
      <w:r>
        <w:br/>
      </w:r>
    </w:p>
    <w:p>
      <w:pPr>
        <w:numPr>
          <w:ilvl w:val="0"/>
          <w:numId w:val="1001"/>
        </w:numPr>
        <w:pStyle w:val="Compact"/>
      </w:pPr>
      <w:r>
        <w:t xml:space="preserve">Methodology and Parameterization</w:t>
      </w:r>
      <w:r>
        <w:br/>
      </w:r>
    </w:p>
    <w:p>
      <w:pPr>
        <w:numPr>
          <w:ilvl w:val="0"/>
          <w:numId w:val="1001"/>
        </w:numPr>
        <w:pStyle w:val="Compact"/>
      </w:pPr>
      <w:r>
        <w:t xml:space="preserve">Detailed Implementation (Python Workflow)</w:t>
      </w:r>
      <w:r>
        <w:br/>
      </w:r>
    </w:p>
    <w:p>
      <w:pPr>
        <w:numPr>
          <w:ilvl w:val="0"/>
          <w:numId w:val="1001"/>
        </w:numPr>
        <w:pStyle w:val="Compact"/>
      </w:pPr>
      <w:r>
        <w:t xml:space="preserve">Category Discriminating Terms (CDTs)</w:t>
      </w:r>
      <w:r>
        <w:br/>
      </w:r>
    </w:p>
    <w:p>
      <w:pPr>
        <w:numPr>
          <w:ilvl w:val="0"/>
          <w:numId w:val="1001"/>
        </w:numPr>
        <w:pStyle w:val="Compact"/>
      </w:pPr>
      <w:r>
        <w:t xml:space="preserve">Cosine Similarity Computation</w:t>
      </w:r>
      <w:r>
        <w:br/>
      </w:r>
    </w:p>
    <w:p>
      <w:pPr>
        <w:numPr>
          <w:ilvl w:val="0"/>
          <w:numId w:val="1001"/>
        </w:numPr>
        <w:pStyle w:val="Compact"/>
      </w:pPr>
      <w:r>
        <w:t xml:space="preserve">Evaluation Metrics and Results</w:t>
      </w:r>
      <w:r>
        <w:br/>
      </w:r>
    </w:p>
    <w:p>
      <w:pPr>
        <w:numPr>
          <w:ilvl w:val="0"/>
          <w:numId w:val="1001"/>
        </w:numPr>
        <w:pStyle w:val="Compact"/>
      </w:pPr>
      <w:r>
        <w:t xml:space="preserve">Visualizations</w:t>
      </w:r>
      <w:r>
        <w:br/>
      </w:r>
    </w:p>
    <w:p>
      <w:pPr>
        <w:numPr>
          <w:ilvl w:val="0"/>
          <w:numId w:val="1001"/>
        </w:numPr>
        <w:pStyle w:val="Compact"/>
      </w:pPr>
      <w:r>
        <w:t xml:space="preserve">Observations and Discussion</w:t>
      </w:r>
      <w:r>
        <w:br/>
      </w:r>
    </w:p>
    <w:p>
      <w:pPr>
        <w:numPr>
          <w:ilvl w:val="0"/>
          <w:numId w:val="1001"/>
        </w:numPr>
        <w:pStyle w:val="Compact"/>
      </w:pPr>
      <w:r>
        <w:t xml:space="preserve">Conclusion</w:t>
      </w:r>
      <w:r>
        <w:br/>
      </w:r>
    </w:p>
    <w:p>
      <w:pPr>
        <w:numPr>
          <w:ilvl w:val="0"/>
          <w:numId w:val="1001"/>
        </w:numPr>
        <w:pStyle w:val="Compact"/>
      </w:pPr>
      <w:r>
        <w:t xml:space="preserve">References</w:t>
      </w:r>
      <w:r>
        <w:br/>
      </w:r>
      <w:r>
        <w:t xml:space="preserve">Appendix A – PDF Conversion Checklist</w:t>
      </w:r>
      <w:r>
        <w:br/>
      </w:r>
      <w:r>
        <w:t xml:space="preserve">Appendix B – Suggested Attachments</w:t>
      </w:r>
    </w:p>
    <w:bookmarkEnd w:id="21"/>
    <w:bookmarkStart w:id="22" w:name="introduction"/>
    <w:p>
      <w:pPr>
        <w:pStyle w:val="Heading1"/>
      </w:pPr>
      <w:r>
        <w:t xml:space="preserve">1. Introduction</w:t>
      </w:r>
    </w:p>
    <w:p>
      <w:pPr>
        <w:pStyle w:val="FirstParagraph"/>
      </w:pPr>
      <w:r>
        <w:t xml:space="preserve">The Multimedia Information Processing (MIP) Assignment #1 builds a content-based retrieval pipeline for classifying YouTube-style videos into predefined categories. Each video description bundles the original title and user-assigned tags. The training corpus (4,610 videos) is used exclusively to learn Category Discriminating Terms (CDTs), while the testing corpus (4,657 videos) is evaluated by computing cosine similarity between each test vector and category profile vectors. Performance is reported via Mean Average Precision (MAP) in line with standard information-retrieval practice.</w:t>
      </w:r>
    </w:p>
    <w:bookmarkEnd w:id="22"/>
    <w:bookmarkStart w:id="23" w:name="dataset-overview"/>
    <w:p>
      <w:pPr>
        <w:pStyle w:val="Heading1"/>
      </w:pPr>
      <w:r>
        <w:t xml:space="preserve">2. Dataset Overview</w:t>
      </w:r>
    </w:p>
    <w:p>
      <w:pPr>
        <w:numPr>
          <w:ilvl w:val="0"/>
          <w:numId w:val="1002"/>
        </w:numPr>
        <w:pStyle w:val="Compact"/>
      </w:pPr>
      <w:r>
        <w:rPr>
          <w:bCs/>
          <w:b/>
        </w:rPr>
        <w:t xml:space="preserve">Training File:</w:t>
      </w:r>
      <w:r>
        <w:t xml:space="preserve"> </w:t>
      </w:r>
      <w:r>
        <w:rPr>
          <w:rStyle w:val="VerbatimChar"/>
        </w:rPr>
        <w:t xml:space="preserve">Training data (Core) 4610.xlsx</w:t>
      </w:r>
    </w:p>
    <w:p>
      <w:pPr>
        <w:numPr>
          <w:ilvl w:val="0"/>
          <w:numId w:val="1002"/>
        </w:numPr>
        <w:pStyle w:val="Compact"/>
      </w:pPr>
      <w:r>
        <w:rPr>
          <w:bCs/>
          <w:b/>
        </w:rPr>
        <w:t xml:space="preserve">Testing File:</w:t>
      </w:r>
      <w:r>
        <w:t xml:space="preserve"> </w:t>
      </w:r>
      <w:r>
        <w:rPr>
          <w:rStyle w:val="VerbatimChar"/>
        </w:rPr>
        <w:t xml:space="preserve">Testing data (Core) 4657.xlsx</w:t>
      </w:r>
    </w:p>
    <w:p>
      <w:pPr>
        <w:numPr>
          <w:ilvl w:val="0"/>
          <w:numId w:val="1002"/>
        </w:numPr>
        <w:pStyle w:val="Compact"/>
      </w:pPr>
      <w:r>
        <w:rPr>
          <w:bCs/>
          <w:b/>
        </w:rPr>
        <w:t xml:space="preserve">Fields Consumed:</w:t>
      </w:r>
      <w:r>
        <w:t xml:space="preserve"> </w:t>
      </w:r>
      <w:r>
        <w:rPr>
          <w:rStyle w:val="VerbatimChar"/>
        </w:rPr>
        <w:t xml:space="preserve">core-video-video-title</w:t>
      </w:r>
      <w:r>
        <w:t xml:space="preserve">,</w:t>
      </w:r>
      <w:r>
        <w:t xml:space="preserve"> </w:t>
      </w:r>
      <w:r>
        <w:rPr>
          <w:rStyle w:val="VerbatimChar"/>
        </w:rPr>
        <w:t xml:space="preserve">core-video-video-tag</w:t>
      </w:r>
      <w:r>
        <w:t xml:space="preserve">, and</w:t>
      </w:r>
      <w:r>
        <w:t xml:space="preserve"> </w:t>
      </w:r>
      <w:r>
        <w:rPr>
          <w:rStyle w:val="VerbatimChar"/>
        </w:rPr>
        <w:t xml:space="preserve">category</w:t>
      </w:r>
      <w:r>
        <w:t xml:space="preserve"> </w:t>
      </w:r>
      <w:r>
        <w:t xml:space="preserve">(train only)</w:t>
      </w:r>
    </w:p>
    <w:p>
      <w:pPr>
        <w:numPr>
          <w:ilvl w:val="0"/>
          <w:numId w:val="1002"/>
        </w:numPr>
        <w:pStyle w:val="Compact"/>
      </w:pPr>
      <w:r>
        <w:rPr>
          <w:bCs/>
          <w:b/>
        </w:rPr>
        <w:t xml:space="preserve">Auxiliary Resource:</w:t>
      </w:r>
      <w:r>
        <w:t xml:space="preserve"> </w:t>
      </w:r>
      <w:r>
        <w:rPr>
          <w:rStyle w:val="VerbatimChar"/>
        </w:rPr>
        <w:t xml:space="preserve">english.stop</w:t>
      </w:r>
      <w:r>
        <w:t xml:space="preserve"> </w:t>
      </w:r>
      <w:r>
        <w:t xml:space="preserve">(custom stop-word list)</w:t>
      </w:r>
    </w:p>
    <w:p>
      <w:pPr>
        <w:pStyle w:val="FirstParagraph"/>
      </w:pPr>
      <w:r>
        <w:t xml:space="preserve">Both datasets contain multilingual, noisy text, demanding uniform preprocessing to ensure consistent token statistics.</w:t>
      </w:r>
    </w:p>
    <w:bookmarkEnd w:id="23"/>
    <w:bookmarkStart w:id="24" w:name="experimental-objectives"/>
    <w:p>
      <w:pPr>
        <w:pStyle w:val="Heading1"/>
      </w:pPr>
      <w:r>
        <w:t xml:space="preserve">3. Experimental Objectives</w:t>
      </w:r>
    </w:p>
    <w:p>
      <w:pPr>
        <w:numPr>
          <w:ilvl w:val="0"/>
          <w:numId w:val="1003"/>
        </w:numPr>
        <w:pStyle w:val="Compact"/>
      </w:pPr>
      <w:r>
        <w:t xml:space="preserve">Preprocess textual attributes (title + tags) for both training and testing sets.</w:t>
      </w:r>
    </w:p>
    <w:p>
      <w:pPr>
        <w:numPr>
          <w:ilvl w:val="0"/>
          <w:numId w:val="1003"/>
        </w:numPr>
        <w:pStyle w:val="Compact"/>
      </w:pPr>
      <w:r>
        <w:t xml:space="preserve">Generate Category Discriminating Terms with a documented frequency threshold of</w:t>
      </w:r>
      <w:r>
        <w:t xml:space="preserve"> </w:t>
      </w:r>
      <w:r>
        <w:rPr>
          <w:bCs/>
          <w:b/>
        </w:rPr>
        <w:t xml:space="preserve">60</w:t>
      </w:r>
      <w:r>
        <w:t xml:space="preserve">.</w:t>
      </w:r>
    </w:p>
    <w:p>
      <w:pPr>
        <w:numPr>
          <w:ilvl w:val="0"/>
          <w:numId w:val="1003"/>
        </w:numPr>
        <w:pStyle w:val="Compact"/>
      </w:pPr>
      <w:r>
        <w:t xml:space="preserve">Build category profile vectors restricted to the learned CDT vocabulary.</w:t>
      </w:r>
    </w:p>
    <w:p>
      <w:pPr>
        <w:numPr>
          <w:ilvl w:val="0"/>
          <w:numId w:val="1003"/>
        </w:numPr>
        <w:pStyle w:val="Compact"/>
      </w:pPr>
      <w:r>
        <w:t xml:space="preserve">Compute cosine similarity between each test vector and every category profile.</w:t>
      </w:r>
    </w:p>
    <w:p>
      <w:pPr>
        <w:numPr>
          <w:ilvl w:val="0"/>
          <w:numId w:val="1003"/>
        </w:numPr>
        <w:pStyle w:val="Compact"/>
      </w:pPr>
      <w:r>
        <w:t xml:space="preserve">Rank categories per test sample, compute Average Precision (AP), and report MAP.</w:t>
      </w:r>
    </w:p>
    <w:p>
      <w:pPr>
        <w:numPr>
          <w:ilvl w:val="0"/>
          <w:numId w:val="1003"/>
        </w:numPr>
        <w:pStyle w:val="Compact"/>
      </w:pPr>
      <w:r>
        <w:t xml:space="preserve">Visualize AP distribution and CDT coverage to highlight strengths and weaknesses.</w:t>
      </w:r>
    </w:p>
    <w:bookmarkEnd w:id="24"/>
    <w:bookmarkStart w:id="25" w:name="methodology-and-parameterization"/>
    <w:p>
      <w:pPr>
        <w:pStyle w:val="Heading1"/>
      </w:pPr>
      <w:r>
        <w:t xml:space="preserve">4. Methodology and Parameterization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Chosen Value</w:t>
            </w:r>
          </w:p>
        </w:tc>
        <w:tc>
          <w:tcPr/>
          <w:p>
            <w:pPr>
              <w:pStyle w:val="Compact"/>
              <w:jc w:val="left"/>
            </w:pPr>
            <w:r>
              <w:t xml:space="preserve">Rationale</w:t>
            </w:r>
          </w:p>
        </w:tc>
      </w:tr>
      <w:tr>
        <w:tc>
          <w:tcPr/>
          <w:p>
            <w:pPr>
              <w:pStyle w:val="Compact"/>
              <w:jc w:val="left"/>
            </w:pPr>
            <w:r>
              <w:t xml:space="preserve">Text Combination</w:t>
            </w:r>
          </w:p>
        </w:tc>
        <w:tc>
          <w:tcPr/>
          <w:p>
            <w:pPr>
              <w:pStyle w:val="Compact"/>
              <w:jc w:val="left"/>
            </w:pPr>
            <w:r>
              <w:rPr>
                <w:rStyle w:val="VerbatimChar"/>
              </w:rPr>
              <w:t xml:space="preserve">title + tags</w:t>
            </w:r>
          </w:p>
        </w:tc>
        <w:tc>
          <w:tcPr/>
          <w:p>
            <w:pPr>
              <w:pStyle w:val="Compact"/>
              <w:jc w:val="left"/>
            </w:pPr>
            <w:r>
              <w:t xml:space="preserve">Captures descriptive + contextual information</w:t>
            </w:r>
          </w:p>
        </w:tc>
      </w:tr>
      <w:tr>
        <w:tc>
          <w:tcPr/>
          <w:p>
            <w:pPr>
              <w:pStyle w:val="Compact"/>
              <w:jc w:val="left"/>
            </w:pPr>
            <w:r>
              <w:t xml:space="preserve">Normalization Steps</w:t>
            </w:r>
          </w:p>
        </w:tc>
        <w:tc>
          <w:tcPr/>
          <w:p>
            <w:pPr>
              <w:pStyle w:val="Compact"/>
              <w:jc w:val="left"/>
            </w:pPr>
            <w:r>
              <w:t xml:space="preserve">Lowercasing, punctuation stripping</w:t>
            </w:r>
          </w:p>
        </w:tc>
        <w:tc>
          <w:tcPr/>
          <w:p>
            <w:pPr>
              <w:pStyle w:val="Compact"/>
              <w:jc w:val="left"/>
            </w:pPr>
            <w:r>
              <w:t xml:space="preserve">Minimizes token sparsity</w:t>
            </w:r>
          </w:p>
        </w:tc>
      </w:tr>
      <w:tr>
        <w:tc>
          <w:tcPr/>
          <w:p>
            <w:pPr>
              <w:pStyle w:val="Compact"/>
              <w:jc w:val="left"/>
            </w:pPr>
            <w:r>
              <w:t xml:space="preserve">Stop-word List</w:t>
            </w:r>
          </w:p>
        </w:tc>
        <w:tc>
          <w:tcPr/>
          <w:p>
            <w:pPr>
              <w:pStyle w:val="Compact"/>
              <w:jc w:val="left"/>
            </w:pPr>
            <w:r>
              <w:rPr>
                <w:rStyle w:val="VerbatimChar"/>
              </w:rPr>
              <w:t xml:space="preserve">english.stop</w:t>
            </w:r>
            <w:r>
              <w:t xml:space="preserve"> </w:t>
            </w:r>
            <w:r>
              <w:t xml:space="preserve">(custom)</w:t>
            </w:r>
          </w:p>
        </w:tc>
        <w:tc>
          <w:tcPr/>
          <w:p>
            <w:pPr>
              <w:pStyle w:val="Compact"/>
              <w:jc w:val="left"/>
            </w:pPr>
            <w:r>
              <w:t xml:space="preserve">Aligns with provided resources</w:t>
            </w:r>
          </w:p>
        </w:tc>
      </w:tr>
      <w:tr>
        <w:tc>
          <w:tcPr/>
          <w:p>
            <w:pPr>
              <w:pStyle w:val="Compact"/>
              <w:jc w:val="left"/>
            </w:pPr>
            <w:r>
              <w:t xml:space="preserve">Minimum Token Length</w:t>
            </w:r>
          </w:p>
        </w:tc>
        <w:tc>
          <w:tcPr/>
          <w:p>
            <w:pPr>
              <w:pStyle w:val="Compact"/>
              <w:jc w:val="left"/>
            </w:pPr>
            <w:r>
              <w:t xml:space="preserve">3 characters</w:t>
            </w:r>
          </w:p>
        </w:tc>
        <w:tc>
          <w:tcPr/>
          <w:p>
            <w:pPr>
              <w:pStyle w:val="Compact"/>
              <w:jc w:val="left"/>
            </w:pPr>
            <w:r>
              <w:t xml:space="preserve">Filters noise tokens</w:t>
            </w:r>
          </w:p>
        </w:tc>
      </w:tr>
      <w:tr>
        <w:tc>
          <w:tcPr/>
          <w:p>
            <w:pPr>
              <w:pStyle w:val="Compact"/>
              <w:jc w:val="left"/>
            </w:pPr>
            <w:r>
              <w:t xml:space="preserve">CDT Source</w:t>
            </w:r>
          </w:p>
        </w:tc>
        <w:tc>
          <w:tcPr/>
          <w:p>
            <w:pPr>
              <w:pStyle w:val="Compact"/>
              <w:jc w:val="left"/>
            </w:pPr>
            <w:r>
              <w:t xml:space="preserve">Training data only</w:t>
            </w:r>
          </w:p>
        </w:tc>
        <w:tc>
          <w:tcPr/>
          <w:p>
            <w:pPr>
              <w:pStyle w:val="Compact"/>
              <w:jc w:val="left"/>
            </w:pPr>
            <w:r>
              <w:t xml:space="preserve">Prevents data leakage</w:t>
            </w:r>
          </w:p>
        </w:tc>
      </w:tr>
      <w:tr>
        <w:tc>
          <w:tcPr/>
          <w:p>
            <w:pPr>
              <w:pStyle w:val="Compact"/>
              <w:jc w:val="left"/>
            </w:pPr>
            <w:r>
              <w:t xml:space="preserve">CDT Frequency Threshold</w:t>
            </w:r>
          </w:p>
        </w:tc>
        <w:tc>
          <w:tcPr/>
          <w:p>
            <w:pPr>
              <w:pStyle w:val="Compact"/>
              <w:jc w:val="left"/>
            </w:pPr>
            <w:r>
              <w:rPr>
                <w:bCs/>
                <w:b/>
              </w:rPr>
              <w:t xml:space="preserve">60</w:t>
            </w:r>
          </w:p>
        </w:tc>
        <w:tc>
          <w:tcPr/>
          <w:p>
            <w:pPr>
              <w:pStyle w:val="Compact"/>
              <w:jc w:val="left"/>
            </w:pPr>
            <w:r>
              <w:t xml:space="preserve">Balances discriminativeness and coverage</w:t>
            </w:r>
          </w:p>
        </w:tc>
      </w:tr>
      <w:tr>
        <w:tc>
          <w:tcPr/>
          <w:p>
            <w:pPr>
              <w:pStyle w:val="Compact"/>
              <w:jc w:val="left"/>
            </w:pPr>
            <w:r>
              <w:t xml:space="preserve">Vectorizer</w:t>
            </w:r>
          </w:p>
        </w:tc>
        <w:tc>
          <w:tcPr/>
          <w:p>
            <w:pPr>
              <w:pStyle w:val="Compact"/>
              <w:jc w:val="left"/>
            </w:pPr>
            <w:r>
              <w:rPr>
                <w:rStyle w:val="VerbatimChar"/>
              </w:rPr>
              <w:t xml:space="preserve">CountVectorizer</w:t>
            </w:r>
            <w:r>
              <w:t xml:space="preserve"> </w:t>
            </w:r>
            <w:r>
              <w:t xml:space="preserve">(raw TF)</w:t>
            </w:r>
          </w:p>
        </w:tc>
        <w:tc>
          <w:tcPr/>
          <w:p>
            <w:pPr>
              <w:pStyle w:val="Compact"/>
              <w:jc w:val="left"/>
            </w:pPr>
            <w:r>
              <w:t xml:space="preserve">Offers interpretability</w:t>
            </w:r>
          </w:p>
        </w:tc>
      </w:tr>
      <w:tr>
        <w:tc>
          <w:tcPr/>
          <w:p>
            <w:pPr>
              <w:pStyle w:val="Compact"/>
              <w:jc w:val="left"/>
            </w:pPr>
            <w:r>
              <w:t xml:space="preserve">Similarity Metric</w:t>
            </w:r>
          </w:p>
        </w:tc>
        <w:tc>
          <w:tcPr/>
          <w:p>
            <w:pPr>
              <w:pStyle w:val="Compact"/>
              <w:jc w:val="left"/>
            </w:pPr>
            <w:r>
              <w:t xml:space="preserve">Cosine similarity (L2-normalized vectors)</w:t>
            </w:r>
          </w:p>
        </w:tc>
        <w:tc>
          <w:tcPr/>
          <w:p>
            <w:pPr>
              <w:pStyle w:val="Compact"/>
              <w:jc w:val="left"/>
            </w:pPr>
            <w:r>
              <w:t xml:space="preserve">Standard for sparse text</w:t>
            </w:r>
          </w:p>
        </w:tc>
      </w:tr>
      <w:tr>
        <w:tc>
          <w:tcPr/>
          <w:p>
            <w:pPr>
              <w:pStyle w:val="Compact"/>
              <w:jc w:val="left"/>
            </w:pPr>
            <w:r>
              <w:t xml:space="preserve">Evaluation Metric</w:t>
            </w:r>
          </w:p>
        </w:tc>
        <w:tc>
          <w:tcPr/>
          <w:p>
            <w:pPr>
              <w:pStyle w:val="Compact"/>
              <w:jc w:val="left"/>
            </w:pPr>
            <w:r>
              <w:t xml:space="preserve">Mean Average Precision (MAP)</w:t>
            </w:r>
          </w:p>
        </w:tc>
        <w:tc>
          <w:tcPr/>
          <w:p>
            <w:pPr>
              <w:pStyle w:val="Compact"/>
              <w:jc w:val="left"/>
            </w:pPr>
            <w:r>
              <w:t xml:space="preserve">Required by assignment</w:t>
            </w:r>
          </w:p>
        </w:tc>
      </w:tr>
    </w:tbl>
    <w:bookmarkEnd w:id="25"/>
    <w:bookmarkStart w:id="26" w:name="detailed-implementation-python-workflow"/>
    <w:p>
      <w:pPr>
        <w:pStyle w:val="Heading1"/>
      </w:pPr>
      <w:r>
        <w:t xml:space="preserve">5. Detailed Implementation (Python Workflow)</w:t>
      </w:r>
    </w:p>
    <w:p>
      <w:pPr>
        <w:numPr>
          <w:ilvl w:val="0"/>
          <w:numId w:val="1004"/>
        </w:numPr>
        <w:pStyle w:val="Compact"/>
      </w:pPr>
      <w:r>
        <w:rPr>
          <w:bCs/>
          <w:b/>
        </w:rPr>
        <w:t xml:space="preserve">Library Imports</w:t>
      </w:r>
      <w:r>
        <w:t xml:space="preserve"> </w:t>
      </w:r>
      <w:r>
        <w:t xml:space="preserve">–</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re</w:t>
      </w:r>
      <w:r>
        <w:t xml:space="preserve">,</w:t>
      </w:r>
      <w:r>
        <w:t xml:space="preserve"> </w:t>
      </w:r>
      <w:r>
        <w:rPr>
          <w:rStyle w:val="VerbatimChar"/>
        </w:rPr>
        <w:t xml:space="preserve">CountVectorizer</w:t>
      </w:r>
      <w:r>
        <w:t xml:space="preserve">,</w:t>
      </w:r>
      <w:r>
        <w:t xml:space="preserve"> </w:t>
      </w:r>
      <w:r>
        <w:rPr>
          <w:rStyle w:val="VerbatimChar"/>
        </w:rPr>
        <w:t xml:space="preserve">cosine_similarity</w:t>
      </w:r>
      <w:r>
        <w:t xml:space="preserve">,</w:t>
      </w:r>
      <w:r>
        <w:t xml:space="preserve"> </w:t>
      </w:r>
      <w:r>
        <w:rPr>
          <w:rStyle w:val="VerbatimChar"/>
        </w:rPr>
        <w:t xml:space="preserve">normalize</w:t>
      </w:r>
      <w:r>
        <w:t xml:space="preserve">,</w:t>
      </w:r>
      <w:r>
        <w:t xml:space="preserve"> </w:t>
      </w:r>
      <w:r>
        <w:rPr>
          <w:rStyle w:val="VerbatimChar"/>
        </w:rPr>
        <w:t xml:space="preserve">matplotlib.pyplot</w:t>
      </w:r>
      <w:r>
        <w:t xml:space="preserve">.</w:t>
      </w:r>
    </w:p>
    <w:p>
      <w:pPr>
        <w:numPr>
          <w:ilvl w:val="0"/>
          <w:numId w:val="1004"/>
        </w:numPr>
        <w:pStyle w:val="Compact"/>
      </w:pPr>
      <w:r>
        <w:rPr>
          <w:bCs/>
          <w:b/>
        </w:rPr>
        <w:t xml:space="preserve">Data Loading</w:t>
      </w:r>
      <w:r>
        <w:t xml:space="preserve"> </w:t>
      </w:r>
      <w:r>
        <w:t xml:space="preserve">– Read both Excel files with</w:t>
      </w:r>
      <w:r>
        <w:t xml:space="preserve"> </w:t>
      </w:r>
      <w:r>
        <w:rPr>
          <w:rStyle w:val="VerbatimChar"/>
        </w:rPr>
        <w:t xml:space="preserve">pd.read_excel</w:t>
      </w:r>
      <w:r>
        <w:t xml:space="preserve">.</w:t>
      </w:r>
    </w:p>
    <w:p>
      <w:pPr>
        <w:numPr>
          <w:ilvl w:val="0"/>
          <w:numId w:val="1004"/>
        </w:numPr>
        <w:pStyle w:val="Compact"/>
      </w:pPr>
      <w:r>
        <w:rPr>
          <w:bCs/>
          <w:b/>
        </w:rPr>
        <w:t xml:space="preserve">Stop-word Acquisition</w:t>
      </w:r>
      <w:r>
        <w:t xml:space="preserve"> </w:t>
      </w:r>
      <w:r>
        <w:t xml:space="preserve">– Load</w:t>
      </w:r>
      <w:r>
        <w:t xml:space="preserve"> </w:t>
      </w:r>
      <w:r>
        <w:rPr>
          <w:rStyle w:val="VerbatimChar"/>
        </w:rPr>
        <w:t xml:space="preserve">english.stop</w:t>
      </w:r>
      <w:r>
        <w:t xml:space="preserve"> </w:t>
      </w:r>
      <w:r>
        <w:t xml:space="preserve">into a Python</w:t>
      </w:r>
      <w:r>
        <w:t xml:space="preserve"> </w:t>
      </w:r>
      <w:r>
        <w:rPr>
          <w:rStyle w:val="VerbatimChar"/>
        </w:rPr>
        <w:t xml:space="preserve">set</w:t>
      </w:r>
      <w:r>
        <w:t xml:space="preserve"> </w:t>
      </w:r>
      <w:r>
        <w:t xml:space="preserve">for O(1) lookup.</w:t>
      </w:r>
    </w:p>
    <w:p>
      <w:pPr>
        <w:numPr>
          <w:ilvl w:val="0"/>
          <w:numId w:val="1004"/>
        </w:numPr>
        <w:pStyle w:val="Compact"/>
      </w:pPr>
      <w:r>
        <w:rPr>
          <w:bCs/>
          <w:b/>
        </w:rPr>
        <w:t xml:space="preserve">Preprocessing Routine</w:t>
      </w:r>
      <w:r>
        <w:t xml:space="preserve"> </w:t>
      </w:r>
      <w:r>
        <w:t xml:space="preserve">– Lowercase, strip punctuation via regex, split tokens, remove stop-words and tokens shorter than three characters, then rejoin.</w:t>
      </w:r>
    </w:p>
    <w:p>
      <w:pPr>
        <w:numPr>
          <w:ilvl w:val="0"/>
          <w:numId w:val="1004"/>
        </w:numPr>
        <w:pStyle w:val="Compact"/>
      </w:pPr>
      <w:r>
        <w:rPr>
          <w:bCs/>
          <w:b/>
        </w:rPr>
        <w:t xml:space="preserve">CDT Extraction per Category</w:t>
      </w:r>
      <w:r>
        <w:t xml:space="preserve"> </w:t>
      </w:r>
      <w:r>
        <w:t xml:space="preserve">– Fit a</w:t>
      </w:r>
      <w:r>
        <w:t xml:space="preserve"> </w:t>
      </w:r>
      <w:r>
        <w:rPr>
          <w:rStyle w:val="VerbatimChar"/>
        </w:rPr>
        <w:t xml:space="preserve">CountVectorizer</w:t>
      </w:r>
      <w:r>
        <w:t xml:space="preserve"> </w:t>
      </w:r>
      <w:r>
        <w:t xml:space="preserve">on each category subset, sum column counts, and keep terms with frequency ≥ 60.</w:t>
      </w:r>
    </w:p>
    <w:p>
      <w:pPr>
        <w:numPr>
          <w:ilvl w:val="0"/>
          <w:numId w:val="1004"/>
        </w:numPr>
        <w:pStyle w:val="Compact"/>
      </w:pPr>
      <w:r>
        <w:rPr>
          <w:bCs/>
          <w:b/>
        </w:rPr>
        <w:t xml:space="preserve">Vocabulary Consolidation</w:t>
      </w:r>
      <w:r>
        <w:t xml:space="preserve"> </w:t>
      </w:r>
      <w:r>
        <w:t xml:space="preserve">– Merge all per-category CDT lists into a unique, sorted list (20 terms total).</w:t>
      </w:r>
    </w:p>
    <w:p>
      <w:pPr>
        <w:numPr>
          <w:ilvl w:val="0"/>
          <w:numId w:val="1004"/>
        </w:numPr>
        <w:pStyle w:val="Compact"/>
      </w:pPr>
      <w:r>
        <w:rPr>
          <w:bCs/>
          <w:b/>
        </w:rPr>
        <w:t xml:space="preserve">Category Profile Construction</w:t>
      </w:r>
      <w:r>
        <w:t xml:space="preserve"> </w:t>
      </w:r>
      <w:r>
        <w:t xml:space="preserve">– Reuse a shared vectorizer constrained to the CDT vocabulary, transform each category subset, sum TF rows, and L2-normalize the resulting profile vectors.</w:t>
      </w:r>
    </w:p>
    <w:p>
      <w:pPr>
        <w:numPr>
          <w:ilvl w:val="0"/>
          <w:numId w:val="1004"/>
        </w:numPr>
        <w:pStyle w:val="Compact"/>
      </w:pPr>
      <w:r>
        <w:rPr>
          <w:bCs/>
          <w:b/>
        </w:rPr>
        <w:t xml:space="preserve">Test Vector Encoding</w:t>
      </w:r>
      <w:r>
        <w:t xml:space="preserve"> </w:t>
      </w:r>
      <w:r>
        <w:t xml:space="preserve">– Apply the same vectorizer to cleaned test text and normalize row-wise.</w:t>
      </w:r>
    </w:p>
    <w:p>
      <w:pPr>
        <w:numPr>
          <w:ilvl w:val="0"/>
          <w:numId w:val="1004"/>
        </w:numPr>
        <w:pStyle w:val="Compact"/>
      </w:pPr>
      <w:r>
        <w:rPr>
          <w:bCs/>
          <w:b/>
        </w:rPr>
        <w:t xml:space="preserve">Cosine Similarity &amp; Ranking</w:t>
      </w:r>
      <w:r>
        <w:t xml:space="preserve"> </w:t>
      </w:r>
      <w:r>
        <w:t xml:space="preserve">– Use</w:t>
      </w:r>
      <w:r>
        <w:t xml:space="preserve"> </w:t>
      </w:r>
      <w:r>
        <w:rPr>
          <w:rStyle w:val="VerbatimChar"/>
        </w:rPr>
        <w:t xml:space="preserve">cosine_similarity(test_matrix, profile_matrix)</w:t>
      </w:r>
      <w:r>
        <w:t xml:space="preserve"> </w:t>
      </w:r>
      <w:r>
        <w:t xml:space="preserve">to score each video against all categories, then rank scores descending.</w:t>
      </w:r>
    </w:p>
    <w:p>
      <w:pPr>
        <w:numPr>
          <w:ilvl w:val="0"/>
          <w:numId w:val="1004"/>
        </w:numPr>
        <w:pStyle w:val="Compact"/>
      </w:pPr>
      <w:r>
        <w:rPr>
          <w:bCs/>
          <w:b/>
        </w:rPr>
        <w:t xml:space="preserve">Average Precision &amp; MAP</w:t>
      </w:r>
      <w:r>
        <w:t xml:space="preserve"> </w:t>
      </w:r>
      <w:r>
        <w:t xml:space="preserve">– For every category, compute Average Precision across its relevant test items. MAP is the macro-average of these AP scores.</w:t>
      </w:r>
    </w:p>
    <w:p>
      <w:pPr>
        <w:numPr>
          <w:ilvl w:val="0"/>
          <w:numId w:val="1004"/>
        </w:numPr>
        <w:pStyle w:val="Compact"/>
      </w:pPr>
      <w:r>
        <w:rPr>
          <w:bCs/>
          <w:b/>
        </w:rPr>
        <w:t xml:space="preserve">Artifact Export</w:t>
      </w:r>
      <w:r>
        <w:t xml:space="preserve"> </w:t>
      </w:r>
      <w:r>
        <w:t xml:space="preserve">– Persist CDT list (</w:t>
      </w:r>
      <w:r>
        <w:rPr>
          <w:rStyle w:val="VerbatimChar"/>
        </w:rPr>
        <w:t xml:space="preserve">Category_Discriminating_Terms.txt</w:t>
      </w:r>
      <w:r>
        <w:t xml:space="preserve">), similarity matrix (</w:t>
      </w:r>
      <w:r>
        <w:rPr>
          <w:rStyle w:val="VerbatimChar"/>
        </w:rPr>
        <w:t xml:space="preserve">Cosine_Similarity_Matrix.csv</w:t>
      </w:r>
      <w:r>
        <w:t xml:space="preserve">), AP table (</w:t>
      </w:r>
      <w:r>
        <w:rPr>
          <w:rStyle w:val="VerbatimChar"/>
        </w:rPr>
        <w:t xml:space="preserve">Average_Precision_Scores.csv</w:t>
      </w:r>
      <w:r>
        <w:t xml:space="preserve">), and visualization files (</w:t>
      </w:r>
      <w:r>
        <w:rPr>
          <w:rStyle w:val="VerbatimChar"/>
        </w:rPr>
        <w:t xml:space="preserve">AP_Bar_Chart.png</w:t>
      </w:r>
      <w:r>
        <w:t xml:space="preserve">).</w:t>
      </w:r>
    </w:p>
    <w:bookmarkEnd w:id="26"/>
    <w:bookmarkStart w:id="27" w:name="category-discriminating-terms-cdts"/>
    <w:p>
      <w:pPr>
        <w:pStyle w:val="Heading1"/>
      </w:pPr>
      <w:r>
        <w:t xml:space="preserve">6. Category Discriminating Terms (CDTs)</w:t>
      </w:r>
    </w:p>
    <w:p>
      <w:pPr>
        <w:numPr>
          <w:ilvl w:val="0"/>
          <w:numId w:val="1005"/>
        </w:numPr>
        <w:pStyle w:val="Compact"/>
      </w:pPr>
      <w:r>
        <w:rPr>
          <w:bCs/>
          <w:b/>
        </w:rPr>
        <w:t xml:space="preserve">Threshold:</w:t>
      </w:r>
      <w:r>
        <w:t xml:space="preserve"> </w:t>
      </w:r>
      <w:r>
        <w:t xml:space="preserve">60 occurrences within a category.</w:t>
      </w:r>
    </w:p>
    <w:p>
      <w:pPr>
        <w:numPr>
          <w:ilvl w:val="0"/>
          <w:numId w:val="1005"/>
        </w:numPr>
        <w:pStyle w:val="Compact"/>
      </w:pPr>
      <w:r>
        <w:rPr>
          <w:bCs/>
          <w:b/>
        </w:rPr>
        <w:t xml:space="preserve">Total CDT Count:</w:t>
      </w:r>
      <w:r>
        <w:t xml:space="preserve"> </w:t>
      </w:r>
      <w:r>
        <w:t xml:space="preserve">20 unique 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CDT Count</w:t>
            </w:r>
          </w:p>
        </w:tc>
        <w:tc>
          <w:tcPr/>
          <w:p>
            <w:pPr>
              <w:pStyle w:val="Compact"/>
              <w:jc w:val="left"/>
            </w:pPr>
            <w:r>
              <w:t xml:space="preserve">Sample Terms</w:t>
            </w:r>
          </w:p>
        </w:tc>
      </w:tr>
      <w:tr>
        <w:tc>
          <w:tcPr/>
          <w:p>
            <w:pPr>
              <w:pStyle w:val="Compact"/>
              <w:jc w:val="left"/>
            </w:pPr>
            <w:r>
              <w:t xml:space="preserve">Pets &amp; Animals</w:t>
            </w:r>
          </w:p>
        </w:tc>
        <w:tc>
          <w:tcPr/>
          <w:p>
            <w:pPr>
              <w:pStyle w:val="Compact"/>
              <w:jc w:val="left"/>
            </w:pPr>
            <w:r>
              <w:t xml:space="preserve">6</w:t>
            </w:r>
          </w:p>
        </w:tc>
        <w:tc>
          <w:tcPr/>
          <w:p>
            <w:pPr>
              <w:pStyle w:val="Compact"/>
              <w:jc w:val="left"/>
            </w:pPr>
            <w:r>
              <w:t xml:space="preserve">dog, puppy, cat, pet, animal, rescue</w:t>
            </w:r>
          </w:p>
        </w:tc>
      </w:tr>
      <w:tr>
        <w:tc>
          <w:tcPr/>
          <w:p>
            <w:pPr>
              <w:pStyle w:val="Compact"/>
              <w:jc w:val="left"/>
            </w:pPr>
            <w:r>
              <w:t xml:space="preserve">Gaming</w:t>
            </w:r>
          </w:p>
        </w:tc>
        <w:tc>
          <w:tcPr/>
          <w:p>
            <w:pPr>
              <w:pStyle w:val="Compact"/>
              <w:jc w:val="left"/>
            </w:pPr>
            <w:r>
              <w:t xml:space="preserve">5</w:t>
            </w:r>
          </w:p>
        </w:tc>
        <w:tc>
          <w:tcPr/>
          <w:p>
            <w:pPr>
              <w:pStyle w:val="Compact"/>
              <w:jc w:val="left"/>
            </w:pPr>
            <w:r>
              <w:t xml:space="preserve">game, gameplay, tutorial, mission, level</w:t>
            </w:r>
          </w:p>
        </w:tc>
      </w:tr>
      <w:tr>
        <w:tc>
          <w:tcPr/>
          <w:p>
            <w:pPr>
              <w:pStyle w:val="Compact"/>
              <w:jc w:val="left"/>
            </w:pPr>
            <w:r>
              <w:t xml:space="preserve">Music</w:t>
            </w:r>
          </w:p>
        </w:tc>
        <w:tc>
          <w:tcPr/>
          <w:p>
            <w:pPr>
              <w:pStyle w:val="Compact"/>
              <w:jc w:val="left"/>
            </w:pPr>
            <w:r>
              <w:t xml:space="preserve">3</w:t>
            </w:r>
          </w:p>
        </w:tc>
        <w:tc>
          <w:tcPr/>
          <w:p>
            <w:pPr>
              <w:pStyle w:val="Compact"/>
              <w:jc w:val="left"/>
            </w:pPr>
            <w:r>
              <w:t xml:space="preserve">music, song, official</w:t>
            </w:r>
          </w:p>
        </w:tc>
      </w:tr>
      <w:tr>
        <w:tc>
          <w:tcPr/>
          <w:p>
            <w:pPr>
              <w:pStyle w:val="Compact"/>
              <w:jc w:val="left"/>
            </w:pPr>
            <w:r>
              <w:t xml:space="preserve">Comedy</w:t>
            </w:r>
          </w:p>
        </w:tc>
        <w:tc>
          <w:tcPr/>
          <w:p>
            <w:pPr>
              <w:pStyle w:val="Compact"/>
              <w:jc w:val="left"/>
            </w:pPr>
            <w:r>
              <w:t xml:space="preserve">2</w:t>
            </w:r>
          </w:p>
        </w:tc>
        <w:tc>
          <w:tcPr/>
          <w:p>
            <w:pPr>
              <w:pStyle w:val="Compact"/>
              <w:jc w:val="left"/>
            </w:pPr>
            <w:r>
              <w:t xml:space="preserve">comedy, funny</w:t>
            </w:r>
          </w:p>
        </w:tc>
      </w:tr>
      <w:tr>
        <w:tc>
          <w:tcPr/>
          <w:p>
            <w:pPr>
              <w:pStyle w:val="Compact"/>
              <w:jc w:val="left"/>
            </w:pPr>
            <w:r>
              <w:t xml:space="preserve">How-to &amp; Style</w:t>
            </w:r>
          </w:p>
        </w:tc>
        <w:tc>
          <w:tcPr/>
          <w:p>
            <w:pPr>
              <w:pStyle w:val="Compact"/>
              <w:jc w:val="left"/>
            </w:pPr>
            <w:r>
              <w:t xml:space="preserve">2</w:t>
            </w:r>
          </w:p>
        </w:tc>
        <w:tc>
          <w:tcPr/>
          <w:p>
            <w:pPr>
              <w:pStyle w:val="Compact"/>
              <w:jc w:val="left"/>
            </w:pPr>
            <w:r>
              <w:t xml:space="preserve">makeup, tutorial</w:t>
            </w:r>
          </w:p>
        </w:tc>
      </w:tr>
      <w:tr>
        <w:tc>
          <w:tcPr/>
          <w:p>
            <w:pPr>
              <w:pStyle w:val="Compact"/>
              <w:jc w:val="left"/>
            </w:pPr>
            <w:r>
              <w:t xml:space="preserve">Autos &amp; Vehicles</w:t>
            </w:r>
          </w:p>
        </w:tc>
        <w:tc>
          <w:tcPr/>
          <w:p>
            <w:pPr>
              <w:pStyle w:val="Compact"/>
              <w:jc w:val="left"/>
            </w:pPr>
            <w:r>
              <w:t xml:space="preserve">2</w:t>
            </w:r>
          </w:p>
        </w:tc>
        <w:tc>
          <w:tcPr/>
          <w:p>
            <w:pPr>
              <w:pStyle w:val="Compact"/>
              <w:jc w:val="left"/>
            </w:pPr>
            <w:r>
              <w:t xml:space="preserve">car, auto</w:t>
            </w:r>
          </w:p>
        </w:tc>
      </w:tr>
      <w:tr>
        <w:tc>
          <w:tcPr/>
          <w:p>
            <w:pPr>
              <w:pStyle w:val="Compact"/>
              <w:jc w:val="left"/>
            </w:pPr>
            <w:r>
              <w:t xml:space="preserve">News &amp; Politics</w:t>
            </w:r>
          </w:p>
        </w:tc>
        <w:tc>
          <w:tcPr/>
          <w:p>
            <w:pPr>
              <w:pStyle w:val="Compact"/>
              <w:jc w:val="left"/>
            </w:pPr>
            <w:r>
              <w:t xml:space="preserve">2</w:t>
            </w:r>
          </w:p>
        </w:tc>
        <w:tc>
          <w:tcPr/>
          <w:p>
            <w:pPr>
              <w:pStyle w:val="Compact"/>
              <w:jc w:val="left"/>
            </w:pPr>
            <w:r>
              <w:t xml:space="preserve">news, political</w:t>
            </w:r>
          </w:p>
        </w:tc>
      </w:tr>
      <w:tr>
        <w:tc>
          <w:tcPr/>
          <w:p>
            <w:pPr>
              <w:pStyle w:val="Compact"/>
              <w:jc w:val="left"/>
            </w:pPr>
            <w:r>
              <w:t xml:space="preserve">Film &amp; Animation</w:t>
            </w:r>
          </w:p>
        </w:tc>
        <w:tc>
          <w:tcPr/>
          <w:p>
            <w:pPr>
              <w:pStyle w:val="Compact"/>
              <w:jc w:val="left"/>
            </w:pPr>
            <w:r>
              <w:t xml:space="preserve">1</w:t>
            </w:r>
          </w:p>
        </w:tc>
        <w:tc>
          <w:tcPr/>
          <w:p>
            <w:pPr>
              <w:pStyle w:val="Compact"/>
              <w:jc w:val="left"/>
            </w:pPr>
            <w:r>
              <w:t xml:space="preserve">animation</w:t>
            </w:r>
          </w:p>
        </w:tc>
      </w:tr>
      <w:tr>
        <w:tc>
          <w:tcPr/>
          <w:p>
            <w:pPr>
              <w:pStyle w:val="Compact"/>
              <w:jc w:val="left"/>
            </w:pPr>
            <w:r>
              <w:t xml:space="preserve">Remaining Categories</w:t>
            </w:r>
          </w:p>
        </w:tc>
        <w:tc>
          <w:tcPr/>
          <w:p>
            <w:pPr>
              <w:pStyle w:val="Compact"/>
              <w:jc w:val="left"/>
            </w:pPr>
            <w:r>
              <w:t xml:space="preserve">0</w:t>
            </w:r>
          </w:p>
        </w:tc>
        <w:tc>
          <w:tcPr/>
          <w:p>
            <w:pPr>
              <w:pStyle w:val="Compact"/>
              <w:jc w:val="left"/>
            </w:pPr>
            <w:r>
              <w:t xml:space="preserve">—</w:t>
            </w:r>
          </w:p>
        </w:tc>
      </w:tr>
    </w:tbl>
    <w:p>
      <w:pPr>
        <w:pStyle w:val="BlockText"/>
      </w:pPr>
      <w:r>
        <w:rPr>
          <w:bCs/>
          <w:b/>
        </w:rPr>
        <w:t xml:space="preserve">Visualization Tip:</w:t>
      </w:r>
      <w:r>
        <w:t xml:space="preserve"> </w:t>
      </w:r>
      <w:r>
        <w:t xml:space="preserve">Insert a horizontal bar chart titled</w:t>
      </w:r>
      <w:r>
        <w:t xml:space="preserve"> </w:t>
      </w:r>
      <w:r>
        <w:t xml:space="preserve">“</w:t>
      </w:r>
      <w:r>
        <w:t xml:space="preserve">Number of CDTs per Category (Threshold = 60)</w:t>
      </w:r>
      <w:r>
        <w:t xml:space="preserve">”</w:t>
      </w:r>
      <w:r>
        <w:t xml:space="preserve"> </w:t>
      </w:r>
      <w:r>
        <w:t xml:space="preserve">showing Pets &amp; Animals as the tallest bar.</w:t>
      </w:r>
    </w:p>
    <w:bookmarkEnd w:id="27"/>
    <w:bookmarkStart w:id="28" w:name="cosine-similarity-computation"/>
    <w:p>
      <w:pPr>
        <w:pStyle w:val="Heading1"/>
      </w:pPr>
      <w:r>
        <w:t xml:space="preserve">7. Cosine Similarity Computation</w:t>
      </w:r>
    </w:p>
    <w:p>
      <w:pPr>
        <w:pStyle w:val="FirstParagraph"/>
      </w:pPr>
      <w:r>
        <w:t xml:space="preserve">Cosine similarity between two L2-normalized TF vectors (A) and (B) is:</w:t>
      </w:r>
    </w:p>
    <w:p>
      <w:pPr>
        <w:pStyle w:val="BodyText"/>
      </w:pPr>
      <m:oMathPara>
        <m:oMathParaPr>
          <m:jc m:val="center"/>
        </m:oMathParaPr>
        <m:oMath>
          <m:r>
            <m:rPr>
              <m:nor/>
              <m:sty m:val="p"/>
            </m:rPr>
            <m:t>cosine_similarity</m:t>
          </m:r>
          <m:d>
            <m:dPr>
              <m:begChr m:val="("/>
              <m:endChr m:val=")"/>
              <m:sepChr m:val=""/>
              <m:grow/>
            </m:dPr>
            <m:e>
              <m:r>
                <m:t>A</m:t>
              </m:r>
              <m:r>
                <m:rPr>
                  <m:sty m:val="p"/>
                </m:rPr>
                <m:t>,</m:t>
              </m:r>
              <m:r>
                <m:t>B</m:t>
              </m:r>
            </m:e>
          </m:d>
          <m:r>
            <m:rPr>
              <m:sty m:val="p"/>
            </m:rPr>
            <m:t>=</m:t>
          </m:r>
          <m:f>
            <m:fPr>
              <m:type m:val="bar"/>
            </m:fPr>
            <m:num>
              <m:r>
                <m:t>A</m:t>
              </m:r>
              <m:r>
                <m:rPr>
                  <m:sty m:val="p"/>
                </m:rPr>
                <m:t>⋅</m:t>
              </m:r>
              <m:r>
                <m:t>B</m:t>
              </m:r>
            </m:num>
            <m:den>
              <m:r>
                <m:rPr>
                  <m:sty m:val="p"/>
                </m:rPr>
                <m:t>∥</m:t>
              </m:r>
              <m:r>
                <m:t>A</m:t>
              </m:r>
              <m:r>
                <m:rPr>
                  <m:sty m:val="p"/>
                </m:rPr>
                <m:t>∥</m:t>
              </m:r>
              <m:r>
                <m:rPr>
                  <m:sty m:val="p"/>
                </m:rPr>
                <m:t>×</m:t>
              </m:r>
              <m:r>
                <m:rPr>
                  <m:sty m:val="p"/>
                </m:rPr>
                <m:t>∥</m:t>
              </m:r>
              <m:r>
                <m:t>B</m:t>
              </m:r>
              <m:r>
                <m:rPr>
                  <m:sty m:val="p"/>
                </m:rPr>
                <m:t>∥</m:t>
              </m:r>
            </m:den>
          </m:f>
        </m:oMath>
      </m:oMathPara>
    </w:p>
    <w:p>
      <w:pPr>
        <w:pStyle w:val="FirstParagraph"/>
      </w:pPr>
      <w:r>
        <w:t xml:space="preserve">Because both vectors are already normalized, the denominator is 1, leaving the dot product as the similarity score. This metric is scale-invariant and well-suited for sparse, high-dimensional term frequencies.</w:t>
      </w:r>
    </w:p>
    <w:bookmarkEnd w:id="28"/>
    <w:bookmarkStart w:id="29" w:name="evaluation-metrics-and-results"/>
    <w:p>
      <w:pPr>
        <w:pStyle w:val="Heading1"/>
      </w:pPr>
      <w:r>
        <w:t xml:space="preserve">8. Evaluation Metrics and Results</w:t>
      </w:r>
    </w:p>
    <w:p>
      <w:pPr>
        <w:pStyle w:val="FirstParagraph"/>
      </w:pPr>
      <w:r>
        <w:t xml:space="preserve">Average Precision (AP) per category (sorted):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AP Score</w:t>
            </w:r>
          </w:p>
        </w:tc>
      </w:tr>
      <w:tr>
        <w:tc>
          <w:tcPr/>
          <w:p>
            <w:pPr>
              <w:pStyle w:val="Compact"/>
              <w:jc w:val="left"/>
            </w:pPr>
            <w:r>
              <w:t xml:space="preserve">How-to &amp; Style</w:t>
            </w:r>
          </w:p>
        </w:tc>
        <w:tc>
          <w:tcPr/>
          <w:p>
            <w:pPr>
              <w:pStyle w:val="Compact"/>
              <w:jc w:val="left"/>
            </w:pPr>
            <w:r>
              <w:t xml:space="preserve">0.5624</w:t>
            </w:r>
          </w:p>
        </w:tc>
      </w:tr>
      <w:tr>
        <w:tc>
          <w:tcPr/>
          <w:p>
            <w:pPr>
              <w:pStyle w:val="Compact"/>
              <w:jc w:val="left"/>
            </w:pPr>
            <w:r>
              <w:t xml:space="preserve">Comedy</w:t>
            </w:r>
          </w:p>
        </w:tc>
        <w:tc>
          <w:tcPr/>
          <w:p>
            <w:pPr>
              <w:pStyle w:val="Compact"/>
              <w:jc w:val="left"/>
            </w:pPr>
            <w:r>
              <w:t xml:space="preserve">0.4319</w:t>
            </w:r>
          </w:p>
        </w:tc>
      </w:tr>
      <w:tr>
        <w:tc>
          <w:tcPr/>
          <w:p>
            <w:pPr>
              <w:pStyle w:val="Compact"/>
              <w:jc w:val="left"/>
            </w:pPr>
            <w:r>
              <w:t xml:space="preserve">Gaming</w:t>
            </w:r>
          </w:p>
        </w:tc>
        <w:tc>
          <w:tcPr/>
          <w:p>
            <w:pPr>
              <w:pStyle w:val="Compact"/>
              <w:jc w:val="left"/>
            </w:pPr>
            <w:r>
              <w:t xml:space="preserve">0.4095</w:t>
            </w:r>
          </w:p>
        </w:tc>
      </w:tr>
      <w:tr>
        <w:tc>
          <w:tcPr/>
          <w:p>
            <w:pPr>
              <w:pStyle w:val="Compact"/>
              <w:jc w:val="left"/>
            </w:pPr>
            <w:r>
              <w:t xml:space="preserve">Pets &amp; Animals</w:t>
            </w:r>
          </w:p>
        </w:tc>
        <w:tc>
          <w:tcPr/>
          <w:p>
            <w:pPr>
              <w:pStyle w:val="Compact"/>
              <w:jc w:val="left"/>
            </w:pPr>
            <w:r>
              <w:t xml:space="preserve">0.3829</w:t>
            </w:r>
          </w:p>
        </w:tc>
      </w:tr>
      <w:tr>
        <w:tc>
          <w:tcPr/>
          <w:p>
            <w:pPr>
              <w:pStyle w:val="Compact"/>
              <w:jc w:val="left"/>
            </w:pPr>
            <w:r>
              <w:t xml:space="preserve">Autos &amp; Vehicles</w:t>
            </w:r>
          </w:p>
        </w:tc>
        <w:tc>
          <w:tcPr/>
          <w:p>
            <w:pPr>
              <w:pStyle w:val="Compact"/>
              <w:jc w:val="left"/>
            </w:pPr>
            <w:r>
              <w:t xml:space="preserve">0.3212</w:t>
            </w:r>
          </w:p>
        </w:tc>
      </w:tr>
      <w:tr>
        <w:tc>
          <w:tcPr/>
          <w:p>
            <w:pPr>
              <w:pStyle w:val="Compact"/>
              <w:jc w:val="left"/>
            </w:pPr>
            <w:r>
              <w:t xml:space="preserve">Music</w:t>
            </w:r>
          </w:p>
        </w:tc>
        <w:tc>
          <w:tcPr/>
          <w:p>
            <w:pPr>
              <w:pStyle w:val="Compact"/>
              <w:jc w:val="left"/>
            </w:pPr>
            <w:r>
              <w:t xml:space="preserve">0.2925</w:t>
            </w:r>
          </w:p>
        </w:tc>
      </w:tr>
      <w:tr>
        <w:tc>
          <w:tcPr/>
          <w:p>
            <w:pPr>
              <w:pStyle w:val="Compact"/>
              <w:jc w:val="left"/>
            </w:pPr>
            <w:r>
              <w:t xml:space="preserve">Film &amp; Animation</w:t>
            </w:r>
          </w:p>
        </w:tc>
        <w:tc>
          <w:tcPr/>
          <w:p>
            <w:pPr>
              <w:pStyle w:val="Compact"/>
              <w:jc w:val="left"/>
            </w:pPr>
            <w:r>
              <w:t xml:space="preserve">0.2186</w:t>
            </w:r>
          </w:p>
        </w:tc>
      </w:tr>
      <w:tr>
        <w:tc>
          <w:tcPr/>
          <w:p>
            <w:pPr>
              <w:pStyle w:val="Compact"/>
              <w:jc w:val="left"/>
            </w:pPr>
            <w:r>
              <w:t xml:space="preserve">News &amp; Politics</w:t>
            </w:r>
          </w:p>
        </w:tc>
        <w:tc>
          <w:tcPr/>
          <w:p>
            <w:pPr>
              <w:pStyle w:val="Compact"/>
              <w:jc w:val="left"/>
            </w:pPr>
            <w:r>
              <w:t xml:space="preserve">0.1626</w:t>
            </w:r>
          </w:p>
        </w:tc>
      </w:tr>
      <w:tr>
        <w:tc>
          <w:tcPr/>
          <w:p>
            <w:pPr>
              <w:pStyle w:val="Compact"/>
              <w:jc w:val="left"/>
            </w:pPr>
            <w:r>
              <w:t xml:space="preserve">Nonprofits &amp; Activism</w:t>
            </w:r>
          </w:p>
        </w:tc>
        <w:tc>
          <w:tcPr/>
          <w:p>
            <w:pPr>
              <w:pStyle w:val="Compact"/>
              <w:jc w:val="left"/>
            </w:pPr>
            <w:r>
              <w:t xml:space="preserve">0.0857</w:t>
            </w:r>
          </w:p>
        </w:tc>
      </w:tr>
      <w:tr>
        <w:tc>
          <w:tcPr/>
          <w:p>
            <w:pPr>
              <w:pStyle w:val="Compact"/>
              <w:jc w:val="left"/>
            </w:pPr>
            <w:r>
              <w:t xml:space="preserve">Science &amp; Technology</w:t>
            </w:r>
          </w:p>
        </w:tc>
        <w:tc>
          <w:tcPr/>
          <w:p>
            <w:pPr>
              <w:pStyle w:val="Compact"/>
              <w:jc w:val="left"/>
            </w:pPr>
            <w:r>
              <w:t xml:space="preserve">0.0744</w:t>
            </w:r>
          </w:p>
        </w:tc>
      </w:tr>
      <w:tr>
        <w:tc>
          <w:tcPr/>
          <w:p>
            <w:pPr>
              <w:pStyle w:val="Compact"/>
              <w:jc w:val="left"/>
            </w:pPr>
            <w:r>
              <w:t xml:space="preserve">Entertainment</w:t>
            </w:r>
          </w:p>
        </w:tc>
        <w:tc>
          <w:tcPr/>
          <w:p>
            <w:pPr>
              <w:pStyle w:val="Compact"/>
              <w:jc w:val="left"/>
            </w:pPr>
            <w:r>
              <w:t xml:space="preserve">0.0739</w:t>
            </w:r>
          </w:p>
        </w:tc>
      </w:tr>
      <w:tr>
        <w:tc>
          <w:tcPr/>
          <w:p>
            <w:pPr>
              <w:pStyle w:val="Compact"/>
              <w:jc w:val="left"/>
            </w:pPr>
            <w:r>
              <w:t xml:space="preserve">Education</w:t>
            </w:r>
          </w:p>
        </w:tc>
        <w:tc>
          <w:tcPr/>
          <w:p>
            <w:pPr>
              <w:pStyle w:val="Compact"/>
              <w:jc w:val="left"/>
            </w:pPr>
            <w:r>
              <w:t xml:space="preserve">0.0678</w:t>
            </w:r>
          </w:p>
        </w:tc>
      </w:tr>
      <w:tr>
        <w:tc>
          <w:tcPr/>
          <w:p>
            <w:pPr>
              <w:pStyle w:val="Compact"/>
              <w:jc w:val="left"/>
            </w:pPr>
            <w:r>
              <w:t xml:space="preserve">Sports</w:t>
            </w:r>
          </w:p>
        </w:tc>
        <w:tc>
          <w:tcPr/>
          <w:p>
            <w:pPr>
              <w:pStyle w:val="Compact"/>
              <w:jc w:val="left"/>
            </w:pPr>
            <w:r>
              <w:t xml:space="preserve">0.0652</w:t>
            </w:r>
          </w:p>
        </w:tc>
      </w:tr>
      <w:tr>
        <w:tc>
          <w:tcPr/>
          <w:p>
            <w:pPr>
              <w:pStyle w:val="Compact"/>
              <w:jc w:val="left"/>
            </w:pPr>
            <w:r>
              <w:t xml:space="preserve">People &amp; Blogs</w:t>
            </w:r>
          </w:p>
        </w:tc>
        <w:tc>
          <w:tcPr/>
          <w:p>
            <w:pPr>
              <w:pStyle w:val="Compact"/>
              <w:jc w:val="left"/>
            </w:pPr>
            <w:r>
              <w:t xml:space="preserve">0.0650</w:t>
            </w:r>
          </w:p>
        </w:tc>
      </w:tr>
      <w:tr>
        <w:tc>
          <w:tcPr/>
          <w:p>
            <w:pPr>
              <w:pStyle w:val="Compact"/>
              <w:jc w:val="left"/>
            </w:pPr>
            <w:r>
              <w:t xml:space="preserve">Travel &amp; Events</w:t>
            </w:r>
          </w:p>
        </w:tc>
        <w:tc>
          <w:tcPr/>
          <w:p>
            <w:pPr>
              <w:pStyle w:val="Compact"/>
              <w:jc w:val="left"/>
            </w:pPr>
            <w:r>
              <w:t xml:space="preserve">0.0548</w:t>
            </w:r>
          </w:p>
        </w:tc>
      </w:tr>
    </w:tbl>
    <w:p>
      <w:pPr>
        <w:pStyle w:val="BodyText"/>
      </w:pPr>
      <w:r>
        <w:rPr>
          <w:bCs/>
          <w:b/>
        </w:rPr>
        <w:t xml:space="preserve">Mean Average Precision (MAP): 0.2179</w:t>
      </w:r>
    </w:p>
    <w:bookmarkEnd w:id="29"/>
    <w:bookmarkStart w:id="30" w:name="visualizations"/>
    <w:p>
      <w:pPr>
        <w:pStyle w:val="Heading1"/>
      </w:pPr>
      <w:r>
        <w:t xml:space="preserve">9. Visualizations</w:t>
      </w:r>
    </w:p>
    <w:p>
      <w:pPr>
        <w:numPr>
          <w:ilvl w:val="0"/>
          <w:numId w:val="1006"/>
        </w:numPr>
        <w:pStyle w:val="Compact"/>
      </w:pPr>
      <w:r>
        <w:rPr>
          <w:bCs/>
          <w:b/>
        </w:rPr>
        <w:t xml:space="preserve">Average Precision Bar Chart</w:t>
      </w:r>
      <w:r>
        <w:t xml:space="preserve"> </w:t>
      </w:r>
      <w:r>
        <w:t xml:space="preserve">– Horizontal layout, categories sorted ascending, color gradient from #A7E4C2 to #0C5C2C, value labels at bar ends.</w:t>
      </w:r>
    </w:p>
    <w:p>
      <w:pPr>
        <w:numPr>
          <w:ilvl w:val="0"/>
          <w:numId w:val="1006"/>
        </w:numPr>
        <w:pStyle w:val="Compact"/>
      </w:pPr>
      <w:r>
        <w:rPr>
          <w:bCs/>
          <w:b/>
        </w:rPr>
        <w:t xml:space="preserve">Pipeline Diagram</w:t>
      </w:r>
      <w:r>
        <w:t xml:space="preserve"> </w:t>
      </w:r>
      <w:r>
        <w:t xml:space="preserve">– Training Data → Preprocessing → CDT Extraction → Category Profiles → Cosine Similarity → Ranked Output → MAP Evaluation.</w:t>
      </w:r>
    </w:p>
    <w:p>
      <w:pPr>
        <w:numPr>
          <w:ilvl w:val="0"/>
          <w:numId w:val="1006"/>
        </w:numPr>
        <w:pStyle w:val="Compact"/>
      </w:pPr>
      <w:r>
        <w:rPr>
          <w:bCs/>
          <w:b/>
        </w:rPr>
        <w:t xml:space="preserve">Code Screenshots</w:t>
      </w:r>
      <w:r>
        <w:t xml:space="preserve"> </w:t>
      </w:r>
      <w:r>
        <w:t xml:space="preserve">– Include 5–6 crisp snippets covering preprocessing, CDT selection, similarity calculations, and plotting. Place captions beneath each image.</w:t>
      </w:r>
    </w:p>
    <w:bookmarkEnd w:id="30"/>
    <w:bookmarkStart w:id="31" w:name="observations-and-discussion"/>
    <w:p>
      <w:pPr>
        <w:pStyle w:val="Heading1"/>
      </w:pPr>
      <w:r>
        <w:t xml:space="preserve">10. Observations and Discussion</w:t>
      </w:r>
    </w:p>
    <w:p>
      <w:pPr>
        <w:numPr>
          <w:ilvl w:val="0"/>
          <w:numId w:val="1007"/>
        </w:numPr>
        <w:pStyle w:val="Compact"/>
      </w:pPr>
      <w:r>
        <w:t xml:space="preserve">Categories with highly specific vocabulary (How-to &amp; Style, Gaming, Pets &amp; Animals) dominate AP because their CDTs recur frequently in both training and testing corpora.</w:t>
      </w:r>
    </w:p>
    <w:p>
      <w:pPr>
        <w:numPr>
          <w:ilvl w:val="0"/>
          <w:numId w:val="1007"/>
        </w:numPr>
        <w:pStyle w:val="Compact"/>
      </w:pPr>
      <w:r>
        <w:t xml:space="preserve">Generic buckets (Travel &amp; Events, People &amp; Blogs, Education) gain few or zero CDTs at threshold 60, producing weak similarity signals.</w:t>
      </w:r>
    </w:p>
    <w:p>
      <w:pPr>
        <w:numPr>
          <w:ilvl w:val="0"/>
          <w:numId w:val="1007"/>
        </w:numPr>
        <w:pStyle w:val="Compact"/>
      </w:pPr>
      <w:r>
        <w:t xml:space="preserve">Only 20 total terms passed the threshold, highlighting a deliberately selective feature space; loosening the threshold or switching to TF-IDF could enhance coverage but was avoided to match assignment rules.</w:t>
      </w:r>
    </w:p>
    <w:p>
      <w:pPr>
        <w:numPr>
          <w:ilvl w:val="0"/>
          <w:numId w:val="1007"/>
        </w:numPr>
        <w:pStyle w:val="Compact"/>
      </w:pPr>
      <w:r>
        <w:t xml:space="preserve">Cosine similarity with normalized vectors keeps comparisons fair even when test clips reference fewer CDT tokens.</w:t>
      </w:r>
    </w:p>
    <w:bookmarkEnd w:id="31"/>
    <w:bookmarkStart w:id="32" w:name="conclusion"/>
    <w:p>
      <w:pPr>
        <w:pStyle w:val="Heading1"/>
      </w:pPr>
      <w:r>
        <w:t xml:space="preserve">11. Conclusion</w:t>
      </w:r>
    </w:p>
    <w:p>
      <w:pPr>
        <w:pStyle w:val="FirstParagraph"/>
      </w:pPr>
      <w:r>
        <w:t xml:space="preserve">An end-to-end multimedia retrieval pipeline was successfully executed for MIP Assignment #1. Using the documented CDT threshold of 60, the system produced 20 discriminating terms and achieved a MAP of 0.2179 on the testing corpus. All intermediate artifacts (CDT listings, similarity matrix, AP tables, visualizations) are prepared for submission, ensuring transparency and reproducibility while remaining original relative to peer submissions.</w:t>
      </w:r>
    </w:p>
    <w:bookmarkEnd w:id="32"/>
    <w:bookmarkStart w:id="35" w:name="references"/>
    <w:p>
      <w:pPr>
        <w:pStyle w:val="Heading1"/>
      </w:pPr>
      <w:r>
        <w:t xml:space="preserve">12. References</w:t>
      </w:r>
    </w:p>
    <w:p>
      <w:pPr>
        <w:numPr>
          <w:ilvl w:val="0"/>
          <w:numId w:val="1008"/>
        </w:numPr>
        <w:pStyle w:val="Compact"/>
      </w:pPr>
      <w:r>
        <w:t xml:space="preserve">Scikit-learn Developers.</w:t>
      </w:r>
      <w:r>
        <w:t xml:space="preserve"> </w:t>
      </w:r>
      <w:r>
        <w:rPr>
          <w:iCs/>
          <w:i/>
        </w:rPr>
        <w:t xml:space="preserve">CountVectorizer</w:t>
      </w:r>
      <w:r>
        <w:t xml:space="preserve"> </w:t>
      </w:r>
      <w:r>
        <w:t xml:space="preserve">and</w:t>
      </w:r>
      <w:r>
        <w:t xml:space="preserve"> </w:t>
      </w:r>
      <w:r>
        <w:rPr>
          <w:iCs/>
          <w:i/>
        </w:rPr>
        <w:t xml:space="preserve">cosine_similarity</w:t>
      </w:r>
      <w:r>
        <w:t xml:space="preserve"> </w:t>
      </w:r>
      <w:r>
        <w:t xml:space="preserve">documentation.</w:t>
      </w:r>
      <w:r>
        <w:br/>
      </w:r>
    </w:p>
    <w:p>
      <w:pPr>
        <w:numPr>
          <w:ilvl w:val="0"/>
          <w:numId w:val="1008"/>
        </w:numPr>
        <w:pStyle w:val="Compact"/>
      </w:pPr>
      <w:r>
        <w:t xml:space="preserve">McKinney, W.</w:t>
      </w:r>
      <w:r>
        <w:t xml:space="preserve"> </w:t>
      </w:r>
      <w:r>
        <w:t xml:space="preserve">“</w:t>
      </w:r>
      <w:r>
        <w:t xml:space="preserve">Data Structures for Statistical Computing in Python,</w:t>
      </w:r>
      <w:r>
        <w:t xml:space="preserve">”</w:t>
      </w:r>
      <w:r>
        <w:t xml:space="preserve"> </w:t>
      </w:r>
      <w:r>
        <w:rPr>
          <w:iCs/>
          <w:i/>
        </w:rPr>
        <w:t xml:space="preserve">pandas</w:t>
      </w:r>
      <w:r>
        <w:t xml:space="preserve">.</w:t>
      </w:r>
      <w:r>
        <w:br/>
      </w:r>
    </w:p>
    <w:p>
      <w:pPr>
        <w:numPr>
          <w:ilvl w:val="0"/>
          <w:numId w:val="1008"/>
        </w:numPr>
        <w:pStyle w:val="Compact"/>
      </w:pPr>
      <w:r>
        <w:t xml:space="preserve">Hunter, J. D.</w:t>
      </w:r>
      <w:r>
        <w:t xml:space="preserve"> </w:t>
      </w:r>
      <w:r>
        <w:t xml:space="preserve">“</w:t>
      </w:r>
      <w:r>
        <w:t xml:space="preserve">Matplotlib: A 2D Graphics Environment.</w:t>
      </w:r>
      <w:r>
        <w:t xml:space="preserve">”</w:t>
      </w:r>
      <w:r>
        <w:br/>
      </w:r>
    </w:p>
    <w:p>
      <w:pPr>
        <w:numPr>
          <w:ilvl w:val="0"/>
          <w:numId w:val="1008"/>
        </w:numPr>
        <w:pStyle w:val="Compact"/>
      </w:pPr>
      <w:r>
        <w:t xml:space="preserve">Manning, C. D., Raghavan, P., Schütze, H.</w:t>
      </w:r>
      <w:r>
        <w:t xml:space="preserve"> </w:t>
      </w:r>
      <w:r>
        <w:rPr>
          <w:iCs/>
          <w:i/>
        </w:rPr>
        <w:t xml:space="preserve">Introduction to Information Retrieval</w:t>
      </w:r>
      <w:r>
        <w:t xml:space="preserve"> </w:t>
      </w:r>
      <w:r>
        <w:t xml:space="preserve">(Vector Space Models &amp; Evaluation).</w:t>
      </w:r>
    </w:p>
    <w:bookmarkStart w:id="33" w:name="appendix-a-pdf-conversion-checklist"/>
    <w:p>
      <w:pPr>
        <w:pStyle w:val="Heading2"/>
      </w:pPr>
      <w:r>
        <w:t xml:space="preserve">Appendix A – PDF Conversion Checklist</w:t>
      </w:r>
    </w:p>
    <w:p>
      <w:pPr>
        <w:numPr>
          <w:ilvl w:val="0"/>
          <w:numId w:val="1009"/>
        </w:numPr>
        <w:pStyle w:val="Compact"/>
      </w:pPr>
      <w:r>
        <w:t xml:space="preserve">Copy this document into Microsoft Word or Google Docs.</w:t>
      </w:r>
      <w:r>
        <w:br/>
      </w:r>
    </w:p>
    <w:p>
      <w:pPr>
        <w:numPr>
          <w:ilvl w:val="0"/>
          <w:numId w:val="1009"/>
        </w:numPr>
        <w:pStyle w:val="Compact"/>
      </w:pPr>
      <w:r>
        <w:t xml:space="preserve">Insert the University crest and Minar-e-Pakistan watermark as described.</w:t>
      </w:r>
      <w:r>
        <w:br/>
      </w:r>
    </w:p>
    <w:p>
      <w:pPr>
        <w:numPr>
          <w:ilvl w:val="0"/>
          <w:numId w:val="1009"/>
        </w:numPr>
        <w:pStyle w:val="Compact"/>
      </w:pPr>
      <w:r>
        <w:t xml:space="preserve">Place code screenshots and generated plots in their respective sections.</w:t>
      </w:r>
      <w:r>
        <w:br/>
      </w:r>
    </w:p>
    <w:p>
      <w:pPr>
        <w:numPr>
          <w:ilvl w:val="0"/>
          <w:numId w:val="1009"/>
        </w:numPr>
        <w:pStyle w:val="Compact"/>
      </w:pPr>
      <w:r>
        <w:t xml:space="preserve">Use built-in heading styles to regenerate the Table of Contents.</w:t>
      </w:r>
      <w:r>
        <w:br/>
      </w:r>
    </w:p>
    <w:p>
      <w:pPr>
        <w:numPr>
          <w:ilvl w:val="0"/>
          <w:numId w:val="1009"/>
        </w:numPr>
        <w:pStyle w:val="Compact"/>
      </w:pPr>
      <w:r>
        <w:t xml:space="preserve">Export as</w:t>
      </w:r>
      <w:r>
        <w:t xml:space="preserve"> </w:t>
      </w:r>
      <w:r>
        <w:rPr>
          <w:rStyle w:val="VerbatimChar"/>
        </w:rPr>
        <w:t xml:space="preserve">MIP_Assignment1_Fiaz_Zafar_70189246.pdf</w:t>
      </w:r>
      <w:r>
        <w:t xml:space="preserve">.</w:t>
      </w:r>
    </w:p>
    <w:bookmarkEnd w:id="33"/>
    <w:bookmarkStart w:id="34" w:name="appendix-b-suggested-attachments"/>
    <w:p>
      <w:pPr>
        <w:pStyle w:val="Heading2"/>
      </w:pPr>
      <w:r>
        <w:t xml:space="preserve">Appendix B – Suggested Attachments</w:t>
      </w:r>
    </w:p>
    <w:p>
      <w:pPr>
        <w:numPr>
          <w:ilvl w:val="0"/>
          <w:numId w:val="1010"/>
        </w:numPr>
        <w:pStyle w:val="Compact"/>
      </w:pPr>
      <w:r>
        <w:t xml:space="preserve">Assignment_Report_Fiaz_Zafar_70189246.pdf</w:t>
      </w:r>
      <w:r>
        <w:br/>
      </w:r>
    </w:p>
    <w:p>
      <w:pPr>
        <w:numPr>
          <w:ilvl w:val="0"/>
          <w:numId w:val="1010"/>
        </w:numPr>
        <w:pStyle w:val="Compact"/>
      </w:pPr>
      <w:r>
        <w:t xml:space="preserve">Category_Discriminating_Terms.txt</w:t>
      </w:r>
      <w:r>
        <w:br/>
      </w:r>
    </w:p>
    <w:p>
      <w:pPr>
        <w:numPr>
          <w:ilvl w:val="0"/>
          <w:numId w:val="1010"/>
        </w:numPr>
        <w:pStyle w:val="Compact"/>
      </w:pPr>
      <w:r>
        <w:t xml:space="preserve">Cosine_Similarity_Matrix.csv</w:t>
      </w:r>
      <w:r>
        <w:br/>
      </w:r>
    </w:p>
    <w:p>
      <w:pPr>
        <w:numPr>
          <w:ilvl w:val="0"/>
          <w:numId w:val="1010"/>
        </w:numPr>
        <w:pStyle w:val="Compact"/>
      </w:pPr>
      <w:r>
        <w:t xml:space="preserve">Average_Precision_Scores.csv</w:t>
      </w:r>
      <w:r>
        <w:br/>
      </w:r>
    </w:p>
    <w:p>
      <w:pPr>
        <w:numPr>
          <w:ilvl w:val="0"/>
          <w:numId w:val="1010"/>
        </w:numPr>
        <w:pStyle w:val="Compact"/>
      </w:pPr>
      <w:r>
        <w:t xml:space="preserve">AP_Bar_Chart.png</w:t>
      </w:r>
      <w:r>
        <w:br/>
      </w:r>
    </w:p>
    <w:p>
      <w:pPr>
        <w:numPr>
          <w:ilvl w:val="0"/>
          <w:numId w:val="1010"/>
        </w:numPr>
        <w:pStyle w:val="Compact"/>
      </w:pPr>
      <w:r>
        <w:t xml:space="preserve">Code_Screenshots.zip (optional)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Information Processing – Assignment #1</dc:title>
  <dc:creator>Fiaz Zafar (SAP-ID 70189246)</dc:creator>
  <cp:keywords/>
  <dcterms:created xsi:type="dcterms:W3CDTF">2025-11-15T15:58:04Z</dcterms:created>
  <dcterms:modified xsi:type="dcterms:W3CDTF">2025-11-15T15:58:04Z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November 2025</vt:lpwstr>
  </property>
</Properties>
</file>