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57BDE" w14:textId="77777777" w:rsidR="00EC7F1F" w:rsidRDefault="00EC7F1F">
      <w:pPr>
        <w:spacing w:before="2400"/>
      </w:pPr>
    </w:p>
    <w:p w14:paraId="7DBDB20F" w14:textId="77777777" w:rsidR="00EC7F1F" w:rsidRDefault="00000B03">
      <w:pPr>
        <w:spacing w:after="200"/>
        <w:jc w:val="center"/>
      </w:pPr>
      <w:r>
        <w:rPr>
          <w:b/>
          <w:bCs/>
          <w:color w:val="1B2A4A"/>
          <w:sz w:val="56"/>
          <w:szCs w:val="56"/>
        </w:rPr>
        <w:t>DUAL MOMENTUM</w:t>
      </w:r>
    </w:p>
    <w:p w14:paraId="7164F56A" w14:textId="77777777" w:rsidR="00EC7F1F" w:rsidRDefault="00000B03">
      <w:pPr>
        <w:spacing w:after="120"/>
        <w:jc w:val="center"/>
      </w:pPr>
      <w:r>
        <w:rPr>
          <w:b/>
          <w:bCs/>
          <w:color w:val="2E5090"/>
          <w:sz w:val="44"/>
          <w:szCs w:val="44"/>
        </w:rPr>
        <w:t>PORTFOLIO MANAGEMENT</w:t>
      </w:r>
    </w:p>
    <w:p w14:paraId="4927C909" w14:textId="77777777" w:rsidR="00EC7F1F" w:rsidRDefault="00EC7F1F">
      <w:pPr>
        <w:pBdr>
          <w:bottom w:val="single" w:sz="8" w:space="1" w:color="3B7DD8"/>
        </w:pBdr>
        <w:spacing w:before="100" w:after="100"/>
      </w:pPr>
    </w:p>
    <w:p w14:paraId="16583CE8" w14:textId="77777777" w:rsidR="00EC7F1F" w:rsidRDefault="00000B03">
      <w:pPr>
        <w:spacing w:before="200" w:after="100"/>
        <w:jc w:val="center"/>
      </w:pPr>
      <w:r>
        <w:rPr>
          <w:i/>
          <w:iCs/>
          <w:color w:val="3B7DD8"/>
          <w:sz w:val="32"/>
          <w:szCs w:val="32"/>
        </w:rPr>
        <w:t>Step-by-Step Implementation Procedure</w:t>
      </w:r>
    </w:p>
    <w:p w14:paraId="52255391" w14:textId="77777777" w:rsidR="00EC7F1F" w:rsidRDefault="00000B03">
      <w:pPr>
        <w:spacing w:before="60" w:after="60"/>
        <w:jc w:val="center"/>
      </w:pPr>
      <w:r>
        <w:rPr>
          <w:color w:val="555555"/>
          <w:sz w:val="24"/>
          <w:szCs w:val="24"/>
        </w:rPr>
        <w:t>From Top-Down Analysis Through Strategy Execution</w:t>
      </w:r>
    </w:p>
    <w:p w14:paraId="7D03BFDB" w14:textId="77777777" w:rsidR="00EC7F1F" w:rsidRDefault="00EC7F1F">
      <w:pPr>
        <w:spacing w:before="800"/>
      </w:pPr>
    </w:p>
    <w:p w14:paraId="13E44121" w14:textId="77777777" w:rsidR="00EC7F1F" w:rsidRDefault="00000B03">
      <w:pPr>
        <w:jc w:val="center"/>
      </w:pPr>
      <w:r>
        <w:rPr>
          <w:b/>
          <w:bCs/>
          <w:color w:val="1B2A4A"/>
          <w:sz w:val="28"/>
          <w:szCs w:val="28"/>
        </w:rPr>
        <w:t>Trading Academy</w:t>
      </w:r>
    </w:p>
    <w:p w14:paraId="36A3392C" w14:textId="77777777" w:rsidR="00EC7F1F" w:rsidRDefault="00000B03">
      <w:pPr>
        <w:spacing w:before="80"/>
        <w:jc w:val="center"/>
      </w:pPr>
      <w:r>
        <w:rPr>
          <w:color w:val="3B7DD8"/>
        </w:rPr>
        <w:t>www.tradingacademy.com</w:t>
      </w:r>
    </w:p>
    <w:p w14:paraId="2ED530F1" w14:textId="77777777" w:rsidR="00EC7F1F" w:rsidRDefault="00000B03">
      <w:pPr>
        <w:spacing w:before="200"/>
        <w:jc w:val="center"/>
      </w:pPr>
      <w:r>
        <w:rPr>
          <w:color w:val="555555"/>
        </w:rPr>
        <w:t>2025 Edition</w:t>
      </w:r>
    </w:p>
    <w:p w14:paraId="43C34CDE" w14:textId="77777777" w:rsidR="00EC7F1F" w:rsidRDefault="00000B03">
      <w:r>
        <w:br w:type="page"/>
      </w:r>
    </w:p>
    <w:p w14:paraId="3668A6C8" w14:textId="77777777" w:rsidR="00EC7F1F" w:rsidRDefault="00000B03">
      <w:pPr>
        <w:pStyle w:val="Heading1"/>
        <w:spacing w:after="300"/>
      </w:pPr>
      <w:bookmarkStart w:id="0" w:name="_Toc224818099"/>
      <w:r>
        <w:lastRenderedPageBreak/>
        <w:t>Table of Contents</w:t>
      </w:r>
      <w:bookmarkEnd w:id="0"/>
    </w:p>
    <w:sdt>
      <w:sdtPr>
        <w:alias w:val="Table of Contents"/>
        <w:id w:val="534933207"/>
      </w:sdtPr>
      <w:sdtContent>
        <w:p w14:paraId="67D32118" w14:textId="77777777" w:rsidR="00B462B1" w:rsidRDefault="00000B03">
          <w:pPr>
            <w:pStyle w:val="TOC1"/>
            <w:tabs>
              <w:tab w:val="right" w:leader="dot" w:pos="9350"/>
            </w:tabs>
            <w:rPr>
              <w:noProof/>
            </w:rPr>
          </w:pPr>
          <w:r>
            <w:fldChar w:fldCharType="begin"/>
          </w:r>
          <w:r>
            <w:instrText>TOC \h \o "1-3"</w:instrText>
          </w:r>
          <w:r>
            <w:fldChar w:fldCharType="separate"/>
          </w:r>
          <w:hyperlink w:anchor="_Toc224818099" w:history="1">
            <w:r>
              <w:rPr>
                <w:rStyle w:val="Hyperlink"/>
                <w:noProof/>
              </w:rPr>
              <w:t>Table of Contents</w:t>
            </w:r>
            <w:r>
              <w:rPr>
                <w:noProof/>
              </w:rPr>
              <w:tab/>
            </w:r>
            <w:r>
              <w:rPr>
                <w:noProof/>
              </w:rPr>
              <w:fldChar w:fldCharType="begin"/>
            </w:r>
            <w:r>
              <w:rPr>
                <w:noProof/>
              </w:rPr>
              <w:instrText xml:space="preserve"> PAGEREF _Toc224818099 \h </w:instrText>
            </w:r>
            <w:r>
              <w:rPr>
                <w:noProof/>
              </w:rPr>
            </w:r>
            <w:r>
              <w:rPr>
                <w:noProof/>
              </w:rPr>
              <w:fldChar w:fldCharType="separate"/>
            </w:r>
            <w:r>
              <w:rPr>
                <w:noProof/>
              </w:rPr>
              <w:t>2</w:t>
            </w:r>
            <w:r>
              <w:rPr>
                <w:noProof/>
              </w:rPr>
              <w:fldChar w:fldCharType="end"/>
            </w:r>
          </w:hyperlink>
        </w:p>
        <w:p w14:paraId="29A978C7" w14:textId="77777777" w:rsidR="00B462B1" w:rsidRDefault="00000000">
          <w:pPr>
            <w:pStyle w:val="TOC1"/>
            <w:tabs>
              <w:tab w:val="right" w:leader="dot" w:pos="9350"/>
            </w:tabs>
            <w:rPr>
              <w:noProof/>
            </w:rPr>
          </w:pPr>
          <w:hyperlink w:anchor="_Toc224818100" w:history="1">
            <w:r>
              <w:rPr>
                <w:rStyle w:val="Hyperlink"/>
                <w:noProof/>
              </w:rPr>
              <w:t>Introduction: The Dual Momentum Decision Framework</w:t>
            </w:r>
            <w:r>
              <w:rPr>
                <w:noProof/>
              </w:rPr>
              <w:tab/>
            </w:r>
            <w:r>
              <w:rPr>
                <w:noProof/>
              </w:rPr>
              <w:fldChar w:fldCharType="begin"/>
            </w:r>
            <w:r>
              <w:rPr>
                <w:noProof/>
              </w:rPr>
              <w:instrText xml:space="preserve"> PAGEREF _Toc224818100 \h </w:instrText>
            </w:r>
            <w:r>
              <w:rPr>
                <w:noProof/>
              </w:rPr>
            </w:r>
            <w:r>
              <w:rPr>
                <w:noProof/>
              </w:rPr>
              <w:fldChar w:fldCharType="separate"/>
            </w:r>
            <w:r>
              <w:rPr>
                <w:noProof/>
              </w:rPr>
              <w:t>4</w:t>
            </w:r>
            <w:r>
              <w:rPr>
                <w:noProof/>
              </w:rPr>
              <w:fldChar w:fldCharType="end"/>
            </w:r>
          </w:hyperlink>
        </w:p>
        <w:p w14:paraId="658B22B6" w14:textId="77777777" w:rsidR="00B462B1" w:rsidRDefault="00000000">
          <w:pPr>
            <w:pStyle w:val="TOC2"/>
            <w:tabs>
              <w:tab w:val="right" w:leader="dot" w:pos="9350"/>
            </w:tabs>
            <w:rPr>
              <w:noProof/>
            </w:rPr>
          </w:pPr>
          <w:hyperlink w:anchor="_Toc224818101" w:history="1">
            <w:r>
              <w:rPr>
                <w:rStyle w:val="Hyperlink"/>
                <w:noProof/>
              </w:rPr>
              <w:t>Process Overview: The Twelve-Phase Implementation Cascade</w:t>
            </w:r>
            <w:r>
              <w:rPr>
                <w:noProof/>
              </w:rPr>
              <w:tab/>
            </w:r>
            <w:r>
              <w:rPr>
                <w:noProof/>
              </w:rPr>
              <w:fldChar w:fldCharType="begin"/>
            </w:r>
            <w:r>
              <w:rPr>
                <w:noProof/>
              </w:rPr>
              <w:instrText xml:space="preserve"> PAGEREF _Toc224818101 \h </w:instrText>
            </w:r>
            <w:r>
              <w:rPr>
                <w:noProof/>
              </w:rPr>
            </w:r>
            <w:r>
              <w:rPr>
                <w:noProof/>
              </w:rPr>
              <w:fldChar w:fldCharType="separate"/>
            </w:r>
            <w:r>
              <w:rPr>
                <w:noProof/>
              </w:rPr>
              <w:t>4</w:t>
            </w:r>
            <w:r>
              <w:rPr>
                <w:noProof/>
              </w:rPr>
              <w:fldChar w:fldCharType="end"/>
            </w:r>
          </w:hyperlink>
        </w:p>
        <w:p w14:paraId="25BF97B4" w14:textId="77777777" w:rsidR="00B462B1" w:rsidRDefault="00000000">
          <w:pPr>
            <w:pStyle w:val="TOC1"/>
            <w:tabs>
              <w:tab w:val="right" w:leader="dot" w:pos="9350"/>
            </w:tabs>
            <w:rPr>
              <w:noProof/>
            </w:rPr>
          </w:pPr>
          <w:hyperlink w:anchor="_Toc224818102" w:history="1">
            <w:r>
              <w:rPr>
                <w:rStyle w:val="Hyperlink"/>
                <w:noProof/>
              </w:rPr>
              <w:t>Tier I: Macro Analysis</w:t>
            </w:r>
            <w:r>
              <w:rPr>
                <w:noProof/>
              </w:rPr>
              <w:tab/>
            </w:r>
            <w:r>
              <w:rPr>
                <w:noProof/>
              </w:rPr>
              <w:fldChar w:fldCharType="begin"/>
            </w:r>
            <w:r>
              <w:rPr>
                <w:noProof/>
              </w:rPr>
              <w:instrText xml:space="preserve"> PAGEREF _Toc224818102 \h </w:instrText>
            </w:r>
            <w:r>
              <w:rPr>
                <w:noProof/>
              </w:rPr>
            </w:r>
            <w:r>
              <w:rPr>
                <w:noProof/>
              </w:rPr>
              <w:fldChar w:fldCharType="separate"/>
            </w:r>
            <w:r>
              <w:rPr>
                <w:noProof/>
              </w:rPr>
              <w:t>5</w:t>
            </w:r>
            <w:r>
              <w:rPr>
                <w:noProof/>
              </w:rPr>
              <w:fldChar w:fldCharType="end"/>
            </w:r>
          </w:hyperlink>
        </w:p>
        <w:p w14:paraId="422BAA55" w14:textId="77777777" w:rsidR="00B462B1" w:rsidRDefault="00000000">
          <w:pPr>
            <w:pStyle w:val="TOC3"/>
            <w:tabs>
              <w:tab w:val="right" w:leader="dot" w:pos="9350"/>
            </w:tabs>
            <w:rPr>
              <w:noProof/>
            </w:rPr>
          </w:pPr>
          <w:hyperlink w:anchor="_Toc224818103" w:history="1">
            <w:r>
              <w:rPr>
                <w:rStyle w:val="Hyperlink"/>
                <w:noProof/>
              </w:rPr>
              <w:t>Step 1.1: Analyze U.S. Dollar Strength/Weakness</w:t>
            </w:r>
            <w:r>
              <w:rPr>
                <w:noProof/>
              </w:rPr>
              <w:tab/>
            </w:r>
            <w:r>
              <w:rPr>
                <w:noProof/>
              </w:rPr>
              <w:fldChar w:fldCharType="begin"/>
            </w:r>
            <w:r>
              <w:rPr>
                <w:noProof/>
              </w:rPr>
              <w:instrText xml:space="preserve"> PAGEREF _Toc224818103 \h </w:instrText>
            </w:r>
            <w:r>
              <w:rPr>
                <w:noProof/>
              </w:rPr>
            </w:r>
            <w:r>
              <w:rPr>
                <w:noProof/>
              </w:rPr>
              <w:fldChar w:fldCharType="separate"/>
            </w:r>
            <w:r>
              <w:rPr>
                <w:noProof/>
              </w:rPr>
              <w:t>5</w:t>
            </w:r>
            <w:r>
              <w:rPr>
                <w:noProof/>
              </w:rPr>
              <w:fldChar w:fldCharType="end"/>
            </w:r>
          </w:hyperlink>
        </w:p>
        <w:p w14:paraId="203265D5" w14:textId="77777777" w:rsidR="00B462B1" w:rsidRDefault="00000000">
          <w:pPr>
            <w:pStyle w:val="TOC3"/>
            <w:tabs>
              <w:tab w:val="right" w:leader="dot" w:pos="9350"/>
            </w:tabs>
            <w:rPr>
              <w:noProof/>
            </w:rPr>
          </w:pPr>
          <w:hyperlink w:anchor="_Toc224818104" w:history="1">
            <w:r>
              <w:rPr>
                <w:rStyle w:val="Hyperlink"/>
                <w:noProof/>
              </w:rPr>
              <w:t>Step 1.2: Evaluate Bond Market Signals</w:t>
            </w:r>
            <w:r>
              <w:rPr>
                <w:noProof/>
              </w:rPr>
              <w:tab/>
            </w:r>
            <w:r>
              <w:rPr>
                <w:noProof/>
              </w:rPr>
              <w:fldChar w:fldCharType="begin"/>
            </w:r>
            <w:r>
              <w:rPr>
                <w:noProof/>
              </w:rPr>
              <w:instrText xml:space="preserve"> PAGEREF _Toc224818104 \h </w:instrText>
            </w:r>
            <w:r>
              <w:rPr>
                <w:noProof/>
              </w:rPr>
            </w:r>
            <w:r>
              <w:rPr>
                <w:noProof/>
              </w:rPr>
              <w:fldChar w:fldCharType="separate"/>
            </w:r>
            <w:r>
              <w:rPr>
                <w:noProof/>
              </w:rPr>
              <w:t>5</w:t>
            </w:r>
            <w:r>
              <w:rPr>
                <w:noProof/>
              </w:rPr>
              <w:fldChar w:fldCharType="end"/>
            </w:r>
          </w:hyperlink>
        </w:p>
        <w:p w14:paraId="487965E2" w14:textId="77777777" w:rsidR="00B462B1" w:rsidRDefault="00000000">
          <w:pPr>
            <w:pStyle w:val="TOC3"/>
            <w:tabs>
              <w:tab w:val="right" w:leader="dot" w:pos="9350"/>
            </w:tabs>
            <w:rPr>
              <w:noProof/>
            </w:rPr>
          </w:pPr>
          <w:hyperlink w:anchor="_Toc224818105" w:history="1">
            <w:r>
              <w:rPr>
                <w:rStyle w:val="Hyperlink"/>
                <w:noProof/>
              </w:rPr>
              <w:t>Step 1.3: Analyze Commodity Price Trends</w:t>
            </w:r>
            <w:r>
              <w:rPr>
                <w:noProof/>
              </w:rPr>
              <w:tab/>
            </w:r>
            <w:r>
              <w:rPr>
                <w:noProof/>
              </w:rPr>
              <w:fldChar w:fldCharType="begin"/>
            </w:r>
            <w:r>
              <w:rPr>
                <w:noProof/>
              </w:rPr>
              <w:instrText xml:space="preserve"> PAGEREF _Toc224818105 \h </w:instrText>
            </w:r>
            <w:r>
              <w:rPr>
                <w:noProof/>
              </w:rPr>
            </w:r>
            <w:r>
              <w:rPr>
                <w:noProof/>
              </w:rPr>
              <w:fldChar w:fldCharType="separate"/>
            </w:r>
            <w:r>
              <w:rPr>
                <w:noProof/>
              </w:rPr>
              <w:t>5</w:t>
            </w:r>
            <w:r>
              <w:rPr>
                <w:noProof/>
              </w:rPr>
              <w:fldChar w:fldCharType="end"/>
            </w:r>
          </w:hyperlink>
        </w:p>
        <w:p w14:paraId="74467035" w14:textId="77777777" w:rsidR="00B462B1" w:rsidRDefault="00000000">
          <w:pPr>
            <w:pStyle w:val="TOC3"/>
            <w:tabs>
              <w:tab w:val="right" w:leader="dot" w:pos="9350"/>
            </w:tabs>
            <w:rPr>
              <w:noProof/>
            </w:rPr>
          </w:pPr>
          <w:hyperlink w:anchor="_Toc224818106" w:history="1">
            <w:r>
              <w:rPr>
                <w:rStyle w:val="Hyperlink"/>
                <w:noProof/>
              </w:rPr>
              <w:t>Step 1.4: Assess Equity Market Rotation</w:t>
            </w:r>
            <w:r>
              <w:rPr>
                <w:noProof/>
              </w:rPr>
              <w:tab/>
            </w:r>
            <w:r>
              <w:rPr>
                <w:noProof/>
              </w:rPr>
              <w:fldChar w:fldCharType="begin"/>
            </w:r>
            <w:r>
              <w:rPr>
                <w:noProof/>
              </w:rPr>
              <w:instrText xml:space="preserve"> PAGEREF _Toc224818106 \h </w:instrText>
            </w:r>
            <w:r>
              <w:rPr>
                <w:noProof/>
              </w:rPr>
            </w:r>
            <w:r>
              <w:rPr>
                <w:noProof/>
              </w:rPr>
              <w:fldChar w:fldCharType="separate"/>
            </w:r>
            <w:r>
              <w:rPr>
                <w:noProof/>
              </w:rPr>
              <w:t>6</w:t>
            </w:r>
            <w:r>
              <w:rPr>
                <w:noProof/>
              </w:rPr>
              <w:fldChar w:fldCharType="end"/>
            </w:r>
          </w:hyperlink>
        </w:p>
        <w:p w14:paraId="4D4B8AAD" w14:textId="77777777" w:rsidR="00B462B1" w:rsidRDefault="00000000">
          <w:pPr>
            <w:pStyle w:val="TOC3"/>
            <w:tabs>
              <w:tab w:val="right" w:leader="dot" w:pos="9350"/>
            </w:tabs>
            <w:rPr>
              <w:noProof/>
            </w:rPr>
          </w:pPr>
          <w:hyperlink w:anchor="_Toc224818107" w:history="1">
            <w:r>
              <w:rPr>
                <w:rStyle w:val="Hyperlink"/>
                <w:noProof/>
              </w:rPr>
              <w:t>Step 1.5: Construct the Liquidity Roadmap</w:t>
            </w:r>
            <w:r>
              <w:rPr>
                <w:noProof/>
              </w:rPr>
              <w:tab/>
            </w:r>
            <w:r>
              <w:rPr>
                <w:noProof/>
              </w:rPr>
              <w:fldChar w:fldCharType="begin"/>
            </w:r>
            <w:r>
              <w:rPr>
                <w:noProof/>
              </w:rPr>
              <w:instrText xml:space="preserve"> PAGEREF _Toc224818107 \h </w:instrText>
            </w:r>
            <w:r>
              <w:rPr>
                <w:noProof/>
              </w:rPr>
            </w:r>
            <w:r>
              <w:rPr>
                <w:noProof/>
              </w:rPr>
              <w:fldChar w:fldCharType="separate"/>
            </w:r>
            <w:r>
              <w:rPr>
                <w:noProof/>
              </w:rPr>
              <w:t>6</w:t>
            </w:r>
            <w:r>
              <w:rPr>
                <w:noProof/>
              </w:rPr>
              <w:fldChar w:fldCharType="end"/>
            </w:r>
          </w:hyperlink>
        </w:p>
        <w:p w14:paraId="6613FE90" w14:textId="77777777" w:rsidR="00B462B1" w:rsidRDefault="00000000">
          <w:pPr>
            <w:pStyle w:val="TOC3"/>
            <w:tabs>
              <w:tab w:val="right" w:leader="dot" w:pos="9350"/>
            </w:tabs>
            <w:rPr>
              <w:noProof/>
            </w:rPr>
          </w:pPr>
          <w:hyperlink w:anchor="_Toc224818108" w:history="1">
            <w:r>
              <w:rPr>
                <w:rStyle w:val="Hyperlink"/>
                <w:noProof/>
              </w:rPr>
              <w:t>Step 2.1: Calculate Relative Momentum (Cross-Sectional)</w:t>
            </w:r>
            <w:r>
              <w:rPr>
                <w:noProof/>
              </w:rPr>
              <w:tab/>
            </w:r>
            <w:r>
              <w:rPr>
                <w:noProof/>
              </w:rPr>
              <w:fldChar w:fldCharType="begin"/>
            </w:r>
            <w:r>
              <w:rPr>
                <w:noProof/>
              </w:rPr>
              <w:instrText xml:space="preserve"> PAGEREF _Toc224818108 \h </w:instrText>
            </w:r>
            <w:r>
              <w:rPr>
                <w:noProof/>
              </w:rPr>
            </w:r>
            <w:r>
              <w:rPr>
                <w:noProof/>
              </w:rPr>
              <w:fldChar w:fldCharType="separate"/>
            </w:r>
            <w:r>
              <w:rPr>
                <w:noProof/>
              </w:rPr>
              <w:t>7</w:t>
            </w:r>
            <w:r>
              <w:rPr>
                <w:noProof/>
              </w:rPr>
              <w:fldChar w:fldCharType="end"/>
            </w:r>
          </w:hyperlink>
        </w:p>
        <w:p w14:paraId="2819D3D9" w14:textId="77777777" w:rsidR="00B462B1" w:rsidRDefault="00000000">
          <w:pPr>
            <w:pStyle w:val="TOC3"/>
            <w:tabs>
              <w:tab w:val="right" w:leader="dot" w:pos="9350"/>
            </w:tabs>
            <w:rPr>
              <w:noProof/>
            </w:rPr>
          </w:pPr>
          <w:hyperlink w:anchor="_Toc224818109" w:history="1">
            <w:r>
              <w:rPr>
                <w:rStyle w:val="Hyperlink"/>
                <w:noProof/>
              </w:rPr>
              <w:t>Step 2.2: Calculate Absolute Momentum (Time-Series)</w:t>
            </w:r>
            <w:r>
              <w:rPr>
                <w:noProof/>
              </w:rPr>
              <w:tab/>
            </w:r>
            <w:r>
              <w:rPr>
                <w:noProof/>
              </w:rPr>
              <w:fldChar w:fldCharType="begin"/>
            </w:r>
            <w:r>
              <w:rPr>
                <w:noProof/>
              </w:rPr>
              <w:instrText xml:space="preserve"> PAGEREF _Toc224818109 \h </w:instrText>
            </w:r>
            <w:r>
              <w:rPr>
                <w:noProof/>
              </w:rPr>
            </w:r>
            <w:r>
              <w:rPr>
                <w:noProof/>
              </w:rPr>
              <w:fldChar w:fldCharType="separate"/>
            </w:r>
            <w:r>
              <w:rPr>
                <w:noProof/>
              </w:rPr>
              <w:t>7</w:t>
            </w:r>
            <w:r>
              <w:rPr>
                <w:noProof/>
              </w:rPr>
              <w:fldChar w:fldCharType="end"/>
            </w:r>
          </w:hyperlink>
        </w:p>
        <w:p w14:paraId="01E0F724" w14:textId="77777777" w:rsidR="00B462B1" w:rsidRDefault="00000000">
          <w:pPr>
            <w:pStyle w:val="TOC3"/>
            <w:tabs>
              <w:tab w:val="right" w:leader="dot" w:pos="9350"/>
            </w:tabs>
            <w:rPr>
              <w:noProof/>
            </w:rPr>
          </w:pPr>
          <w:hyperlink w:anchor="_Toc224818110" w:history="1">
            <w:r>
              <w:rPr>
                <w:rStyle w:val="Hyperlink"/>
                <w:noProof/>
              </w:rPr>
              <w:t>Step 2.3: Formulate Asset Allocation Strategy</w:t>
            </w:r>
            <w:r>
              <w:rPr>
                <w:noProof/>
              </w:rPr>
              <w:tab/>
            </w:r>
            <w:r>
              <w:rPr>
                <w:noProof/>
              </w:rPr>
              <w:fldChar w:fldCharType="begin"/>
            </w:r>
            <w:r>
              <w:rPr>
                <w:noProof/>
              </w:rPr>
              <w:instrText xml:space="preserve"> PAGEREF _Toc224818110 \h </w:instrText>
            </w:r>
            <w:r>
              <w:rPr>
                <w:noProof/>
              </w:rPr>
            </w:r>
            <w:r>
              <w:rPr>
                <w:noProof/>
              </w:rPr>
              <w:fldChar w:fldCharType="separate"/>
            </w:r>
            <w:r>
              <w:rPr>
                <w:noProof/>
              </w:rPr>
              <w:t>7</w:t>
            </w:r>
            <w:r>
              <w:rPr>
                <w:noProof/>
              </w:rPr>
              <w:fldChar w:fldCharType="end"/>
            </w:r>
          </w:hyperlink>
        </w:p>
        <w:p w14:paraId="2E75C23F" w14:textId="77777777" w:rsidR="00B462B1" w:rsidRDefault="00000000">
          <w:pPr>
            <w:pStyle w:val="TOC3"/>
            <w:tabs>
              <w:tab w:val="right" w:leader="dot" w:pos="9350"/>
            </w:tabs>
            <w:rPr>
              <w:noProof/>
            </w:rPr>
          </w:pPr>
          <w:hyperlink w:anchor="_Toc224818111" w:history="1">
            <w:r>
              <w:rPr>
                <w:rStyle w:val="Hyperlink"/>
                <w:noProof/>
              </w:rPr>
              <w:t>Step 3.1: Construct the Benchmark Equivalence Line (BEL)</w:t>
            </w:r>
            <w:r>
              <w:rPr>
                <w:noProof/>
              </w:rPr>
              <w:tab/>
            </w:r>
            <w:r>
              <w:rPr>
                <w:noProof/>
              </w:rPr>
              <w:fldChar w:fldCharType="begin"/>
            </w:r>
            <w:r>
              <w:rPr>
                <w:noProof/>
              </w:rPr>
              <w:instrText xml:space="preserve"> PAGEREF _Toc224818111 \h </w:instrText>
            </w:r>
            <w:r>
              <w:rPr>
                <w:noProof/>
              </w:rPr>
            </w:r>
            <w:r>
              <w:rPr>
                <w:noProof/>
              </w:rPr>
              <w:fldChar w:fldCharType="separate"/>
            </w:r>
            <w:r>
              <w:rPr>
                <w:noProof/>
              </w:rPr>
              <w:t>8</w:t>
            </w:r>
            <w:r>
              <w:rPr>
                <w:noProof/>
              </w:rPr>
              <w:fldChar w:fldCharType="end"/>
            </w:r>
          </w:hyperlink>
        </w:p>
        <w:p w14:paraId="76A9BE22" w14:textId="77777777" w:rsidR="00B462B1" w:rsidRDefault="00000000">
          <w:pPr>
            <w:pStyle w:val="TOC3"/>
            <w:tabs>
              <w:tab w:val="right" w:leader="dot" w:pos="9350"/>
            </w:tabs>
            <w:rPr>
              <w:noProof/>
            </w:rPr>
          </w:pPr>
          <w:hyperlink w:anchor="_Toc224818112" w:history="1">
            <w:r>
              <w:rPr>
                <w:rStyle w:val="Hyperlink"/>
                <w:noProof/>
              </w:rPr>
              <w:t>Step 3.2: Calculate The Spread</w:t>
            </w:r>
            <w:r>
              <w:rPr>
                <w:noProof/>
              </w:rPr>
              <w:tab/>
            </w:r>
            <w:r>
              <w:rPr>
                <w:noProof/>
              </w:rPr>
              <w:fldChar w:fldCharType="begin"/>
            </w:r>
            <w:r>
              <w:rPr>
                <w:noProof/>
              </w:rPr>
              <w:instrText xml:space="preserve"> PAGEREF _Toc224818112 \h </w:instrText>
            </w:r>
            <w:r>
              <w:rPr>
                <w:noProof/>
              </w:rPr>
            </w:r>
            <w:r>
              <w:rPr>
                <w:noProof/>
              </w:rPr>
              <w:fldChar w:fldCharType="separate"/>
            </w:r>
            <w:r>
              <w:rPr>
                <w:noProof/>
              </w:rPr>
              <w:t>8</w:t>
            </w:r>
            <w:r>
              <w:rPr>
                <w:noProof/>
              </w:rPr>
              <w:fldChar w:fldCharType="end"/>
            </w:r>
          </w:hyperlink>
        </w:p>
        <w:p w14:paraId="68F007A0" w14:textId="77777777" w:rsidR="00B462B1" w:rsidRDefault="00000000">
          <w:pPr>
            <w:pStyle w:val="TOC3"/>
            <w:tabs>
              <w:tab w:val="right" w:leader="dot" w:pos="9350"/>
            </w:tabs>
            <w:rPr>
              <w:noProof/>
            </w:rPr>
          </w:pPr>
          <w:hyperlink w:anchor="_Toc224818113" w:history="1">
            <w:r>
              <w:rPr>
                <w:rStyle w:val="Hyperlink"/>
                <w:noProof/>
              </w:rPr>
              <w:t>Step 3.3: Determine Current Regime</w:t>
            </w:r>
            <w:r>
              <w:rPr>
                <w:noProof/>
              </w:rPr>
              <w:tab/>
            </w:r>
            <w:r>
              <w:rPr>
                <w:noProof/>
              </w:rPr>
              <w:fldChar w:fldCharType="begin"/>
            </w:r>
            <w:r>
              <w:rPr>
                <w:noProof/>
              </w:rPr>
              <w:instrText xml:space="preserve"> PAGEREF _Toc224818113 \h </w:instrText>
            </w:r>
            <w:r>
              <w:rPr>
                <w:noProof/>
              </w:rPr>
            </w:r>
            <w:r>
              <w:rPr>
                <w:noProof/>
              </w:rPr>
              <w:fldChar w:fldCharType="separate"/>
            </w:r>
            <w:r>
              <w:rPr>
                <w:noProof/>
              </w:rPr>
              <w:t>8</w:t>
            </w:r>
            <w:r>
              <w:rPr>
                <w:noProof/>
              </w:rPr>
              <w:fldChar w:fldCharType="end"/>
            </w:r>
          </w:hyperlink>
        </w:p>
        <w:p w14:paraId="5B6166E8" w14:textId="77777777" w:rsidR="00B462B1" w:rsidRDefault="00000000">
          <w:pPr>
            <w:pStyle w:val="TOC3"/>
            <w:tabs>
              <w:tab w:val="right" w:leader="dot" w:pos="9350"/>
            </w:tabs>
            <w:rPr>
              <w:noProof/>
            </w:rPr>
          </w:pPr>
          <w:hyperlink w:anchor="_Toc224818114" w:history="1">
            <w:r>
              <w:rPr>
                <w:rStyle w:val="Hyperlink"/>
                <w:noProof/>
              </w:rPr>
              <w:t>Step 3.4: Calibrate Strategy Parameters to Regime</w:t>
            </w:r>
            <w:r>
              <w:rPr>
                <w:noProof/>
              </w:rPr>
              <w:tab/>
            </w:r>
            <w:r>
              <w:rPr>
                <w:noProof/>
              </w:rPr>
              <w:fldChar w:fldCharType="begin"/>
            </w:r>
            <w:r>
              <w:rPr>
                <w:noProof/>
              </w:rPr>
              <w:instrText xml:space="preserve"> PAGEREF _Toc224818114 \h </w:instrText>
            </w:r>
            <w:r>
              <w:rPr>
                <w:noProof/>
              </w:rPr>
            </w:r>
            <w:r>
              <w:rPr>
                <w:noProof/>
              </w:rPr>
              <w:fldChar w:fldCharType="separate"/>
            </w:r>
            <w:r>
              <w:rPr>
                <w:noProof/>
              </w:rPr>
              <w:t>8</w:t>
            </w:r>
            <w:r>
              <w:rPr>
                <w:noProof/>
              </w:rPr>
              <w:fldChar w:fldCharType="end"/>
            </w:r>
          </w:hyperlink>
        </w:p>
        <w:p w14:paraId="42B5ADB2" w14:textId="77777777" w:rsidR="00B462B1" w:rsidRDefault="00000000">
          <w:pPr>
            <w:pStyle w:val="TOC2"/>
            <w:tabs>
              <w:tab w:val="right" w:leader="dot" w:pos="9350"/>
            </w:tabs>
            <w:rPr>
              <w:noProof/>
            </w:rPr>
          </w:pPr>
          <w:hyperlink w:anchor="_Toc224818115" w:history="1">
            <w:r>
              <w:rPr>
                <w:rStyle w:val="Hyperlink"/>
                <w:noProof/>
              </w:rPr>
              <w:t>Market Breadth &amp; Internals: Timing Confirmation Layer</w:t>
            </w:r>
            <w:r>
              <w:rPr>
                <w:noProof/>
              </w:rPr>
              <w:tab/>
            </w:r>
            <w:r>
              <w:rPr>
                <w:noProof/>
              </w:rPr>
              <w:fldChar w:fldCharType="begin"/>
            </w:r>
            <w:r>
              <w:rPr>
                <w:noProof/>
              </w:rPr>
              <w:instrText xml:space="preserve"> PAGEREF _Toc224818115 \h </w:instrText>
            </w:r>
            <w:r>
              <w:rPr>
                <w:noProof/>
              </w:rPr>
            </w:r>
            <w:r>
              <w:rPr>
                <w:noProof/>
              </w:rPr>
              <w:fldChar w:fldCharType="separate"/>
            </w:r>
            <w:r>
              <w:rPr>
                <w:noProof/>
              </w:rPr>
              <w:t>10</w:t>
            </w:r>
            <w:r>
              <w:rPr>
                <w:noProof/>
              </w:rPr>
              <w:fldChar w:fldCharType="end"/>
            </w:r>
          </w:hyperlink>
        </w:p>
        <w:p w14:paraId="4ED55038" w14:textId="77777777" w:rsidR="00B462B1" w:rsidRDefault="00000000">
          <w:pPr>
            <w:pStyle w:val="TOC3"/>
            <w:tabs>
              <w:tab w:val="right" w:leader="dot" w:pos="9350"/>
            </w:tabs>
            <w:rPr>
              <w:noProof/>
            </w:rPr>
          </w:pPr>
          <w:hyperlink w:anchor="_Toc224818116" w:history="1">
            <w:r>
              <w:rPr>
                <w:rStyle w:val="Hyperlink"/>
                <w:noProof/>
              </w:rPr>
              <w:t>Step 3.5: Analyze Advance-Decline Line for Breadth Divergences</w:t>
            </w:r>
            <w:r>
              <w:rPr>
                <w:noProof/>
              </w:rPr>
              <w:tab/>
            </w:r>
            <w:r>
              <w:rPr>
                <w:noProof/>
              </w:rPr>
              <w:fldChar w:fldCharType="begin"/>
            </w:r>
            <w:r>
              <w:rPr>
                <w:noProof/>
              </w:rPr>
              <w:instrText xml:space="preserve"> PAGEREF _Toc224818116 \h </w:instrText>
            </w:r>
            <w:r>
              <w:rPr>
                <w:noProof/>
              </w:rPr>
            </w:r>
            <w:r>
              <w:rPr>
                <w:noProof/>
              </w:rPr>
              <w:fldChar w:fldCharType="separate"/>
            </w:r>
            <w:r>
              <w:rPr>
                <w:noProof/>
              </w:rPr>
              <w:t>10</w:t>
            </w:r>
            <w:r>
              <w:rPr>
                <w:noProof/>
              </w:rPr>
              <w:fldChar w:fldCharType="end"/>
            </w:r>
          </w:hyperlink>
        </w:p>
        <w:p w14:paraId="687343EA" w14:textId="77777777" w:rsidR="00B462B1" w:rsidRDefault="00000000">
          <w:pPr>
            <w:pStyle w:val="TOC3"/>
            <w:tabs>
              <w:tab w:val="right" w:leader="dot" w:pos="9350"/>
            </w:tabs>
            <w:rPr>
              <w:noProof/>
            </w:rPr>
          </w:pPr>
          <w:hyperlink w:anchor="_Toc224818117" w:history="1">
            <w:r>
              <w:rPr>
                <w:rStyle w:val="Hyperlink"/>
                <w:noProof/>
              </w:rPr>
              <w:t>Step 3.6: Evaluate Breadth Internals — Moving Average Participation Indicators</w:t>
            </w:r>
            <w:r>
              <w:rPr>
                <w:noProof/>
              </w:rPr>
              <w:tab/>
            </w:r>
            <w:r>
              <w:rPr>
                <w:noProof/>
              </w:rPr>
              <w:fldChar w:fldCharType="begin"/>
            </w:r>
            <w:r>
              <w:rPr>
                <w:noProof/>
              </w:rPr>
              <w:instrText xml:space="preserve"> PAGEREF _Toc224818117 \h </w:instrText>
            </w:r>
            <w:r>
              <w:rPr>
                <w:noProof/>
              </w:rPr>
            </w:r>
            <w:r>
              <w:rPr>
                <w:noProof/>
              </w:rPr>
              <w:fldChar w:fldCharType="separate"/>
            </w:r>
            <w:r>
              <w:rPr>
                <w:noProof/>
              </w:rPr>
              <w:t>11</w:t>
            </w:r>
            <w:r>
              <w:rPr>
                <w:noProof/>
              </w:rPr>
              <w:fldChar w:fldCharType="end"/>
            </w:r>
          </w:hyperlink>
        </w:p>
        <w:p w14:paraId="29016477" w14:textId="77777777" w:rsidR="00B462B1" w:rsidRDefault="00000000">
          <w:pPr>
            <w:pStyle w:val="TOC3"/>
            <w:tabs>
              <w:tab w:val="right" w:leader="dot" w:pos="9350"/>
            </w:tabs>
            <w:rPr>
              <w:noProof/>
            </w:rPr>
          </w:pPr>
          <w:hyperlink w:anchor="_Toc224818118" w:history="1">
            <w:r>
              <w:rPr>
                <w:rStyle w:val="Hyperlink"/>
                <w:noProof/>
              </w:rPr>
              <w:t>Step 3.7: Identify Blow-Off Events and Oversold Extremes</w:t>
            </w:r>
            <w:r>
              <w:rPr>
                <w:noProof/>
              </w:rPr>
              <w:tab/>
            </w:r>
            <w:r>
              <w:rPr>
                <w:noProof/>
              </w:rPr>
              <w:fldChar w:fldCharType="begin"/>
            </w:r>
            <w:r>
              <w:rPr>
                <w:noProof/>
              </w:rPr>
              <w:instrText xml:space="preserve"> PAGEREF _Toc224818118 \h </w:instrText>
            </w:r>
            <w:r>
              <w:rPr>
                <w:noProof/>
              </w:rPr>
            </w:r>
            <w:r>
              <w:rPr>
                <w:noProof/>
              </w:rPr>
              <w:fldChar w:fldCharType="separate"/>
            </w:r>
            <w:r>
              <w:rPr>
                <w:noProof/>
              </w:rPr>
              <w:t>12</w:t>
            </w:r>
            <w:r>
              <w:rPr>
                <w:noProof/>
              </w:rPr>
              <w:fldChar w:fldCharType="end"/>
            </w:r>
          </w:hyperlink>
        </w:p>
        <w:p w14:paraId="3577F7C2" w14:textId="77777777" w:rsidR="00B462B1" w:rsidRDefault="00000000">
          <w:pPr>
            <w:pStyle w:val="TOC3"/>
            <w:tabs>
              <w:tab w:val="right" w:leader="dot" w:pos="9350"/>
            </w:tabs>
            <w:rPr>
              <w:noProof/>
            </w:rPr>
          </w:pPr>
          <w:hyperlink w:anchor="_Toc224818119" w:history="1">
            <w:r>
              <w:rPr>
                <w:rStyle w:val="Hyperlink"/>
                <w:noProof/>
              </w:rPr>
              <w:t>Step 3.8: Classify Oversold Conditions — Good Oversold vs. Bad Oversold</w:t>
            </w:r>
            <w:r>
              <w:rPr>
                <w:noProof/>
              </w:rPr>
              <w:tab/>
            </w:r>
            <w:r>
              <w:rPr>
                <w:noProof/>
              </w:rPr>
              <w:fldChar w:fldCharType="begin"/>
            </w:r>
            <w:r>
              <w:rPr>
                <w:noProof/>
              </w:rPr>
              <w:instrText xml:space="preserve"> PAGEREF _Toc224818119 \h </w:instrText>
            </w:r>
            <w:r>
              <w:rPr>
                <w:noProof/>
              </w:rPr>
            </w:r>
            <w:r>
              <w:rPr>
                <w:noProof/>
              </w:rPr>
              <w:fldChar w:fldCharType="separate"/>
            </w:r>
            <w:r>
              <w:rPr>
                <w:noProof/>
              </w:rPr>
              <w:t>13</w:t>
            </w:r>
            <w:r>
              <w:rPr>
                <w:noProof/>
              </w:rPr>
              <w:fldChar w:fldCharType="end"/>
            </w:r>
          </w:hyperlink>
        </w:p>
        <w:p w14:paraId="56688EBD" w14:textId="77777777" w:rsidR="00B462B1" w:rsidRDefault="00000000">
          <w:pPr>
            <w:pStyle w:val="TOC3"/>
            <w:tabs>
              <w:tab w:val="right" w:leader="dot" w:pos="9350"/>
            </w:tabs>
            <w:rPr>
              <w:noProof/>
            </w:rPr>
          </w:pPr>
          <w:hyperlink w:anchor="_Toc224818120" w:history="1">
            <w:r>
              <w:rPr>
                <w:rStyle w:val="Hyperlink"/>
                <w:noProof/>
              </w:rPr>
              <w:t>Step 3.9: Integrate Breadth Signals with Janus Factor Regime Classification</w:t>
            </w:r>
            <w:r>
              <w:rPr>
                <w:noProof/>
              </w:rPr>
              <w:tab/>
            </w:r>
            <w:r>
              <w:rPr>
                <w:noProof/>
              </w:rPr>
              <w:fldChar w:fldCharType="begin"/>
            </w:r>
            <w:r>
              <w:rPr>
                <w:noProof/>
              </w:rPr>
              <w:instrText xml:space="preserve"> PAGEREF _Toc224818120 \h </w:instrText>
            </w:r>
            <w:r>
              <w:rPr>
                <w:noProof/>
              </w:rPr>
            </w:r>
            <w:r>
              <w:rPr>
                <w:noProof/>
              </w:rPr>
              <w:fldChar w:fldCharType="separate"/>
            </w:r>
            <w:r>
              <w:rPr>
                <w:noProof/>
              </w:rPr>
              <w:t>14</w:t>
            </w:r>
            <w:r>
              <w:rPr>
                <w:noProof/>
              </w:rPr>
              <w:fldChar w:fldCharType="end"/>
            </w:r>
          </w:hyperlink>
        </w:p>
        <w:p w14:paraId="0438CA85" w14:textId="77777777" w:rsidR="00B462B1" w:rsidRDefault="00000000">
          <w:pPr>
            <w:pStyle w:val="TOC1"/>
            <w:tabs>
              <w:tab w:val="right" w:leader="dot" w:pos="9350"/>
            </w:tabs>
            <w:rPr>
              <w:noProof/>
            </w:rPr>
          </w:pPr>
          <w:hyperlink w:anchor="_Toc224818121" w:history="1">
            <w:r>
              <w:rPr>
                <w:rStyle w:val="Hyperlink"/>
                <w:noProof/>
              </w:rPr>
              <w:t>Tier II: Selection</w:t>
            </w:r>
            <w:r>
              <w:rPr>
                <w:noProof/>
              </w:rPr>
              <w:tab/>
            </w:r>
            <w:r>
              <w:rPr>
                <w:noProof/>
              </w:rPr>
              <w:fldChar w:fldCharType="begin"/>
            </w:r>
            <w:r>
              <w:rPr>
                <w:noProof/>
              </w:rPr>
              <w:instrText xml:space="preserve"> PAGEREF _Toc224818121 \h </w:instrText>
            </w:r>
            <w:r>
              <w:rPr>
                <w:noProof/>
              </w:rPr>
            </w:r>
            <w:r>
              <w:rPr>
                <w:noProof/>
              </w:rPr>
              <w:fldChar w:fldCharType="separate"/>
            </w:r>
            <w:r>
              <w:rPr>
                <w:noProof/>
              </w:rPr>
              <w:t>16</w:t>
            </w:r>
            <w:r>
              <w:rPr>
                <w:noProof/>
              </w:rPr>
              <w:fldChar w:fldCharType="end"/>
            </w:r>
          </w:hyperlink>
        </w:p>
        <w:p w14:paraId="11BE0C56" w14:textId="77777777" w:rsidR="00B462B1" w:rsidRDefault="00000000">
          <w:pPr>
            <w:pStyle w:val="TOC3"/>
            <w:tabs>
              <w:tab w:val="right" w:leader="dot" w:pos="9350"/>
            </w:tabs>
            <w:rPr>
              <w:noProof/>
            </w:rPr>
          </w:pPr>
          <w:hyperlink w:anchor="_Toc224818122" w:history="1">
            <w:r>
              <w:rPr>
                <w:rStyle w:val="Hyperlink"/>
                <w:noProof/>
              </w:rPr>
              <w:t>Step 4.1: Calculate Sector Relative Strength</w:t>
            </w:r>
            <w:r>
              <w:rPr>
                <w:noProof/>
              </w:rPr>
              <w:tab/>
            </w:r>
            <w:r>
              <w:rPr>
                <w:noProof/>
              </w:rPr>
              <w:fldChar w:fldCharType="begin"/>
            </w:r>
            <w:r>
              <w:rPr>
                <w:noProof/>
              </w:rPr>
              <w:instrText xml:space="preserve"> PAGEREF _Toc224818122 \h </w:instrText>
            </w:r>
            <w:r>
              <w:rPr>
                <w:noProof/>
              </w:rPr>
            </w:r>
            <w:r>
              <w:rPr>
                <w:noProof/>
              </w:rPr>
              <w:fldChar w:fldCharType="separate"/>
            </w:r>
            <w:r>
              <w:rPr>
                <w:noProof/>
              </w:rPr>
              <w:t>16</w:t>
            </w:r>
            <w:r>
              <w:rPr>
                <w:noProof/>
              </w:rPr>
              <w:fldChar w:fldCharType="end"/>
            </w:r>
          </w:hyperlink>
        </w:p>
        <w:p w14:paraId="42EC05AD" w14:textId="77777777" w:rsidR="00B462B1" w:rsidRDefault="00000000">
          <w:pPr>
            <w:pStyle w:val="TOC3"/>
            <w:tabs>
              <w:tab w:val="right" w:leader="dot" w:pos="9350"/>
            </w:tabs>
            <w:rPr>
              <w:noProof/>
            </w:rPr>
          </w:pPr>
          <w:hyperlink w:anchor="_Toc224818123" w:history="1">
            <w:r>
              <w:rPr>
                <w:rStyle w:val="Hyperlink"/>
                <w:noProof/>
              </w:rPr>
              <w:t>Step 4.2: Evaluate Factor Momentum</w:t>
            </w:r>
            <w:r>
              <w:rPr>
                <w:noProof/>
              </w:rPr>
              <w:tab/>
            </w:r>
            <w:r>
              <w:rPr>
                <w:noProof/>
              </w:rPr>
              <w:fldChar w:fldCharType="begin"/>
            </w:r>
            <w:r>
              <w:rPr>
                <w:noProof/>
              </w:rPr>
              <w:instrText xml:space="preserve"> PAGEREF _Toc224818123 \h </w:instrText>
            </w:r>
            <w:r>
              <w:rPr>
                <w:noProof/>
              </w:rPr>
            </w:r>
            <w:r>
              <w:rPr>
                <w:noProof/>
              </w:rPr>
              <w:fldChar w:fldCharType="separate"/>
            </w:r>
            <w:r>
              <w:rPr>
                <w:noProof/>
              </w:rPr>
              <w:t>16</w:t>
            </w:r>
            <w:r>
              <w:rPr>
                <w:noProof/>
              </w:rPr>
              <w:fldChar w:fldCharType="end"/>
            </w:r>
          </w:hyperlink>
        </w:p>
        <w:p w14:paraId="73A28DCB" w14:textId="77777777" w:rsidR="00B462B1" w:rsidRDefault="00000000">
          <w:pPr>
            <w:pStyle w:val="TOC3"/>
            <w:tabs>
              <w:tab w:val="right" w:leader="dot" w:pos="9350"/>
            </w:tabs>
            <w:rPr>
              <w:noProof/>
            </w:rPr>
          </w:pPr>
          <w:hyperlink w:anchor="_Toc224818124" w:history="1">
            <w:r>
              <w:rPr>
                <w:rStyle w:val="Hyperlink"/>
                <w:noProof/>
              </w:rPr>
              <w:t>Step 4.3: Apply Thematic Overlay</w:t>
            </w:r>
            <w:r>
              <w:rPr>
                <w:noProof/>
              </w:rPr>
              <w:tab/>
            </w:r>
            <w:r>
              <w:rPr>
                <w:noProof/>
              </w:rPr>
              <w:fldChar w:fldCharType="begin"/>
            </w:r>
            <w:r>
              <w:rPr>
                <w:noProof/>
              </w:rPr>
              <w:instrText xml:space="preserve"> PAGEREF _Toc224818124 \h </w:instrText>
            </w:r>
            <w:r>
              <w:rPr>
                <w:noProof/>
              </w:rPr>
            </w:r>
            <w:r>
              <w:rPr>
                <w:noProof/>
              </w:rPr>
              <w:fldChar w:fldCharType="separate"/>
            </w:r>
            <w:r>
              <w:rPr>
                <w:noProof/>
              </w:rPr>
              <w:t>16</w:t>
            </w:r>
            <w:r>
              <w:rPr>
                <w:noProof/>
              </w:rPr>
              <w:fldChar w:fldCharType="end"/>
            </w:r>
          </w:hyperlink>
        </w:p>
        <w:p w14:paraId="3E269DAE" w14:textId="77777777" w:rsidR="00B462B1" w:rsidRDefault="00000000">
          <w:pPr>
            <w:pStyle w:val="TOC3"/>
            <w:tabs>
              <w:tab w:val="right" w:leader="dot" w:pos="9350"/>
            </w:tabs>
            <w:rPr>
              <w:noProof/>
            </w:rPr>
          </w:pPr>
          <w:hyperlink w:anchor="_Toc224818125" w:history="1">
            <w:r>
              <w:rPr>
                <w:rStyle w:val="Hyperlink"/>
                <w:noProof/>
              </w:rPr>
              <w:t>Step 5.1: Define the Security Universe</w:t>
            </w:r>
            <w:r>
              <w:rPr>
                <w:noProof/>
              </w:rPr>
              <w:tab/>
            </w:r>
            <w:r>
              <w:rPr>
                <w:noProof/>
              </w:rPr>
              <w:fldChar w:fldCharType="begin"/>
            </w:r>
            <w:r>
              <w:rPr>
                <w:noProof/>
              </w:rPr>
              <w:instrText xml:space="preserve"> PAGEREF _Toc224818125 \h </w:instrText>
            </w:r>
            <w:r>
              <w:rPr>
                <w:noProof/>
              </w:rPr>
            </w:r>
            <w:r>
              <w:rPr>
                <w:noProof/>
              </w:rPr>
              <w:fldChar w:fldCharType="separate"/>
            </w:r>
            <w:r>
              <w:rPr>
                <w:noProof/>
              </w:rPr>
              <w:t>18</w:t>
            </w:r>
            <w:r>
              <w:rPr>
                <w:noProof/>
              </w:rPr>
              <w:fldChar w:fldCharType="end"/>
            </w:r>
          </w:hyperlink>
        </w:p>
        <w:p w14:paraId="6A7BFC7E" w14:textId="77777777" w:rsidR="00B462B1" w:rsidRDefault="00000000">
          <w:pPr>
            <w:pStyle w:val="TOC3"/>
            <w:tabs>
              <w:tab w:val="right" w:leader="dot" w:pos="9350"/>
            </w:tabs>
            <w:rPr>
              <w:noProof/>
            </w:rPr>
          </w:pPr>
          <w:hyperlink w:anchor="_Toc224818126" w:history="1">
            <w:r>
              <w:rPr>
                <w:rStyle w:val="Hyperlink"/>
                <w:noProof/>
              </w:rPr>
              <w:t>Step 5.2: Calculate Multi-Timeframe Relative Strength</w:t>
            </w:r>
            <w:r>
              <w:rPr>
                <w:noProof/>
              </w:rPr>
              <w:tab/>
            </w:r>
            <w:r>
              <w:rPr>
                <w:noProof/>
              </w:rPr>
              <w:fldChar w:fldCharType="begin"/>
            </w:r>
            <w:r>
              <w:rPr>
                <w:noProof/>
              </w:rPr>
              <w:instrText xml:space="preserve"> PAGEREF _Toc224818126 \h </w:instrText>
            </w:r>
            <w:r>
              <w:rPr>
                <w:noProof/>
              </w:rPr>
            </w:r>
            <w:r>
              <w:rPr>
                <w:noProof/>
              </w:rPr>
              <w:fldChar w:fldCharType="separate"/>
            </w:r>
            <w:r>
              <w:rPr>
                <w:noProof/>
              </w:rPr>
              <w:t>18</w:t>
            </w:r>
            <w:r>
              <w:rPr>
                <w:noProof/>
              </w:rPr>
              <w:fldChar w:fldCharType="end"/>
            </w:r>
          </w:hyperlink>
        </w:p>
        <w:p w14:paraId="31925746" w14:textId="77777777" w:rsidR="00B462B1" w:rsidRDefault="00000000">
          <w:pPr>
            <w:pStyle w:val="TOC3"/>
            <w:tabs>
              <w:tab w:val="right" w:leader="dot" w:pos="9350"/>
            </w:tabs>
            <w:rPr>
              <w:noProof/>
            </w:rPr>
          </w:pPr>
          <w:hyperlink w:anchor="_Toc224818127" w:history="1">
            <w:r>
              <w:rPr>
                <w:rStyle w:val="Hyperlink"/>
                <w:noProof/>
              </w:rPr>
              <w:t>Step 5.3: Perform Cross-Sectional Ranking and Decile Selection</w:t>
            </w:r>
            <w:r>
              <w:rPr>
                <w:noProof/>
              </w:rPr>
              <w:tab/>
            </w:r>
            <w:r>
              <w:rPr>
                <w:noProof/>
              </w:rPr>
              <w:fldChar w:fldCharType="begin"/>
            </w:r>
            <w:r>
              <w:rPr>
                <w:noProof/>
              </w:rPr>
              <w:instrText xml:space="preserve"> PAGEREF _Toc224818127 \h </w:instrText>
            </w:r>
            <w:r>
              <w:rPr>
                <w:noProof/>
              </w:rPr>
            </w:r>
            <w:r>
              <w:rPr>
                <w:noProof/>
              </w:rPr>
              <w:fldChar w:fldCharType="separate"/>
            </w:r>
            <w:r>
              <w:rPr>
                <w:noProof/>
              </w:rPr>
              <w:t>18</w:t>
            </w:r>
            <w:r>
              <w:rPr>
                <w:noProof/>
              </w:rPr>
              <w:fldChar w:fldCharType="end"/>
            </w:r>
          </w:hyperlink>
        </w:p>
        <w:p w14:paraId="562AE8AD" w14:textId="77777777" w:rsidR="00B462B1" w:rsidRDefault="00000000">
          <w:pPr>
            <w:pStyle w:val="TOC3"/>
            <w:tabs>
              <w:tab w:val="right" w:leader="dot" w:pos="9350"/>
            </w:tabs>
            <w:rPr>
              <w:noProof/>
            </w:rPr>
          </w:pPr>
          <w:hyperlink w:anchor="_Toc224818128" w:history="1">
            <w:r>
              <w:rPr>
                <w:rStyle w:val="Hyperlink"/>
                <w:noProof/>
              </w:rPr>
              <w:t>Step 6.1: Calculate the 8-Point Absolute Momentum Score</w:t>
            </w:r>
            <w:r>
              <w:rPr>
                <w:noProof/>
              </w:rPr>
              <w:tab/>
            </w:r>
            <w:r>
              <w:rPr>
                <w:noProof/>
              </w:rPr>
              <w:fldChar w:fldCharType="begin"/>
            </w:r>
            <w:r>
              <w:rPr>
                <w:noProof/>
              </w:rPr>
              <w:instrText xml:space="preserve"> PAGEREF _Toc224818128 \h </w:instrText>
            </w:r>
            <w:r>
              <w:rPr>
                <w:noProof/>
              </w:rPr>
            </w:r>
            <w:r>
              <w:rPr>
                <w:noProof/>
              </w:rPr>
              <w:fldChar w:fldCharType="separate"/>
            </w:r>
            <w:r>
              <w:rPr>
                <w:noProof/>
              </w:rPr>
              <w:t>19</w:t>
            </w:r>
            <w:r>
              <w:rPr>
                <w:noProof/>
              </w:rPr>
              <w:fldChar w:fldCharType="end"/>
            </w:r>
          </w:hyperlink>
        </w:p>
        <w:p w14:paraId="472D234B" w14:textId="77777777" w:rsidR="00B462B1" w:rsidRDefault="00000000">
          <w:pPr>
            <w:pStyle w:val="TOC3"/>
            <w:tabs>
              <w:tab w:val="right" w:leader="dot" w:pos="9350"/>
            </w:tabs>
            <w:rPr>
              <w:noProof/>
            </w:rPr>
          </w:pPr>
          <w:hyperlink w:anchor="_Toc224818129" w:history="1">
            <w:r>
              <w:rPr>
                <w:rStyle w:val="Hyperlink"/>
                <w:noProof/>
              </w:rPr>
              <w:t>Step 6.2: Verify Price Structure</w:t>
            </w:r>
            <w:r>
              <w:rPr>
                <w:noProof/>
              </w:rPr>
              <w:tab/>
            </w:r>
            <w:r>
              <w:rPr>
                <w:noProof/>
              </w:rPr>
              <w:fldChar w:fldCharType="begin"/>
            </w:r>
            <w:r>
              <w:rPr>
                <w:noProof/>
              </w:rPr>
              <w:instrText xml:space="preserve"> PAGEREF _Toc224818129 \h </w:instrText>
            </w:r>
            <w:r>
              <w:rPr>
                <w:noProof/>
              </w:rPr>
            </w:r>
            <w:r>
              <w:rPr>
                <w:noProof/>
              </w:rPr>
              <w:fldChar w:fldCharType="separate"/>
            </w:r>
            <w:r>
              <w:rPr>
                <w:noProof/>
              </w:rPr>
              <w:t>19</w:t>
            </w:r>
            <w:r>
              <w:rPr>
                <w:noProof/>
              </w:rPr>
              <w:fldChar w:fldCharType="end"/>
            </w:r>
          </w:hyperlink>
        </w:p>
        <w:p w14:paraId="29AFC40C" w14:textId="77777777" w:rsidR="00B462B1" w:rsidRDefault="00000000">
          <w:pPr>
            <w:pStyle w:val="TOC3"/>
            <w:tabs>
              <w:tab w:val="right" w:leader="dot" w:pos="9350"/>
            </w:tabs>
            <w:rPr>
              <w:noProof/>
            </w:rPr>
          </w:pPr>
          <w:hyperlink w:anchor="_Toc224818130" w:history="1">
            <w:r>
              <w:rPr>
                <w:rStyle w:val="Hyperlink"/>
                <w:noProof/>
              </w:rPr>
              <w:t>Step 6.3: Assess Momentum Oscillators</w:t>
            </w:r>
            <w:r>
              <w:rPr>
                <w:noProof/>
              </w:rPr>
              <w:tab/>
            </w:r>
            <w:r>
              <w:rPr>
                <w:noProof/>
              </w:rPr>
              <w:fldChar w:fldCharType="begin"/>
            </w:r>
            <w:r>
              <w:rPr>
                <w:noProof/>
              </w:rPr>
              <w:instrText xml:space="preserve"> PAGEREF _Toc224818130 \h </w:instrText>
            </w:r>
            <w:r>
              <w:rPr>
                <w:noProof/>
              </w:rPr>
            </w:r>
            <w:r>
              <w:rPr>
                <w:noProof/>
              </w:rPr>
              <w:fldChar w:fldCharType="separate"/>
            </w:r>
            <w:r>
              <w:rPr>
                <w:noProof/>
              </w:rPr>
              <w:t>19</w:t>
            </w:r>
            <w:r>
              <w:rPr>
                <w:noProof/>
              </w:rPr>
              <w:fldChar w:fldCharType="end"/>
            </w:r>
          </w:hyperlink>
        </w:p>
        <w:p w14:paraId="5700C4FE" w14:textId="77777777" w:rsidR="00B462B1" w:rsidRDefault="00000000">
          <w:pPr>
            <w:pStyle w:val="TOC3"/>
            <w:tabs>
              <w:tab w:val="right" w:leader="dot" w:pos="9350"/>
            </w:tabs>
            <w:rPr>
              <w:noProof/>
            </w:rPr>
          </w:pPr>
          <w:hyperlink w:anchor="_Toc224818131" w:history="1">
            <w:r>
              <w:rPr>
                <w:rStyle w:val="Hyperlink"/>
                <w:noProof/>
              </w:rPr>
              <w:t>Step 6.4: Finalize Security Selection</w:t>
            </w:r>
            <w:r>
              <w:rPr>
                <w:noProof/>
              </w:rPr>
              <w:tab/>
            </w:r>
            <w:r>
              <w:rPr>
                <w:noProof/>
              </w:rPr>
              <w:fldChar w:fldCharType="begin"/>
            </w:r>
            <w:r>
              <w:rPr>
                <w:noProof/>
              </w:rPr>
              <w:instrText xml:space="preserve"> PAGEREF _Toc224818131 \h </w:instrText>
            </w:r>
            <w:r>
              <w:rPr>
                <w:noProof/>
              </w:rPr>
            </w:r>
            <w:r>
              <w:rPr>
                <w:noProof/>
              </w:rPr>
              <w:fldChar w:fldCharType="separate"/>
            </w:r>
            <w:r>
              <w:rPr>
                <w:noProof/>
              </w:rPr>
              <w:t>19</w:t>
            </w:r>
            <w:r>
              <w:rPr>
                <w:noProof/>
              </w:rPr>
              <w:fldChar w:fldCharType="end"/>
            </w:r>
          </w:hyperlink>
        </w:p>
        <w:p w14:paraId="53922CCC" w14:textId="77777777" w:rsidR="00B462B1" w:rsidRDefault="00000000">
          <w:pPr>
            <w:pStyle w:val="TOC1"/>
            <w:tabs>
              <w:tab w:val="right" w:leader="dot" w:pos="9350"/>
            </w:tabs>
            <w:rPr>
              <w:noProof/>
            </w:rPr>
          </w:pPr>
          <w:hyperlink w:anchor="_Toc224818132" w:history="1">
            <w:r>
              <w:rPr>
                <w:rStyle w:val="Hyperlink"/>
                <w:noProof/>
              </w:rPr>
              <w:t>Tier III: Execution</w:t>
            </w:r>
            <w:r>
              <w:rPr>
                <w:noProof/>
              </w:rPr>
              <w:tab/>
            </w:r>
            <w:r>
              <w:rPr>
                <w:noProof/>
              </w:rPr>
              <w:fldChar w:fldCharType="begin"/>
            </w:r>
            <w:r>
              <w:rPr>
                <w:noProof/>
              </w:rPr>
              <w:instrText xml:space="preserve"> PAGEREF _Toc224818132 \h </w:instrText>
            </w:r>
            <w:r>
              <w:rPr>
                <w:noProof/>
              </w:rPr>
            </w:r>
            <w:r>
              <w:rPr>
                <w:noProof/>
              </w:rPr>
              <w:fldChar w:fldCharType="separate"/>
            </w:r>
            <w:r>
              <w:rPr>
                <w:noProof/>
              </w:rPr>
              <w:t>21</w:t>
            </w:r>
            <w:r>
              <w:rPr>
                <w:noProof/>
              </w:rPr>
              <w:fldChar w:fldCharType="end"/>
            </w:r>
          </w:hyperlink>
        </w:p>
        <w:p w14:paraId="29CD76DC" w14:textId="77777777" w:rsidR="00B462B1" w:rsidRDefault="00000000">
          <w:pPr>
            <w:pStyle w:val="TOC3"/>
            <w:tabs>
              <w:tab w:val="right" w:leader="dot" w:pos="9350"/>
            </w:tabs>
            <w:rPr>
              <w:noProof/>
            </w:rPr>
          </w:pPr>
          <w:hyperlink w:anchor="_Toc224818133" w:history="1">
            <w:r>
              <w:rPr>
                <w:rStyle w:val="Hyperlink"/>
                <w:noProof/>
              </w:rPr>
              <w:t>Step 7.1: Identify Trend Structure</w:t>
            </w:r>
            <w:r>
              <w:rPr>
                <w:noProof/>
              </w:rPr>
              <w:tab/>
            </w:r>
            <w:r>
              <w:rPr>
                <w:noProof/>
              </w:rPr>
              <w:fldChar w:fldCharType="begin"/>
            </w:r>
            <w:r>
              <w:rPr>
                <w:noProof/>
              </w:rPr>
              <w:instrText xml:space="preserve"> PAGEREF _Toc224818133 \h </w:instrText>
            </w:r>
            <w:r>
              <w:rPr>
                <w:noProof/>
              </w:rPr>
            </w:r>
            <w:r>
              <w:rPr>
                <w:noProof/>
              </w:rPr>
              <w:fldChar w:fldCharType="separate"/>
            </w:r>
            <w:r>
              <w:rPr>
                <w:noProof/>
              </w:rPr>
              <w:t>21</w:t>
            </w:r>
            <w:r>
              <w:rPr>
                <w:noProof/>
              </w:rPr>
              <w:fldChar w:fldCharType="end"/>
            </w:r>
          </w:hyperlink>
        </w:p>
        <w:p w14:paraId="4A55AD37" w14:textId="77777777" w:rsidR="00B462B1" w:rsidRDefault="00000000">
          <w:pPr>
            <w:pStyle w:val="TOC3"/>
            <w:tabs>
              <w:tab w:val="right" w:leader="dot" w:pos="9350"/>
            </w:tabs>
            <w:rPr>
              <w:noProof/>
            </w:rPr>
          </w:pPr>
          <w:hyperlink w:anchor="_Toc224818134" w:history="1">
            <w:r>
              <w:rPr>
                <w:rStyle w:val="Hyperlink"/>
                <w:noProof/>
              </w:rPr>
              <w:t>Step 7.2: Identify Controlling Swing Points and Risk Levels</w:t>
            </w:r>
            <w:r>
              <w:rPr>
                <w:noProof/>
              </w:rPr>
              <w:tab/>
            </w:r>
            <w:r>
              <w:rPr>
                <w:noProof/>
              </w:rPr>
              <w:fldChar w:fldCharType="begin"/>
            </w:r>
            <w:r>
              <w:rPr>
                <w:noProof/>
              </w:rPr>
              <w:instrText xml:space="preserve"> PAGEREF _Toc224818134 \h </w:instrText>
            </w:r>
            <w:r>
              <w:rPr>
                <w:noProof/>
              </w:rPr>
            </w:r>
            <w:r>
              <w:rPr>
                <w:noProof/>
              </w:rPr>
              <w:fldChar w:fldCharType="separate"/>
            </w:r>
            <w:r>
              <w:rPr>
                <w:noProof/>
              </w:rPr>
              <w:t>21</w:t>
            </w:r>
            <w:r>
              <w:rPr>
                <w:noProof/>
              </w:rPr>
              <w:fldChar w:fldCharType="end"/>
            </w:r>
          </w:hyperlink>
        </w:p>
        <w:p w14:paraId="53E2E1E8" w14:textId="77777777" w:rsidR="00B462B1" w:rsidRDefault="00000000">
          <w:pPr>
            <w:pStyle w:val="TOC3"/>
            <w:tabs>
              <w:tab w:val="right" w:leader="dot" w:pos="9350"/>
            </w:tabs>
            <w:rPr>
              <w:noProof/>
            </w:rPr>
          </w:pPr>
          <w:hyperlink w:anchor="_Toc224818135" w:history="1">
            <w:r>
              <w:rPr>
                <w:rStyle w:val="Hyperlink"/>
                <w:noProof/>
              </w:rPr>
              <w:t>Step 7.3: Apply the Breakout Box Method for Entry Zone Identification</w:t>
            </w:r>
            <w:r>
              <w:rPr>
                <w:noProof/>
              </w:rPr>
              <w:tab/>
            </w:r>
            <w:r>
              <w:rPr>
                <w:noProof/>
              </w:rPr>
              <w:fldChar w:fldCharType="begin"/>
            </w:r>
            <w:r>
              <w:rPr>
                <w:noProof/>
              </w:rPr>
              <w:instrText xml:space="preserve"> PAGEREF _Toc224818135 \h </w:instrText>
            </w:r>
            <w:r>
              <w:rPr>
                <w:noProof/>
              </w:rPr>
            </w:r>
            <w:r>
              <w:rPr>
                <w:noProof/>
              </w:rPr>
              <w:fldChar w:fldCharType="separate"/>
            </w:r>
            <w:r>
              <w:rPr>
                <w:noProof/>
              </w:rPr>
              <w:t>21</w:t>
            </w:r>
            <w:r>
              <w:rPr>
                <w:noProof/>
              </w:rPr>
              <w:fldChar w:fldCharType="end"/>
            </w:r>
          </w:hyperlink>
        </w:p>
        <w:p w14:paraId="420173B2" w14:textId="77777777" w:rsidR="00B462B1" w:rsidRDefault="00000000">
          <w:pPr>
            <w:pStyle w:val="TOC3"/>
            <w:tabs>
              <w:tab w:val="right" w:leader="dot" w:pos="9350"/>
            </w:tabs>
            <w:rPr>
              <w:noProof/>
            </w:rPr>
          </w:pPr>
          <w:hyperlink w:anchor="_Toc224818136" w:history="1">
            <w:r>
              <w:rPr>
                <w:rStyle w:val="Hyperlink"/>
                <w:noProof/>
              </w:rPr>
              <w:t>Step 7.4: Integrate Volume Analysis</w:t>
            </w:r>
            <w:r>
              <w:rPr>
                <w:noProof/>
              </w:rPr>
              <w:tab/>
            </w:r>
            <w:r>
              <w:rPr>
                <w:noProof/>
              </w:rPr>
              <w:fldChar w:fldCharType="begin"/>
            </w:r>
            <w:r>
              <w:rPr>
                <w:noProof/>
              </w:rPr>
              <w:instrText xml:space="preserve"> PAGEREF _Toc224818136 \h </w:instrText>
            </w:r>
            <w:r>
              <w:rPr>
                <w:noProof/>
              </w:rPr>
            </w:r>
            <w:r>
              <w:rPr>
                <w:noProof/>
              </w:rPr>
              <w:fldChar w:fldCharType="separate"/>
            </w:r>
            <w:r>
              <w:rPr>
                <w:noProof/>
              </w:rPr>
              <w:t>21</w:t>
            </w:r>
            <w:r>
              <w:rPr>
                <w:noProof/>
              </w:rPr>
              <w:fldChar w:fldCharType="end"/>
            </w:r>
          </w:hyperlink>
        </w:p>
        <w:p w14:paraId="4CC05B84" w14:textId="77777777" w:rsidR="00B462B1" w:rsidRDefault="00000000">
          <w:pPr>
            <w:pStyle w:val="TOC3"/>
            <w:tabs>
              <w:tab w:val="right" w:leader="dot" w:pos="9350"/>
            </w:tabs>
            <w:rPr>
              <w:noProof/>
            </w:rPr>
          </w:pPr>
          <w:hyperlink w:anchor="_Toc224818137" w:history="1">
            <w:r>
              <w:rPr>
                <w:rStyle w:val="Hyperlink"/>
                <w:noProof/>
              </w:rPr>
              <w:t>Step 7.5: Classify Trade Type</w:t>
            </w:r>
            <w:r>
              <w:rPr>
                <w:noProof/>
              </w:rPr>
              <w:tab/>
            </w:r>
            <w:r>
              <w:rPr>
                <w:noProof/>
              </w:rPr>
              <w:fldChar w:fldCharType="begin"/>
            </w:r>
            <w:r>
              <w:rPr>
                <w:noProof/>
              </w:rPr>
              <w:instrText xml:space="preserve"> PAGEREF _Toc224818137 \h </w:instrText>
            </w:r>
            <w:r>
              <w:rPr>
                <w:noProof/>
              </w:rPr>
            </w:r>
            <w:r>
              <w:rPr>
                <w:noProof/>
              </w:rPr>
              <w:fldChar w:fldCharType="separate"/>
            </w:r>
            <w:r>
              <w:rPr>
                <w:noProof/>
              </w:rPr>
              <w:t>22</w:t>
            </w:r>
            <w:r>
              <w:rPr>
                <w:noProof/>
              </w:rPr>
              <w:fldChar w:fldCharType="end"/>
            </w:r>
          </w:hyperlink>
        </w:p>
        <w:p w14:paraId="0A83A75B" w14:textId="77777777" w:rsidR="00B462B1" w:rsidRDefault="00000000">
          <w:pPr>
            <w:pStyle w:val="TOC3"/>
            <w:tabs>
              <w:tab w:val="right" w:leader="dot" w:pos="9350"/>
            </w:tabs>
            <w:rPr>
              <w:noProof/>
            </w:rPr>
          </w:pPr>
          <w:hyperlink w:anchor="_Toc224818138" w:history="1">
            <w:r>
              <w:rPr>
                <w:rStyle w:val="Hyperlink"/>
                <w:noProof/>
              </w:rPr>
              <w:t>Step 8.1: Calculate Fixed-Fractional Position Size</w:t>
            </w:r>
            <w:r>
              <w:rPr>
                <w:noProof/>
              </w:rPr>
              <w:tab/>
            </w:r>
            <w:r>
              <w:rPr>
                <w:noProof/>
              </w:rPr>
              <w:fldChar w:fldCharType="begin"/>
            </w:r>
            <w:r>
              <w:rPr>
                <w:noProof/>
              </w:rPr>
              <w:instrText xml:space="preserve"> PAGEREF _Toc224818138 \h </w:instrText>
            </w:r>
            <w:r>
              <w:rPr>
                <w:noProof/>
              </w:rPr>
            </w:r>
            <w:r>
              <w:rPr>
                <w:noProof/>
              </w:rPr>
              <w:fldChar w:fldCharType="separate"/>
            </w:r>
            <w:r>
              <w:rPr>
                <w:noProof/>
              </w:rPr>
              <w:t>23</w:t>
            </w:r>
            <w:r>
              <w:rPr>
                <w:noProof/>
              </w:rPr>
              <w:fldChar w:fldCharType="end"/>
            </w:r>
          </w:hyperlink>
        </w:p>
        <w:p w14:paraId="77B7FDB6" w14:textId="77777777" w:rsidR="00B462B1" w:rsidRDefault="00000000">
          <w:pPr>
            <w:pStyle w:val="TOC3"/>
            <w:tabs>
              <w:tab w:val="right" w:leader="dot" w:pos="9350"/>
            </w:tabs>
            <w:rPr>
              <w:noProof/>
            </w:rPr>
          </w:pPr>
          <w:hyperlink w:anchor="_Toc224818139" w:history="1">
            <w:r>
              <w:rPr>
                <w:rStyle w:val="Hyperlink"/>
                <w:noProof/>
              </w:rPr>
              <w:t>Step 8.2: Apply Signal-Adjusted Sizing</w:t>
            </w:r>
            <w:r>
              <w:rPr>
                <w:noProof/>
              </w:rPr>
              <w:tab/>
            </w:r>
            <w:r>
              <w:rPr>
                <w:noProof/>
              </w:rPr>
              <w:fldChar w:fldCharType="begin"/>
            </w:r>
            <w:r>
              <w:rPr>
                <w:noProof/>
              </w:rPr>
              <w:instrText xml:space="preserve"> PAGEREF _Toc224818139 \h </w:instrText>
            </w:r>
            <w:r>
              <w:rPr>
                <w:noProof/>
              </w:rPr>
            </w:r>
            <w:r>
              <w:rPr>
                <w:noProof/>
              </w:rPr>
              <w:fldChar w:fldCharType="separate"/>
            </w:r>
            <w:r>
              <w:rPr>
                <w:noProof/>
              </w:rPr>
              <w:t>23</w:t>
            </w:r>
            <w:r>
              <w:rPr>
                <w:noProof/>
              </w:rPr>
              <w:fldChar w:fldCharType="end"/>
            </w:r>
          </w:hyperlink>
        </w:p>
        <w:p w14:paraId="688D1D09" w14:textId="77777777" w:rsidR="00B462B1" w:rsidRDefault="00000000">
          <w:pPr>
            <w:pStyle w:val="TOC3"/>
            <w:tabs>
              <w:tab w:val="right" w:leader="dot" w:pos="9350"/>
            </w:tabs>
            <w:rPr>
              <w:noProof/>
            </w:rPr>
          </w:pPr>
          <w:hyperlink w:anchor="_Toc224818140" w:history="1">
            <w:r>
              <w:rPr>
                <w:rStyle w:val="Hyperlink"/>
                <w:noProof/>
              </w:rPr>
              <w:t>Step 8.3: Verify Portfolio Heat Constraints</w:t>
            </w:r>
            <w:r>
              <w:rPr>
                <w:noProof/>
              </w:rPr>
              <w:tab/>
            </w:r>
            <w:r>
              <w:rPr>
                <w:noProof/>
              </w:rPr>
              <w:fldChar w:fldCharType="begin"/>
            </w:r>
            <w:r>
              <w:rPr>
                <w:noProof/>
              </w:rPr>
              <w:instrText xml:space="preserve"> PAGEREF _Toc224818140 \h </w:instrText>
            </w:r>
            <w:r>
              <w:rPr>
                <w:noProof/>
              </w:rPr>
            </w:r>
            <w:r>
              <w:rPr>
                <w:noProof/>
              </w:rPr>
              <w:fldChar w:fldCharType="separate"/>
            </w:r>
            <w:r>
              <w:rPr>
                <w:noProof/>
              </w:rPr>
              <w:t>23</w:t>
            </w:r>
            <w:r>
              <w:rPr>
                <w:noProof/>
              </w:rPr>
              <w:fldChar w:fldCharType="end"/>
            </w:r>
          </w:hyperlink>
        </w:p>
        <w:p w14:paraId="089FCE18" w14:textId="77777777" w:rsidR="00B462B1" w:rsidRDefault="00000000">
          <w:pPr>
            <w:pStyle w:val="TOC3"/>
            <w:tabs>
              <w:tab w:val="right" w:leader="dot" w:pos="9350"/>
            </w:tabs>
            <w:rPr>
              <w:noProof/>
            </w:rPr>
          </w:pPr>
          <w:hyperlink w:anchor="_Toc224818141" w:history="1">
            <w:r>
              <w:rPr>
                <w:rStyle w:val="Hyperlink"/>
                <w:noProof/>
              </w:rPr>
              <w:t>Step 9.1: Pre-Trade Checklist</w:t>
            </w:r>
            <w:r>
              <w:rPr>
                <w:noProof/>
              </w:rPr>
              <w:tab/>
            </w:r>
            <w:r>
              <w:rPr>
                <w:noProof/>
              </w:rPr>
              <w:fldChar w:fldCharType="begin"/>
            </w:r>
            <w:r>
              <w:rPr>
                <w:noProof/>
              </w:rPr>
              <w:instrText xml:space="preserve"> PAGEREF _Toc224818141 \h </w:instrText>
            </w:r>
            <w:r>
              <w:rPr>
                <w:noProof/>
              </w:rPr>
            </w:r>
            <w:r>
              <w:rPr>
                <w:noProof/>
              </w:rPr>
              <w:fldChar w:fldCharType="separate"/>
            </w:r>
            <w:r>
              <w:rPr>
                <w:noProof/>
              </w:rPr>
              <w:t>25</w:t>
            </w:r>
            <w:r>
              <w:rPr>
                <w:noProof/>
              </w:rPr>
              <w:fldChar w:fldCharType="end"/>
            </w:r>
          </w:hyperlink>
        </w:p>
        <w:p w14:paraId="75B230CD" w14:textId="77777777" w:rsidR="00B462B1" w:rsidRDefault="00000000">
          <w:pPr>
            <w:pStyle w:val="TOC3"/>
            <w:tabs>
              <w:tab w:val="right" w:leader="dot" w:pos="9350"/>
            </w:tabs>
            <w:rPr>
              <w:noProof/>
            </w:rPr>
          </w:pPr>
          <w:hyperlink w:anchor="_Toc224818142" w:history="1">
            <w:r>
              <w:rPr>
                <w:rStyle w:val="Hyperlink"/>
                <w:noProof/>
              </w:rPr>
              <w:t>Step 9.2: Execute Entry Orders</w:t>
            </w:r>
            <w:r>
              <w:rPr>
                <w:noProof/>
              </w:rPr>
              <w:tab/>
            </w:r>
            <w:r>
              <w:rPr>
                <w:noProof/>
              </w:rPr>
              <w:fldChar w:fldCharType="begin"/>
            </w:r>
            <w:r>
              <w:rPr>
                <w:noProof/>
              </w:rPr>
              <w:instrText xml:space="preserve"> PAGEREF _Toc224818142 \h </w:instrText>
            </w:r>
            <w:r>
              <w:rPr>
                <w:noProof/>
              </w:rPr>
            </w:r>
            <w:r>
              <w:rPr>
                <w:noProof/>
              </w:rPr>
              <w:fldChar w:fldCharType="separate"/>
            </w:r>
            <w:r>
              <w:rPr>
                <w:noProof/>
              </w:rPr>
              <w:t>25</w:t>
            </w:r>
            <w:r>
              <w:rPr>
                <w:noProof/>
              </w:rPr>
              <w:fldChar w:fldCharType="end"/>
            </w:r>
          </w:hyperlink>
        </w:p>
        <w:p w14:paraId="5007309E" w14:textId="77777777" w:rsidR="00B462B1" w:rsidRDefault="00000000">
          <w:pPr>
            <w:pStyle w:val="TOC3"/>
            <w:tabs>
              <w:tab w:val="right" w:leader="dot" w:pos="9350"/>
            </w:tabs>
            <w:rPr>
              <w:noProof/>
            </w:rPr>
          </w:pPr>
          <w:hyperlink w:anchor="_Toc224818143" w:history="1">
            <w:r>
              <w:rPr>
                <w:rStyle w:val="Hyperlink"/>
                <w:noProof/>
              </w:rPr>
              <w:t>Step 9.3: Place Initial Stop-Loss Orders</w:t>
            </w:r>
            <w:r>
              <w:rPr>
                <w:noProof/>
              </w:rPr>
              <w:tab/>
            </w:r>
            <w:r>
              <w:rPr>
                <w:noProof/>
              </w:rPr>
              <w:fldChar w:fldCharType="begin"/>
            </w:r>
            <w:r>
              <w:rPr>
                <w:noProof/>
              </w:rPr>
              <w:instrText xml:space="preserve"> PAGEREF _Toc224818143 \h </w:instrText>
            </w:r>
            <w:r>
              <w:rPr>
                <w:noProof/>
              </w:rPr>
            </w:r>
            <w:r>
              <w:rPr>
                <w:noProof/>
              </w:rPr>
              <w:fldChar w:fldCharType="separate"/>
            </w:r>
            <w:r>
              <w:rPr>
                <w:noProof/>
              </w:rPr>
              <w:t>25</w:t>
            </w:r>
            <w:r>
              <w:rPr>
                <w:noProof/>
              </w:rPr>
              <w:fldChar w:fldCharType="end"/>
            </w:r>
          </w:hyperlink>
        </w:p>
        <w:p w14:paraId="3EE0F8E3" w14:textId="77777777" w:rsidR="00B462B1" w:rsidRDefault="00000000">
          <w:pPr>
            <w:pStyle w:val="TOC3"/>
            <w:tabs>
              <w:tab w:val="right" w:leader="dot" w:pos="9350"/>
            </w:tabs>
            <w:rPr>
              <w:noProof/>
            </w:rPr>
          </w:pPr>
          <w:hyperlink w:anchor="_Toc224818144" w:history="1">
            <w:r>
              <w:rPr>
                <w:rStyle w:val="Hyperlink"/>
                <w:noProof/>
              </w:rPr>
              <w:t>Step 9.4: Define Trade Management Protocol</w:t>
            </w:r>
            <w:r>
              <w:rPr>
                <w:noProof/>
              </w:rPr>
              <w:tab/>
            </w:r>
            <w:r>
              <w:rPr>
                <w:noProof/>
              </w:rPr>
              <w:fldChar w:fldCharType="begin"/>
            </w:r>
            <w:r>
              <w:rPr>
                <w:noProof/>
              </w:rPr>
              <w:instrText xml:space="preserve"> PAGEREF _Toc224818144 \h </w:instrText>
            </w:r>
            <w:r>
              <w:rPr>
                <w:noProof/>
              </w:rPr>
            </w:r>
            <w:r>
              <w:rPr>
                <w:noProof/>
              </w:rPr>
              <w:fldChar w:fldCharType="separate"/>
            </w:r>
            <w:r>
              <w:rPr>
                <w:noProof/>
              </w:rPr>
              <w:t>25</w:t>
            </w:r>
            <w:r>
              <w:rPr>
                <w:noProof/>
              </w:rPr>
              <w:fldChar w:fldCharType="end"/>
            </w:r>
          </w:hyperlink>
        </w:p>
        <w:p w14:paraId="57B8EDFC" w14:textId="77777777" w:rsidR="00B462B1" w:rsidRDefault="00000000">
          <w:pPr>
            <w:pStyle w:val="TOC3"/>
            <w:tabs>
              <w:tab w:val="right" w:leader="dot" w:pos="9350"/>
            </w:tabs>
            <w:rPr>
              <w:noProof/>
            </w:rPr>
          </w:pPr>
          <w:hyperlink w:anchor="_Toc224818145" w:history="1">
            <w:r>
              <w:rPr>
                <w:rStyle w:val="Hyperlink"/>
                <w:noProof/>
              </w:rPr>
              <w:t>Step 10.1: Calculate Portfolio Exposure Metrics</w:t>
            </w:r>
            <w:r>
              <w:rPr>
                <w:noProof/>
              </w:rPr>
              <w:tab/>
            </w:r>
            <w:r>
              <w:rPr>
                <w:noProof/>
              </w:rPr>
              <w:fldChar w:fldCharType="begin"/>
            </w:r>
            <w:r>
              <w:rPr>
                <w:noProof/>
              </w:rPr>
              <w:instrText xml:space="preserve"> PAGEREF _Toc224818145 \h </w:instrText>
            </w:r>
            <w:r>
              <w:rPr>
                <w:noProof/>
              </w:rPr>
            </w:r>
            <w:r>
              <w:rPr>
                <w:noProof/>
              </w:rPr>
              <w:fldChar w:fldCharType="separate"/>
            </w:r>
            <w:r>
              <w:rPr>
                <w:noProof/>
              </w:rPr>
              <w:t>27</w:t>
            </w:r>
            <w:r>
              <w:rPr>
                <w:noProof/>
              </w:rPr>
              <w:fldChar w:fldCharType="end"/>
            </w:r>
          </w:hyperlink>
        </w:p>
        <w:p w14:paraId="6C8ECE5C" w14:textId="77777777" w:rsidR="00B462B1" w:rsidRDefault="00000000">
          <w:pPr>
            <w:pStyle w:val="TOC3"/>
            <w:tabs>
              <w:tab w:val="right" w:leader="dot" w:pos="9350"/>
            </w:tabs>
            <w:rPr>
              <w:noProof/>
            </w:rPr>
          </w:pPr>
          <w:hyperlink w:anchor="_Toc224818146" w:history="1">
            <w:r>
              <w:rPr>
                <w:rStyle w:val="Hyperlink"/>
                <w:noProof/>
              </w:rPr>
              <w:t>Step 10.2: Verify Portfolio Constraints</w:t>
            </w:r>
            <w:r>
              <w:rPr>
                <w:noProof/>
              </w:rPr>
              <w:tab/>
            </w:r>
            <w:r>
              <w:rPr>
                <w:noProof/>
              </w:rPr>
              <w:fldChar w:fldCharType="begin"/>
            </w:r>
            <w:r>
              <w:rPr>
                <w:noProof/>
              </w:rPr>
              <w:instrText xml:space="preserve"> PAGEREF _Toc224818146 \h </w:instrText>
            </w:r>
            <w:r>
              <w:rPr>
                <w:noProof/>
              </w:rPr>
            </w:r>
            <w:r>
              <w:rPr>
                <w:noProof/>
              </w:rPr>
              <w:fldChar w:fldCharType="separate"/>
            </w:r>
            <w:r>
              <w:rPr>
                <w:noProof/>
              </w:rPr>
              <w:t>27</w:t>
            </w:r>
            <w:r>
              <w:rPr>
                <w:noProof/>
              </w:rPr>
              <w:fldChar w:fldCharType="end"/>
            </w:r>
          </w:hyperlink>
        </w:p>
        <w:p w14:paraId="3D8F9C41" w14:textId="77777777" w:rsidR="00B462B1" w:rsidRDefault="00000000">
          <w:pPr>
            <w:pStyle w:val="TOC3"/>
            <w:tabs>
              <w:tab w:val="right" w:leader="dot" w:pos="9350"/>
            </w:tabs>
            <w:rPr>
              <w:noProof/>
            </w:rPr>
          </w:pPr>
          <w:hyperlink w:anchor="_Toc224818147" w:history="1">
            <w:r>
              <w:rPr>
                <w:rStyle w:val="Hyperlink"/>
                <w:noProof/>
              </w:rPr>
              <w:t>Step 10.3: Implement Dynamic Exposure Adjustments</w:t>
            </w:r>
            <w:r>
              <w:rPr>
                <w:noProof/>
              </w:rPr>
              <w:tab/>
            </w:r>
            <w:r>
              <w:rPr>
                <w:noProof/>
              </w:rPr>
              <w:fldChar w:fldCharType="begin"/>
            </w:r>
            <w:r>
              <w:rPr>
                <w:noProof/>
              </w:rPr>
              <w:instrText xml:space="preserve"> PAGEREF _Toc224818147 \h </w:instrText>
            </w:r>
            <w:r>
              <w:rPr>
                <w:noProof/>
              </w:rPr>
            </w:r>
            <w:r>
              <w:rPr>
                <w:noProof/>
              </w:rPr>
              <w:fldChar w:fldCharType="separate"/>
            </w:r>
            <w:r>
              <w:rPr>
                <w:noProof/>
              </w:rPr>
              <w:t>27</w:t>
            </w:r>
            <w:r>
              <w:rPr>
                <w:noProof/>
              </w:rPr>
              <w:fldChar w:fldCharType="end"/>
            </w:r>
          </w:hyperlink>
        </w:p>
        <w:p w14:paraId="496A349E" w14:textId="77777777" w:rsidR="00B462B1" w:rsidRDefault="00000000">
          <w:pPr>
            <w:pStyle w:val="TOC3"/>
            <w:tabs>
              <w:tab w:val="right" w:leader="dot" w:pos="9350"/>
            </w:tabs>
            <w:rPr>
              <w:noProof/>
            </w:rPr>
          </w:pPr>
          <w:hyperlink w:anchor="_Toc224818148" w:history="1">
            <w:r>
              <w:rPr>
                <w:rStyle w:val="Hyperlink"/>
                <w:noProof/>
              </w:rPr>
              <w:t>Step 10.4: Implement Drawdown Control Protocol</w:t>
            </w:r>
            <w:r>
              <w:rPr>
                <w:noProof/>
              </w:rPr>
              <w:tab/>
            </w:r>
            <w:r>
              <w:rPr>
                <w:noProof/>
              </w:rPr>
              <w:fldChar w:fldCharType="begin"/>
            </w:r>
            <w:r>
              <w:rPr>
                <w:noProof/>
              </w:rPr>
              <w:instrText xml:space="preserve"> PAGEREF _Toc224818148 \h </w:instrText>
            </w:r>
            <w:r>
              <w:rPr>
                <w:noProof/>
              </w:rPr>
            </w:r>
            <w:r>
              <w:rPr>
                <w:noProof/>
              </w:rPr>
              <w:fldChar w:fldCharType="separate"/>
            </w:r>
            <w:r>
              <w:rPr>
                <w:noProof/>
              </w:rPr>
              <w:t>27</w:t>
            </w:r>
            <w:r>
              <w:rPr>
                <w:noProof/>
              </w:rPr>
              <w:fldChar w:fldCharType="end"/>
            </w:r>
          </w:hyperlink>
        </w:p>
        <w:p w14:paraId="0A71646C" w14:textId="77777777" w:rsidR="00B462B1" w:rsidRDefault="00000000">
          <w:pPr>
            <w:pStyle w:val="TOC1"/>
            <w:tabs>
              <w:tab w:val="right" w:leader="dot" w:pos="9350"/>
            </w:tabs>
            <w:rPr>
              <w:noProof/>
            </w:rPr>
          </w:pPr>
          <w:hyperlink w:anchor="_Toc224818149" w:history="1">
            <w:r>
              <w:rPr>
                <w:rStyle w:val="Hyperlink"/>
                <w:noProof/>
              </w:rPr>
              <w:t>Tier IV: Management &amp; Optimization</w:t>
            </w:r>
            <w:r>
              <w:rPr>
                <w:noProof/>
              </w:rPr>
              <w:tab/>
            </w:r>
            <w:r>
              <w:rPr>
                <w:noProof/>
              </w:rPr>
              <w:fldChar w:fldCharType="begin"/>
            </w:r>
            <w:r>
              <w:rPr>
                <w:noProof/>
              </w:rPr>
              <w:instrText xml:space="preserve"> PAGEREF _Toc224818149 \h </w:instrText>
            </w:r>
            <w:r>
              <w:rPr>
                <w:noProof/>
              </w:rPr>
            </w:r>
            <w:r>
              <w:rPr>
                <w:noProof/>
              </w:rPr>
              <w:fldChar w:fldCharType="separate"/>
            </w:r>
            <w:r>
              <w:rPr>
                <w:noProof/>
              </w:rPr>
              <w:t>29</w:t>
            </w:r>
            <w:r>
              <w:rPr>
                <w:noProof/>
              </w:rPr>
              <w:fldChar w:fldCharType="end"/>
            </w:r>
          </w:hyperlink>
        </w:p>
        <w:p w14:paraId="3B26409A" w14:textId="77777777" w:rsidR="00B462B1" w:rsidRDefault="00000000">
          <w:pPr>
            <w:pStyle w:val="TOC3"/>
            <w:tabs>
              <w:tab w:val="right" w:leader="dot" w:pos="9350"/>
            </w:tabs>
            <w:rPr>
              <w:noProof/>
            </w:rPr>
          </w:pPr>
          <w:hyperlink w:anchor="_Toc224818150" w:history="1">
            <w:r>
              <w:rPr>
                <w:rStyle w:val="Hyperlink"/>
                <w:noProof/>
              </w:rPr>
              <w:t>Step 11.1: Assess the Implied Volatility Environment</w:t>
            </w:r>
            <w:r>
              <w:rPr>
                <w:noProof/>
              </w:rPr>
              <w:tab/>
            </w:r>
            <w:r>
              <w:rPr>
                <w:noProof/>
              </w:rPr>
              <w:fldChar w:fldCharType="begin"/>
            </w:r>
            <w:r>
              <w:rPr>
                <w:noProof/>
              </w:rPr>
              <w:instrText xml:space="preserve"> PAGEREF _Toc224818150 \h </w:instrText>
            </w:r>
            <w:r>
              <w:rPr>
                <w:noProof/>
              </w:rPr>
            </w:r>
            <w:r>
              <w:rPr>
                <w:noProof/>
              </w:rPr>
              <w:fldChar w:fldCharType="separate"/>
            </w:r>
            <w:r>
              <w:rPr>
                <w:noProof/>
              </w:rPr>
              <w:t>29</w:t>
            </w:r>
            <w:r>
              <w:rPr>
                <w:noProof/>
              </w:rPr>
              <w:fldChar w:fldCharType="end"/>
            </w:r>
          </w:hyperlink>
        </w:p>
        <w:p w14:paraId="458924B8" w14:textId="77777777" w:rsidR="00B462B1" w:rsidRDefault="00000000">
          <w:pPr>
            <w:pStyle w:val="TOC3"/>
            <w:tabs>
              <w:tab w:val="right" w:leader="dot" w:pos="9350"/>
            </w:tabs>
            <w:rPr>
              <w:noProof/>
            </w:rPr>
          </w:pPr>
          <w:hyperlink w:anchor="_Toc224818151" w:history="1">
            <w:r>
              <w:rPr>
                <w:rStyle w:val="Hyperlink"/>
                <w:noProof/>
              </w:rPr>
              <w:t>Step 11.2: Select Regime-Aligned Option Strategies</w:t>
            </w:r>
            <w:r>
              <w:rPr>
                <w:noProof/>
              </w:rPr>
              <w:tab/>
            </w:r>
            <w:r>
              <w:rPr>
                <w:noProof/>
              </w:rPr>
              <w:fldChar w:fldCharType="begin"/>
            </w:r>
            <w:r>
              <w:rPr>
                <w:noProof/>
              </w:rPr>
              <w:instrText xml:space="preserve"> PAGEREF _Toc224818151 \h </w:instrText>
            </w:r>
            <w:r>
              <w:rPr>
                <w:noProof/>
              </w:rPr>
            </w:r>
            <w:r>
              <w:rPr>
                <w:noProof/>
              </w:rPr>
              <w:fldChar w:fldCharType="separate"/>
            </w:r>
            <w:r>
              <w:rPr>
                <w:noProof/>
              </w:rPr>
              <w:t>29</w:t>
            </w:r>
            <w:r>
              <w:rPr>
                <w:noProof/>
              </w:rPr>
              <w:fldChar w:fldCharType="end"/>
            </w:r>
          </w:hyperlink>
        </w:p>
        <w:p w14:paraId="39527957" w14:textId="77777777" w:rsidR="00B462B1" w:rsidRDefault="00000000">
          <w:pPr>
            <w:pStyle w:val="TOC3"/>
            <w:tabs>
              <w:tab w:val="right" w:leader="dot" w:pos="9350"/>
            </w:tabs>
            <w:rPr>
              <w:noProof/>
            </w:rPr>
          </w:pPr>
          <w:hyperlink w:anchor="_Toc224818152" w:history="1">
            <w:r>
              <w:rPr>
                <w:rStyle w:val="Hyperlink"/>
                <w:noProof/>
              </w:rPr>
              <w:t>Step 11.3: Implement the Three-Phase Options Program</w:t>
            </w:r>
            <w:r>
              <w:rPr>
                <w:noProof/>
              </w:rPr>
              <w:tab/>
            </w:r>
            <w:r>
              <w:rPr>
                <w:noProof/>
              </w:rPr>
              <w:fldChar w:fldCharType="begin"/>
            </w:r>
            <w:r>
              <w:rPr>
                <w:noProof/>
              </w:rPr>
              <w:instrText xml:space="preserve"> PAGEREF _Toc224818152 \h </w:instrText>
            </w:r>
            <w:r>
              <w:rPr>
                <w:noProof/>
              </w:rPr>
            </w:r>
            <w:r>
              <w:rPr>
                <w:noProof/>
              </w:rPr>
              <w:fldChar w:fldCharType="separate"/>
            </w:r>
            <w:r>
              <w:rPr>
                <w:noProof/>
              </w:rPr>
              <w:t>29</w:t>
            </w:r>
            <w:r>
              <w:rPr>
                <w:noProof/>
              </w:rPr>
              <w:fldChar w:fldCharType="end"/>
            </w:r>
          </w:hyperlink>
        </w:p>
        <w:p w14:paraId="2C05D7EC" w14:textId="77777777" w:rsidR="00B462B1" w:rsidRDefault="00000000">
          <w:pPr>
            <w:pStyle w:val="TOC3"/>
            <w:tabs>
              <w:tab w:val="right" w:leader="dot" w:pos="9350"/>
            </w:tabs>
            <w:rPr>
              <w:noProof/>
            </w:rPr>
          </w:pPr>
          <w:hyperlink w:anchor="_Toc224818153" w:history="1">
            <w:r>
              <w:rPr>
                <w:rStyle w:val="Hyperlink"/>
                <w:noProof/>
              </w:rPr>
              <w:t>Step 11.4: Size and Manage Option Positions</w:t>
            </w:r>
            <w:r>
              <w:rPr>
                <w:noProof/>
              </w:rPr>
              <w:tab/>
            </w:r>
            <w:r>
              <w:rPr>
                <w:noProof/>
              </w:rPr>
              <w:fldChar w:fldCharType="begin"/>
            </w:r>
            <w:r>
              <w:rPr>
                <w:noProof/>
              </w:rPr>
              <w:instrText xml:space="preserve"> PAGEREF _Toc224818153 \h </w:instrText>
            </w:r>
            <w:r>
              <w:rPr>
                <w:noProof/>
              </w:rPr>
            </w:r>
            <w:r>
              <w:rPr>
                <w:noProof/>
              </w:rPr>
              <w:fldChar w:fldCharType="separate"/>
            </w:r>
            <w:r>
              <w:rPr>
                <w:noProof/>
              </w:rPr>
              <w:t>29</w:t>
            </w:r>
            <w:r>
              <w:rPr>
                <w:noProof/>
              </w:rPr>
              <w:fldChar w:fldCharType="end"/>
            </w:r>
          </w:hyperlink>
        </w:p>
        <w:p w14:paraId="77393FFD" w14:textId="77777777" w:rsidR="00B462B1" w:rsidRDefault="00000000">
          <w:pPr>
            <w:pStyle w:val="TOC3"/>
            <w:tabs>
              <w:tab w:val="right" w:leader="dot" w:pos="9350"/>
            </w:tabs>
            <w:rPr>
              <w:noProof/>
            </w:rPr>
          </w:pPr>
          <w:hyperlink w:anchor="_Toc224818154" w:history="1">
            <w:r>
              <w:rPr>
                <w:rStyle w:val="Hyperlink"/>
                <w:noProof/>
              </w:rPr>
              <w:t>Step 12.1: Calculate Core Performance Metrics</w:t>
            </w:r>
            <w:r>
              <w:rPr>
                <w:noProof/>
              </w:rPr>
              <w:tab/>
            </w:r>
            <w:r>
              <w:rPr>
                <w:noProof/>
              </w:rPr>
              <w:fldChar w:fldCharType="begin"/>
            </w:r>
            <w:r>
              <w:rPr>
                <w:noProof/>
              </w:rPr>
              <w:instrText xml:space="preserve"> PAGEREF _Toc224818154 \h </w:instrText>
            </w:r>
            <w:r>
              <w:rPr>
                <w:noProof/>
              </w:rPr>
            </w:r>
            <w:r>
              <w:rPr>
                <w:noProof/>
              </w:rPr>
              <w:fldChar w:fldCharType="separate"/>
            </w:r>
            <w:r>
              <w:rPr>
                <w:noProof/>
              </w:rPr>
              <w:t>31</w:t>
            </w:r>
            <w:r>
              <w:rPr>
                <w:noProof/>
              </w:rPr>
              <w:fldChar w:fldCharType="end"/>
            </w:r>
          </w:hyperlink>
        </w:p>
        <w:p w14:paraId="6A58C325" w14:textId="77777777" w:rsidR="00B462B1" w:rsidRDefault="00000000">
          <w:pPr>
            <w:pStyle w:val="TOC3"/>
            <w:tabs>
              <w:tab w:val="right" w:leader="dot" w:pos="9350"/>
            </w:tabs>
            <w:rPr>
              <w:noProof/>
            </w:rPr>
          </w:pPr>
          <w:hyperlink w:anchor="_Toc224818155" w:history="1">
            <w:r>
              <w:rPr>
                <w:rStyle w:val="Hyperlink"/>
                <w:noProof/>
              </w:rPr>
              <w:t>Step 12.2: Conduct Drawdown Analysis</w:t>
            </w:r>
            <w:r>
              <w:rPr>
                <w:noProof/>
              </w:rPr>
              <w:tab/>
            </w:r>
            <w:r>
              <w:rPr>
                <w:noProof/>
              </w:rPr>
              <w:fldChar w:fldCharType="begin"/>
            </w:r>
            <w:r>
              <w:rPr>
                <w:noProof/>
              </w:rPr>
              <w:instrText xml:space="preserve"> PAGEREF _Toc224818155 \h </w:instrText>
            </w:r>
            <w:r>
              <w:rPr>
                <w:noProof/>
              </w:rPr>
            </w:r>
            <w:r>
              <w:rPr>
                <w:noProof/>
              </w:rPr>
              <w:fldChar w:fldCharType="separate"/>
            </w:r>
            <w:r>
              <w:rPr>
                <w:noProof/>
              </w:rPr>
              <w:t>31</w:t>
            </w:r>
            <w:r>
              <w:rPr>
                <w:noProof/>
              </w:rPr>
              <w:fldChar w:fldCharType="end"/>
            </w:r>
          </w:hyperlink>
        </w:p>
        <w:p w14:paraId="6A435468" w14:textId="77777777" w:rsidR="00B462B1" w:rsidRDefault="00000000">
          <w:pPr>
            <w:pStyle w:val="TOC3"/>
            <w:tabs>
              <w:tab w:val="right" w:leader="dot" w:pos="9350"/>
            </w:tabs>
            <w:rPr>
              <w:noProof/>
            </w:rPr>
          </w:pPr>
          <w:hyperlink w:anchor="_Toc224818156" w:history="1">
            <w:r>
              <w:rPr>
                <w:rStyle w:val="Hyperlink"/>
                <w:noProof/>
              </w:rPr>
              <w:t>Step 12.3: Perform Process Diagnostics</w:t>
            </w:r>
            <w:r>
              <w:rPr>
                <w:noProof/>
              </w:rPr>
              <w:tab/>
            </w:r>
            <w:r>
              <w:rPr>
                <w:noProof/>
              </w:rPr>
              <w:fldChar w:fldCharType="begin"/>
            </w:r>
            <w:r>
              <w:rPr>
                <w:noProof/>
              </w:rPr>
              <w:instrText xml:space="preserve"> PAGEREF _Toc224818156 \h </w:instrText>
            </w:r>
            <w:r>
              <w:rPr>
                <w:noProof/>
              </w:rPr>
            </w:r>
            <w:r>
              <w:rPr>
                <w:noProof/>
              </w:rPr>
              <w:fldChar w:fldCharType="separate"/>
            </w:r>
            <w:r>
              <w:rPr>
                <w:noProof/>
              </w:rPr>
              <w:t>31</w:t>
            </w:r>
            <w:r>
              <w:rPr>
                <w:noProof/>
              </w:rPr>
              <w:fldChar w:fldCharType="end"/>
            </w:r>
          </w:hyperlink>
        </w:p>
        <w:p w14:paraId="3409FE30" w14:textId="77777777" w:rsidR="00B462B1" w:rsidRDefault="00000000">
          <w:pPr>
            <w:pStyle w:val="TOC3"/>
            <w:tabs>
              <w:tab w:val="right" w:leader="dot" w:pos="9350"/>
            </w:tabs>
            <w:rPr>
              <w:noProof/>
            </w:rPr>
          </w:pPr>
          <w:hyperlink w:anchor="_Toc224818157" w:history="1">
            <w:r>
              <w:rPr>
                <w:rStyle w:val="Hyperlink"/>
                <w:noProof/>
              </w:rPr>
              <w:t>Step 12.4: Implement the Diagnostic Escalation Protocol</w:t>
            </w:r>
            <w:r>
              <w:rPr>
                <w:noProof/>
              </w:rPr>
              <w:tab/>
            </w:r>
            <w:r>
              <w:rPr>
                <w:noProof/>
              </w:rPr>
              <w:fldChar w:fldCharType="begin"/>
            </w:r>
            <w:r>
              <w:rPr>
                <w:noProof/>
              </w:rPr>
              <w:instrText xml:space="preserve"> PAGEREF _Toc224818157 \h </w:instrText>
            </w:r>
            <w:r>
              <w:rPr>
                <w:noProof/>
              </w:rPr>
            </w:r>
            <w:r>
              <w:rPr>
                <w:noProof/>
              </w:rPr>
              <w:fldChar w:fldCharType="separate"/>
            </w:r>
            <w:r>
              <w:rPr>
                <w:noProof/>
              </w:rPr>
              <w:t>31</w:t>
            </w:r>
            <w:r>
              <w:rPr>
                <w:noProof/>
              </w:rPr>
              <w:fldChar w:fldCharType="end"/>
            </w:r>
          </w:hyperlink>
        </w:p>
        <w:p w14:paraId="7E693A32" w14:textId="77777777" w:rsidR="00B462B1" w:rsidRDefault="00000000">
          <w:pPr>
            <w:pStyle w:val="TOC3"/>
            <w:tabs>
              <w:tab w:val="right" w:leader="dot" w:pos="9350"/>
            </w:tabs>
            <w:rPr>
              <w:noProof/>
            </w:rPr>
          </w:pPr>
          <w:hyperlink w:anchor="_Toc224818158" w:history="1">
            <w:r>
              <w:rPr>
                <w:rStyle w:val="Hyperlink"/>
                <w:noProof/>
              </w:rPr>
              <w:t>Step 12.5: Continuous Improvement Cycle</w:t>
            </w:r>
            <w:r>
              <w:rPr>
                <w:noProof/>
              </w:rPr>
              <w:tab/>
            </w:r>
            <w:r>
              <w:rPr>
                <w:noProof/>
              </w:rPr>
              <w:fldChar w:fldCharType="begin"/>
            </w:r>
            <w:r>
              <w:rPr>
                <w:noProof/>
              </w:rPr>
              <w:instrText xml:space="preserve"> PAGEREF _Toc224818158 \h </w:instrText>
            </w:r>
            <w:r>
              <w:rPr>
                <w:noProof/>
              </w:rPr>
            </w:r>
            <w:r>
              <w:rPr>
                <w:noProof/>
              </w:rPr>
              <w:fldChar w:fldCharType="separate"/>
            </w:r>
            <w:r>
              <w:rPr>
                <w:noProof/>
              </w:rPr>
              <w:t>32</w:t>
            </w:r>
            <w:r>
              <w:rPr>
                <w:noProof/>
              </w:rPr>
              <w:fldChar w:fldCharType="end"/>
            </w:r>
          </w:hyperlink>
        </w:p>
        <w:p w14:paraId="25EA8A4D" w14:textId="77777777" w:rsidR="00B462B1" w:rsidRDefault="00000000">
          <w:pPr>
            <w:pStyle w:val="TOC1"/>
            <w:tabs>
              <w:tab w:val="right" w:leader="dot" w:pos="9350"/>
            </w:tabs>
            <w:rPr>
              <w:noProof/>
            </w:rPr>
          </w:pPr>
          <w:hyperlink w:anchor="_Toc224818159" w:history="1">
            <w:r>
              <w:rPr>
                <w:rStyle w:val="Hyperlink"/>
                <w:noProof/>
              </w:rPr>
              <w:t>Appendix A: Quick Reference — Key Formulas and Thresholds</w:t>
            </w:r>
            <w:r>
              <w:rPr>
                <w:noProof/>
              </w:rPr>
              <w:tab/>
            </w:r>
            <w:r>
              <w:rPr>
                <w:noProof/>
              </w:rPr>
              <w:fldChar w:fldCharType="begin"/>
            </w:r>
            <w:r>
              <w:rPr>
                <w:noProof/>
              </w:rPr>
              <w:instrText xml:space="preserve"> PAGEREF _Toc224818159 \h </w:instrText>
            </w:r>
            <w:r>
              <w:rPr>
                <w:noProof/>
              </w:rPr>
            </w:r>
            <w:r>
              <w:rPr>
                <w:noProof/>
              </w:rPr>
              <w:fldChar w:fldCharType="separate"/>
            </w:r>
            <w:r>
              <w:rPr>
                <w:noProof/>
              </w:rPr>
              <w:t>33</w:t>
            </w:r>
            <w:r>
              <w:rPr>
                <w:noProof/>
              </w:rPr>
              <w:fldChar w:fldCharType="end"/>
            </w:r>
          </w:hyperlink>
        </w:p>
        <w:p w14:paraId="31C8624C" w14:textId="77777777" w:rsidR="00B462B1" w:rsidRDefault="00000000">
          <w:pPr>
            <w:pStyle w:val="TOC1"/>
            <w:tabs>
              <w:tab w:val="right" w:leader="dot" w:pos="9350"/>
            </w:tabs>
            <w:rPr>
              <w:noProof/>
            </w:rPr>
          </w:pPr>
          <w:hyperlink w:anchor="_Toc224818160" w:history="1">
            <w:r>
              <w:rPr>
                <w:rStyle w:val="Hyperlink"/>
                <w:noProof/>
              </w:rPr>
              <w:t>Appendix B: Academic References</w:t>
            </w:r>
            <w:r>
              <w:rPr>
                <w:noProof/>
              </w:rPr>
              <w:tab/>
            </w:r>
            <w:r>
              <w:rPr>
                <w:noProof/>
              </w:rPr>
              <w:fldChar w:fldCharType="begin"/>
            </w:r>
            <w:r>
              <w:rPr>
                <w:noProof/>
              </w:rPr>
              <w:instrText xml:space="preserve"> PAGEREF _Toc224818160 \h </w:instrText>
            </w:r>
            <w:r>
              <w:rPr>
                <w:noProof/>
              </w:rPr>
            </w:r>
            <w:r>
              <w:rPr>
                <w:noProof/>
              </w:rPr>
              <w:fldChar w:fldCharType="separate"/>
            </w:r>
            <w:r>
              <w:rPr>
                <w:noProof/>
              </w:rPr>
              <w:t>34</w:t>
            </w:r>
            <w:r>
              <w:rPr>
                <w:noProof/>
              </w:rPr>
              <w:fldChar w:fldCharType="end"/>
            </w:r>
          </w:hyperlink>
        </w:p>
        <w:p w14:paraId="6F6FCB88" w14:textId="77777777" w:rsidR="00EC7F1F" w:rsidRDefault="00000B03">
          <w:r>
            <w:fldChar w:fldCharType="end"/>
          </w:r>
        </w:p>
      </w:sdtContent>
    </w:sdt>
    <w:p w14:paraId="2EE01D03" w14:textId="77777777" w:rsidR="00EC7F1F" w:rsidRDefault="00000B03">
      <w:r>
        <w:br w:type="page"/>
      </w:r>
    </w:p>
    <w:p w14:paraId="66C5D8A0" w14:textId="77777777" w:rsidR="00EC7F1F" w:rsidRDefault="00000B03">
      <w:pPr>
        <w:pStyle w:val="Heading1"/>
      </w:pPr>
      <w:bookmarkStart w:id="1" w:name="_Toc224818100"/>
      <w:r>
        <w:lastRenderedPageBreak/>
        <w:t>Introduction: The Dual Momentum Decision Framework</w:t>
      </w:r>
      <w:bookmarkEnd w:id="1"/>
    </w:p>
    <w:p w14:paraId="4F14587A" w14:textId="77777777" w:rsidR="00EC7F1F" w:rsidRDefault="00000B03">
      <w:pPr>
        <w:spacing w:before="60" w:after="80"/>
      </w:pPr>
      <w:r>
        <w:rPr>
          <w:color w:val="333333"/>
        </w:rPr>
        <w:t>This document provides a complete, step-by-step operational procedure for implementing the Dual Momentum Portfolio Management system. The process follows a disciplined top-down approach, beginning with macroeconomic and intermarket analysis and cascading through increasingly granular levels of selection until individual trade execution decisions are made.</w:t>
      </w:r>
    </w:p>
    <w:p w14:paraId="5A931ECE" w14:textId="77777777" w:rsidR="00EC7F1F" w:rsidRDefault="00000B03">
      <w:pPr>
        <w:spacing w:before="60" w:after="80"/>
      </w:pPr>
      <w:r>
        <w:rPr>
          <w:color w:val="333333"/>
        </w:rPr>
        <w:t>The dual momentum framework integrates two complementary momentum dimensions: cross-sectional momentum (relative strength) identifies securities outperforming their peers, while time-series momentum (absolute momentum) confirms that assets are in established trends. By combining both dimensions with a regime-adaptive risk management overlay, the system produces a robust, repeatable investment process grounded in decades of academic research.</w:t>
      </w:r>
    </w:p>
    <w:p w14:paraId="5911A08C" w14:textId="77777777" w:rsidR="00EC7F1F" w:rsidRDefault="00000B03">
      <w:pPr>
        <w:spacing w:before="60" w:after="80"/>
      </w:pPr>
      <w:r>
        <w:rPr>
          <w:color w:val="333333"/>
        </w:rPr>
        <w:t>Each phase in this procedure produces specific outputs that serve as inputs to the subsequent phase. This cascading architecture ensures analytical consistency and eliminates ad hoc decision-making throughout the investment process.</w:t>
      </w:r>
    </w:p>
    <w:p w14:paraId="1449014A" w14:textId="77777777" w:rsidR="00EC7F1F" w:rsidRDefault="00000B03">
      <w:pPr>
        <w:spacing w:before="40" w:after="60"/>
        <w:ind w:left="720"/>
      </w:pPr>
      <w:r>
        <w:rPr>
          <w:i/>
          <w:iCs/>
          <w:color w:val="777777"/>
          <w:sz w:val="18"/>
          <w:szCs w:val="18"/>
        </w:rPr>
        <w:t>Jegadeesh &amp; Titman (1993); Moskowitz, Ooi &amp; Pedersen (2012); Antonacci (2017); Asness, Moskowitz &amp; Pedersen (2013)</w:t>
      </w:r>
    </w:p>
    <w:p w14:paraId="4FC332F9" w14:textId="77777777" w:rsidR="00EC7F1F" w:rsidRDefault="00EC7F1F">
      <w:pPr>
        <w:pBdr>
          <w:bottom w:val="single" w:sz="4" w:space="1" w:color="3B7DD8"/>
        </w:pBdr>
        <w:spacing w:before="200" w:after="200"/>
      </w:pPr>
    </w:p>
    <w:p w14:paraId="0E87520D" w14:textId="77777777" w:rsidR="00EC7F1F" w:rsidRDefault="00000B03">
      <w:pPr>
        <w:pStyle w:val="Heading2"/>
      </w:pPr>
      <w:bookmarkStart w:id="2" w:name="_Toc224818101"/>
      <w:r>
        <w:t>Process Overview: The Twelve-Phase Implementation Cascade</w:t>
      </w:r>
      <w:bookmarkEnd w:id="2"/>
    </w:p>
    <w:p w14:paraId="78637D28" w14:textId="77777777" w:rsidR="00EC7F1F" w:rsidRDefault="00000B03">
      <w:pPr>
        <w:spacing w:before="60" w:after="80"/>
      </w:pPr>
      <w:r>
        <w:rPr>
          <w:color w:val="333333"/>
        </w:rPr>
        <w:t>The complete dual momentum implementation follows twelve sequential phases, organized into four functional tiers. Each phase builds upon the outputs of its predecessor, creating a coherent analytical pipeline from macro-level capital flow analysis to individual trade execution and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900"/>
        <w:gridCol w:w="6260"/>
      </w:tblGrid>
      <w:tr w:rsidR="00EC7F1F" w14:paraId="3C7F6210" w14:textId="77777777">
        <w:tc>
          <w:tcPr>
            <w:tcW w:w="2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BC56FD4" w14:textId="77777777" w:rsidR="00EC7F1F" w:rsidRDefault="00000B03">
            <w:r>
              <w:rPr>
                <w:b/>
                <w:bCs/>
                <w:color w:val="FFFFFF"/>
                <w:sz w:val="20"/>
                <w:szCs w:val="20"/>
              </w:rPr>
              <w:t>TIER</w:t>
            </w:r>
          </w:p>
        </w:tc>
        <w:tc>
          <w:tcPr>
            <w:tcW w:w="9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005FDB15" w14:textId="77777777" w:rsidR="00EC7F1F" w:rsidRDefault="00000B03">
            <w:pPr>
              <w:jc w:val="center"/>
            </w:pPr>
            <w:r>
              <w:rPr>
                <w:b/>
                <w:bCs/>
                <w:color w:val="FFFFFF"/>
                <w:sz w:val="20"/>
                <w:szCs w:val="20"/>
              </w:rPr>
              <w:t>PHASE</w:t>
            </w:r>
          </w:p>
        </w:tc>
        <w:tc>
          <w:tcPr>
            <w:tcW w:w="62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7864578B" w14:textId="77777777" w:rsidR="00EC7F1F" w:rsidRDefault="00000B03">
            <w:r>
              <w:rPr>
                <w:b/>
                <w:bCs/>
                <w:color w:val="FFFFFF"/>
                <w:sz w:val="20"/>
                <w:szCs w:val="20"/>
              </w:rPr>
              <w:t>DESCRIPTION</w:t>
            </w:r>
          </w:p>
        </w:tc>
      </w:tr>
      <w:tr w:rsidR="00EC7F1F" w14:paraId="21C63E68" w14:textId="77777777">
        <w:tc>
          <w:tcPr>
            <w:tcW w:w="2200" w:type="dxa"/>
            <w:tcBorders>
              <w:top w:val="single" w:sz="1" w:space="0" w:color="BBBBBB"/>
              <w:left w:val="single" w:sz="1" w:space="0" w:color="BBBBBB"/>
              <w:bottom w:val="single" w:sz="1" w:space="0" w:color="BBBBBB"/>
              <w:right w:val="single" w:sz="1" w:space="0" w:color="BBBBBB"/>
            </w:tcBorders>
            <w:shd w:val="clear" w:color="auto" w:fill="D5E8F8"/>
            <w:tcMar>
              <w:top w:w="60" w:type="dxa"/>
              <w:left w:w="100" w:type="dxa"/>
              <w:bottom w:w="60" w:type="dxa"/>
              <w:right w:w="100" w:type="dxa"/>
            </w:tcMar>
          </w:tcPr>
          <w:p w14:paraId="7DE1DD8B" w14:textId="77777777" w:rsidR="00EC7F1F" w:rsidRDefault="00000B03">
            <w:r>
              <w:rPr>
                <w:b/>
                <w:bCs/>
                <w:color w:val="1B2A4A"/>
                <w:sz w:val="20"/>
                <w:szCs w:val="20"/>
              </w:rPr>
              <w:t>I. Macro Analysis</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CFD269D" w14:textId="77777777" w:rsidR="00EC7F1F" w:rsidRDefault="00000B03">
            <w:pPr>
              <w:jc w:val="center"/>
            </w:pPr>
            <w:r>
              <w:rPr>
                <w:color w:val="333333"/>
                <w:sz w:val="20"/>
                <w:szCs w:val="20"/>
              </w:rPr>
              <w:t>1</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BF3E4E" w14:textId="77777777" w:rsidR="00EC7F1F" w:rsidRDefault="00000B03">
            <w:r>
              <w:rPr>
                <w:color w:val="333333"/>
                <w:sz w:val="20"/>
                <w:szCs w:val="20"/>
              </w:rPr>
              <w:t>Intermarket Asset Class Analysis</w:t>
            </w:r>
          </w:p>
        </w:tc>
      </w:tr>
      <w:tr w:rsidR="00EC7F1F" w14:paraId="3150B11C"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54F03A" w14:textId="77777777" w:rsidR="00EC7F1F" w:rsidRDefault="00EC7F1F"/>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90AFBF" w14:textId="77777777" w:rsidR="00EC7F1F" w:rsidRDefault="00000B03">
            <w:pPr>
              <w:jc w:val="center"/>
            </w:pPr>
            <w:r>
              <w:rPr>
                <w:color w:val="333333"/>
                <w:sz w:val="20"/>
                <w:szCs w:val="20"/>
              </w:rPr>
              <w:t>2</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B30197" w14:textId="77777777" w:rsidR="00EC7F1F" w:rsidRDefault="00000B03">
            <w:r>
              <w:rPr>
                <w:color w:val="333333"/>
                <w:sz w:val="20"/>
                <w:szCs w:val="20"/>
              </w:rPr>
              <w:t>Asset Class Momentum Scoring</w:t>
            </w:r>
          </w:p>
        </w:tc>
      </w:tr>
      <w:tr w:rsidR="00EC7F1F" w14:paraId="13CBC1F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A73BEF" w14:textId="77777777" w:rsidR="00EC7F1F" w:rsidRDefault="00EC7F1F"/>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DB34BF1" w14:textId="77777777" w:rsidR="00EC7F1F" w:rsidRDefault="00000B03">
            <w:pPr>
              <w:jc w:val="center"/>
            </w:pPr>
            <w:r>
              <w:rPr>
                <w:color w:val="333333"/>
                <w:sz w:val="20"/>
                <w:szCs w:val="20"/>
              </w:rPr>
              <w:t>3</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27529A6" w14:textId="77777777" w:rsidR="00EC7F1F" w:rsidRDefault="00000B03">
            <w:r>
              <w:rPr>
                <w:color w:val="333333"/>
                <w:sz w:val="20"/>
                <w:szCs w:val="20"/>
              </w:rPr>
              <w:t>Market Regime Identification (Janus Factor)</w:t>
            </w:r>
          </w:p>
        </w:tc>
      </w:tr>
      <w:tr w:rsidR="00EC7F1F" w14:paraId="2FE05190" w14:textId="77777777">
        <w:tc>
          <w:tcPr>
            <w:tcW w:w="2200" w:type="dxa"/>
            <w:tcBorders>
              <w:top w:val="single" w:sz="1" w:space="0" w:color="BBBBBB"/>
              <w:left w:val="single" w:sz="1" w:space="0" w:color="BBBBBB"/>
              <w:bottom w:val="single" w:sz="1" w:space="0" w:color="BBBBBB"/>
              <w:right w:val="single" w:sz="1" w:space="0" w:color="BBBBBB"/>
            </w:tcBorders>
            <w:shd w:val="clear" w:color="auto" w:fill="D5E8F8"/>
            <w:tcMar>
              <w:top w:w="60" w:type="dxa"/>
              <w:left w:w="100" w:type="dxa"/>
              <w:bottom w:w="60" w:type="dxa"/>
              <w:right w:w="100" w:type="dxa"/>
            </w:tcMar>
          </w:tcPr>
          <w:p w14:paraId="0ADDC3FB" w14:textId="77777777" w:rsidR="00EC7F1F" w:rsidRDefault="00000B03">
            <w:r>
              <w:rPr>
                <w:b/>
                <w:bCs/>
                <w:color w:val="1B2A4A"/>
                <w:sz w:val="20"/>
                <w:szCs w:val="20"/>
              </w:rPr>
              <w:t>II. Selection</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B42914" w14:textId="77777777" w:rsidR="00EC7F1F" w:rsidRDefault="00000B03">
            <w:pPr>
              <w:jc w:val="center"/>
            </w:pPr>
            <w:r>
              <w:rPr>
                <w:color w:val="333333"/>
                <w:sz w:val="20"/>
                <w:szCs w:val="20"/>
              </w:rPr>
              <w:t>4</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98ED9C" w14:textId="77777777" w:rsidR="00EC7F1F" w:rsidRDefault="00000B03">
            <w:r>
              <w:rPr>
                <w:color w:val="333333"/>
                <w:sz w:val="20"/>
                <w:szCs w:val="20"/>
              </w:rPr>
              <w:t>Sector &amp; Factor Momentum Analysis</w:t>
            </w:r>
          </w:p>
        </w:tc>
      </w:tr>
      <w:tr w:rsidR="00EC7F1F" w14:paraId="459C520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A5DDA0" w14:textId="77777777" w:rsidR="00EC7F1F" w:rsidRDefault="00EC7F1F"/>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5341493" w14:textId="77777777" w:rsidR="00EC7F1F" w:rsidRDefault="00000B03">
            <w:pPr>
              <w:jc w:val="center"/>
            </w:pPr>
            <w:r>
              <w:rPr>
                <w:color w:val="333333"/>
                <w:sz w:val="20"/>
                <w:szCs w:val="20"/>
              </w:rPr>
              <w:t>5</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060FE3" w14:textId="77777777" w:rsidR="00EC7F1F" w:rsidRDefault="00000B03">
            <w:r>
              <w:rPr>
                <w:color w:val="333333"/>
                <w:sz w:val="20"/>
                <w:szCs w:val="20"/>
              </w:rPr>
              <w:t>Cross-Sectional Momentum: Security Ranking</w:t>
            </w:r>
          </w:p>
        </w:tc>
      </w:tr>
      <w:tr w:rsidR="00EC7F1F" w14:paraId="3CB17B11"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904ADB8" w14:textId="77777777" w:rsidR="00EC7F1F" w:rsidRDefault="00EC7F1F"/>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3891C05" w14:textId="77777777" w:rsidR="00EC7F1F" w:rsidRDefault="00000B03">
            <w:pPr>
              <w:jc w:val="center"/>
            </w:pPr>
            <w:r>
              <w:rPr>
                <w:color w:val="333333"/>
                <w:sz w:val="20"/>
                <w:szCs w:val="20"/>
              </w:rPr>
              <w:t>6</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04E427" w14:textId="77777777" w:rsidR="00EC7F1F" w:rsidRDefault="00000B03">
            <w:r>
              <w:rPr>
                <w:color w:val="333333"/>
                <w:sz w:val="20"/>
                <w:szCs w:val="20"/>
              </w:rPr>
              <w:t>Absolute Momentum Confirmation</w:t>
            </w:r>
          </w:p>
        </w:tc>
      </w:tr>
      <w:tr w:rsidR="00EC7F1F" w14:paraId="43B59054" w14:textId="77777777">
        <w:tc>
          <w:tcPr>
            <w:tcW w:w="2200" w:type="dxa"/>
            <w:tcBorders>
              <w:top w:val="single" w:sz="1" w:space="0" w:color="BBBBBB"/>
              <w:left w:val="single" w:sz="1" w:space="0" w:color="BBBBBB"/>
              <w:bottom w:val="single" w:sz="1" w:space="0" w:color="BBBBBB"/>
              <w:right w:val="single" w:sz="1" w:space="0" w:color="BBBBBB"/>
            </w:tcBorders>
            <w:shd w:val="clear" w:color="auto" w:fill="D5E8F8"/>
            <w:tcMar>
              <w:top w:w="60" w:type="dxa"/>
              <w:left w:w="100" w:type="dxa"/>
              <w:bottom w:w="60" w:type="dxa"/>
              <w:right w:w="100" w:type="dxa"/>
            </w:tcMar>
          </w:tcPr>
          <w:p w14:paraId="7FCB1F47" w14:textId="77777777" w:rsidR="00EC7F1F" w:rsidRDefault="00000B03">
            <w:r>
              <w:rPr>
                <w:b/>
                <w:bCs/>
                <w:color w:val="1B2A4A"/>
                <w:sz w:val="20"/>
                <w:szCs w:val="20"/>
              </w:rPr>
              <w:t>III. Execution</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E7BDA69" w14:textId="77777777" w:rsidR="00EC7F1F" w:rsidRDefault="00000B03">
            <w:pPr>
              <w:jc w:val="center"/>
            </w:pPr>
            <w:r>
              <w:rPr>
                <w:color w:val="333333"/>
                <w:sz w:val="20"/>
                <w:szCs w:val="20"/>
              </w:rPr>
              <w:t>7</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76AC1C" w14:textId="77777777" w:rsidR="00EC7F1F" w:rsidRDefault="00000B03">
            <w:r>
              <w:rPr>
                <w:color w:val="333333"/>
                <w:sz w:val="20"/>
                <w:szCs w:val="20"/>
              </w:rPr>
              <w:t>Trade Structure &amp; Technical Analysis</w:t>
            </w:r>
          </w:p>
        </w:tc>
      </w:tr>
      <w:tr w:rsidR="00EC7F1F" w14:paraId="1ADEF01C"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6EBE69" w14:textId="77777777" w:rsidR="00EC7F1F" w:rsidRDefault="00EC7F1F"/>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E8B7817" w14:textId="77777777" w:rsidR="00EC7F1F" w:rsidRDefault="00000B03">
            <w:pPr>
              <w:jc w:val="center"/>
            </w:pPr>
            <w:r>
              <w:rPr>
                <w:color w:val="333333"/>
                <w:sz w:val="20"/>
                <w:szCs w:val="20"/>
              </w:rPr>
              <w:t>8</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8B022B" w14:textId="77777777" w:rsidR="00EC7F1F" w:rsidRDefault="00000B03">
            <w:r>
              <w:rPr>
                <w:color w:val="333333"/>
                <w:sz w:val="20"/>
                <w:szCs w:val="20"/>
              </w:rPr>
              <w:t>Position Sizing &amp; Risk Parameterization</w:t>
            </w:r>
          </w:p>
        </w:tc>
      </w:tr>
      <w:tr w:rsidR="00EC7F1F" w14:paraId="644A79DE"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AE1665" w14:textId="77777777" w:rsidR="00EC7F1F" w:rsidRDefault="00EC7F1F"/>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9E11AF" w14:textId="77777777" w:rsidR="00EC7F1F" w:rsidRDefault="00000B03">
            <w:pPr>
              <w:jc w:val="center"/>
            </w:pPr>
            <w:r>
              <w:rPr>
                <w:color w:val="333333"/>
                <w:sz w:val="20"/>
                <w:szCs w:val="20"/>
              </w:rPr>
              <w:t>9</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5193D1D" w14:textId="77777777" w:rsidR="00EC7F1F" w:rsidRDefault="00000B03">
            <w:r>
              <w:rPr>
                <w:color w:val="333333"/>
                <w:sz w:val="20"/>
                <w:szCs w:val="20"/>
              </w:rPr>
              <w:t>Trade Execution &amp; Order Management</w:t>
            </w:r>
          </w:p>
        </w:tc>
      </w:tr>
      <w:tr w:rsidR="00EC7F1F" w14:paraId="1182EF4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322EEA" w14:textId="77777777" w:rsidR="00EC7F1F" w:rsidRDefault="00EC7F1F"/>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83E84BF" w14:textId="77777777" w:rsidR="00EC7F1F" w:rsidRDefault="00000B03">
            <w:pPr>
              <w:jc w:val="center"/>
            </w:pPr>
            <w:r>
              <w:rPr>
                <w:color w:val="333333"/>
                <w:sz w:val="20"/>
                <w:szCs w:val="20"/>
              </w:rPr>
              <w:t>10</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1778700" w14:textId="77777777" w:rsidR="00EC7F1F" w:rsidRDefault="00000B03">
            <w:r>
              <w:rPr>
                <w:color w:val="333333"/>
                <w:sz w:val="20"/>
                <w:szCs w:val="20"/>
              </w:rPr>
              <w:t>Portfolio Construction &amp; Exposure Management</w:t>
            </w:r>
          </w:p>
        </w:tc>
      </w:tr>
      <w:tr w:rsidR="00EC7F1F" w14:paraId="5DF89384" w14:textId="77777777">
        <w:tc>
          <w:tcPr>
            <w:tcW w:w="2200" w:type="dxa"/>
            <w:tcBorders>
              <w:top w:val="single" w:sz="1" w:space="0" w:color="BBBBBB"/>
              <w:left w:val="single" w:sz="1" w:space="0" w:color="BBBBBB"/>
              <w:bottom w:val="single" w:sz="1" w:space="0" w:color="BBBBBB"/>
              <w:right w:val="single" w:sz="1" w:space="0" w:color="BBBBBB"/>
            </w:tcBorders>
            <w:shd w:val="clear" w:color="auto" w:fill="D5E8F8"/>
            <w:tcMar>
              <w:top w:w="60" w:type="dxa"/>
              <w:left w:w="100" w:type="dxa"/>
              <w:bottom w:w="60" w:type="dxa"/>
              <w:right w:w="100" w:type="dxa"/>
            </w:tcMar>
          </w:tcPr>
          <w:p w14:paraId="67216BCD" w14:textId="77777777" w:rsidR="00EC7F1F" w:rsidRDefault="00000B03">
            <w:r>
              <w:rPr>
                <w:b/>
                <w:bCs/>
                <w:color w:val="1B2A4A"/>
                <w:sz w:val="20"/>
                <w:szCs w:val="20"/>
              </w:rPr>
              <w:t>IV. Management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31737D" w14:textId="77777777" w:rsidR="00EC7F1F" w:rsidRDefault="00000B03">
            <w:pPr>
              <w:jc w:val="center"/>
            </w:pPr>
            <w:r>
              <w:rPr>
                <w:color w:val="333333"/>
                <w:sz w:val="20"/>
                <w:szCs w:val="20"/>
              </w:rPr>
              <w:t>11</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2837FB" w14:textId="77777777" w:rsidR="00EC7F1F" w:rsidRDefault="00000B03">
            <w:r>
              <w:rPr>
                <w:color w:val="333333"/>
                <w:sz w:val="20"/>
                <w:szCs w:val="20"/>
              </w:rPr>
              <w:t>Strategic Options Integration</w:t>
            </w:r>
          </w:p>
        </w:tc>
      </w:tr>
      <w:tr w:rsidR="00EC7F1F" w14:paraId="34A1DD8A"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40080B" w14:textId="77777777" w:rsidR="00EC7F1F" w:rsidRDefault="00EC7F1F"/>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8166B6" w14:textId="77777777" w:rsidR="00EC7F1F" w:rsidRDefault="00000B03">
            <w:pPr>
              <w:jc w:val="center"/>
            </w:pPr>
            <w:r>
              <w:rPr>
                <w:color w:val="333333"/>
                <w:sz w:val="20"/>
                <w:szCs w:val="20"/>
              </w:rPr>
              <w:t>12</w:t>
            </w:r>
          </w:p>
        </w:tc>
        <w:tc>
          <w:tcPr>
            <w:tcW w:w="6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4E305B" w14:textId="77777777" w:rsidR="00EC7F1F" w:rsidRDefault="00000B03">
            <w:r>
              <w:rPr>
                <w:color w:val="333333"/>
                <w:sz w:val="20"/>
                <w:szCs w:val="20"/>
              </w:rPr>
              <w:t>Performance Monitoring, Diagnostics &amp; Improvement</w:t>
            </w:r>
          </w:p>
        </w:tc>
      </w:tr>
    </w:tbl>
    <w:p w14:paraId="40BCBFBD" w14:textId="77777777" w:rsidR="00EC7F1F" w:rsidRDefault="00EC7F1F">
      <w:pPr>
        <w:spacing w:before="200"/>
      </w:pPr>
    </w:p>
    <w:p w14:paraId="24148FE0" w14:textId="77777777" w:rsidR="00EC7F1F" w:rsidRDefault="00000B03">
      <w:r>
        <w:br w:type="page"/>
      </w:r>
    </w:p>
    <w:p w14:paraId="43E05286" w14:textId="77777777" w:rsidR="00EC7F1F" w:rsidRDefault="00000B03">
      <w:pPr>
        <w:pStyle w:val="Heading1"/>
      </w:pPr>
      <w:bookmarkStart w:id="3" w:name="_Toc224818102"/>
      <w:r>
        <w:lastRenderedPageBreak/>
        <w:t>Tier I: Macro Analysis</w:t>
      </w:r>
      <w:bookmarkEnd w:id="3"/>
    </w:p>
    <w:p w14:paraId="0FCAC9D5" w14:textId="77777777" w:rsidR="00EC7F1F" w:rsidRDefault="00EC7F1F">
      <w:pPr>
        <w:pBdr>
          <w:bottom w:val="single" w:sz="4" w:space="1" w:color="3B7DD8"/>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C7F1F" w14:paraId="5B54CC84" w14:textId="77777777">
        <w:tc>
          <w:tcPr>
            <w:tcW w:w="1200" w:type="dxa"/>
            <w:shd w:val="clear" w:color="auto" w:fill="1B2A4A"/>
            <w:tcMar>
              <w:top w:w="120" w:type="dxa"/>
              <w:left w:w="120" w:type="dxa"/>
              <w:bottom w:w="120" w:type="dxa"/>
              <w:right w:w="80" w:type="dxa"/>
            </w:tcMar>
            <w:vAlign w:val="center"/>
          </w:tcPr>
          <w:p w14:paraId="71AD9A1C" w14:textId="77777777" w:rsidR="00EC7F1F" w:rsidRDefault="00000B03">
            <w:pPr>
              <w:jc w:val="center"/>
            </w:pPr>
            <w:r>
              <w:rPr>
                <w:b/>
                <w:bCs/>
                <w:color w:val="FFFFFF"/>
              </w:rPr>
              <w:t>PHASE 1</w:t>
            </w:r>
          </w:p>
        </w:tc>
        <w:tc>
          <w:tcPr>
            <w:tcW w:w="8160" w:type="dxa"/>
            <w:shd w:val="clear" w:color="auto" w:fill="D5E8F8"/>
            <w:tcMar>
              <w:top w:w="120" w:type="dxa"/>
              <w:left w:w="160" w:type="dxa"/>
              <w:bottom w:w="120" w:type="dxa"/>
              <w:right w:w="120" w:type="dxa"/>
            </w:tcMar>
            <w:vAlign w:val="center"/>
          </w:tcPr>
          <w:p w14:paraId="2BFE2B0B" w14:textId="77777777" w:rsidR="00EC7F1F" w:rsidRDefault="00000B03">
            <w:pPr>
              <w:spacing w:after="40"/>
            </w:pPr>
            <w:r>
              <w:rPr>
                <w:b/>
                <w:bCs/>
                <w:color w:val="1B2A4A"/>
                <w:sz w:val="26"/>
                <w:szCs w:val="26"/>
              </w:rPr>
              <w:t>Intermarket Asset Class Analysis</w:t>
            </w:r>
          </w:p>
          <w:p w14:paraId="50C61D09" w14:textId="77777777" w:rsidR="00EC7F1F" w:rsidRDefault="00000B03">
            <w:r>
              <w:rPr>
                <w:i/>
                <w:iCs/>
                <w:color w:val="2E5090"/>
                <w:sz w:val="20"/>
                <w:szCs w:val="20"/>
              </w:rPr>
              <w:t>Identify the macroeconomic liquidity regime and capital flow direction</w:t>
            </w:r>
          </w:p>
        </w:tc>
      </w:tr>
    </w:tbl>
    <w:p w14:paraId="5F36D385" w14:textId="77777777" w:rsidR="00EC7F1F" w:rsidRDefault="00000B03">
      <w:pPr>
        <w:spacing w:before="60" w:after="80"/>
      </w:pPr>
      <w:r>
        <w:rPr>
          <w:color w:val="333333"/>
        </w:rPr>
        <w:t>The foundation of the dual momentum system begins with a top-down analysis of major asset classes and their interrelationships. Financial markets form a complex, interconnected ecosystem where liquidity flows from one asset class to another in predictable patterns. As Paul Tudor Jones noted, capital allocation is fundamentally a flow process.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3E592DDD" w14:textId="77777777">
        <w:tc>
          <w:tcPr>
            <w:tcW w:w="8400" w:type="dxa"/>
            <w:tcBorders>
              <w:top w:val="single" w:sz="2" w:space="0" w:color="2E5090"/>
              <w:left w:val="single" w:sz="6" w:space="0" w:color="2E5090"/>
              <w:bottom w:val="single" w:sz="2" w:space="0" w:color="2E5090"/>
              <w:right w:val="single" w:sz="2" w:space="0" w:color="2E5090"/>
            </w:tcBorders>
            <w:shd w:val="clear" w:color="auto" w:fill="EBF3FC"/>
            <w:tcMar>
              <w:top w:w="80" w:type="dxa"/>
              <w:left w:w="160" w:type="dxa"/>
              <w:bottom w:w="80" w:type="dxa"/>
              <w:right w:w="120" w:type="dxa"/>
            </w:tcMar>
          </w:tcPr>
          <w:p w14:paraId="555D80EA" w14:textId="77777777" w:rsidR="00EC7F1F" w:rsidRDefault="00000B03">
            <w:pPr>
              <w:spacing w:after="60"/>
            </w:pPr>
            <w:r>
              <w:rPr>
                <w:b/>
                <w:bCs/>
                <w:color w:val="2E5090"/>
                <w:sz w:val="20"/>
                <w:szCs w:val="20"/>
              </w:rPr>
              <w:t>▶ Required Inputs</w:t>
            </w:r>
          </w:p>
          <w:p w14:paraId="7F27648D" w14:textId="77777777" w:rsidR="00EC7F1F" w:rsidRDefault="00000B03">
            <w:pPr>
              <w:spacing w:before="20" w:after="20"/>
            </w:pPr>
            <w:r>
              <w:rPr>
                <w:color w:val="555555"/>
                <w:sz w:val="18"/>
                <w:szCs w:val="18"/>
              </w:rPr>
              <w:t xml:space="preserve">    •  U.S. Dollar Index (DXY) price data and rate of change</w:t>
            </w:r>
          </w:p>
          <w:p w14:paraId="2549635F" w14:textId="77777777" w:rsidR="00EC7F1F" w:rsidRDefault="00000B03">
            <w:pPr>
              <w:spacing w:before="20" w:after="20"/>
            </w:pPr>
            <w:r>
              <w:rPr>
                <w:color w:val="555555"/>
                <w:sz w:val="18"/>
                <w:szCs w:val="18"/>
              </w:rPr>
              <w:t xml:space="preserve">    •  Treasury yield curve data (2Y, 5Y, 10Y, 30Y nominal and real yields)</w:t>
            </w:r>
          </w:p>
          <w:p w14:paraId="0B75E771" w14:textId="77777777" w:rsidR="00EC7F1F" w:rsidRDefault="00000B03">
            <w:pPr>
              <w:spacing w:before="20" w:after="20"/>
            </w:pPr>
            <w:r>
              <w:rPr>
                <w:color w:val="555555"/>
                <w:sz w:val="18"/>
                <w:szCs w:val="18"/>
              </w:rPr>
              <w:t xml:space="preserve">    •  Commodity indices (Bloomberg Commodity Index, CRB, industrial metals, energy)</w:t>
            </w:r>
          </w:p>
          <w:p w14:paraId="453C88CE" w14:textId="77777777" w:rsidR="00EC7F1F" w:rsidRDefault="00000B03">
            <w:pPr>
              <w:spacing w:before="20" w:after="20"/>
            </w:pPr>
            <w:r>
              <w:rPr>
                <w:color w:val="555555"/>
                <w:sz w:val="18"/>
                <w:szCs w:val="18"/>
              </w:rPr>
              <w:t xml:space="preserve">    •  Major equity indices (S&amp;P 500, Russell 2000, MSCI EAFE, MSCI EM)</w:t>
            </w:r>
          </w:p>
        </w:tc>
      </w:tr>
    </w:tbl>
    <w:p w14:paraId="7E4147C1" w14:textId="77777777" w:rsidR="00EC7F1F" w:rsidRDefault="00EC7F1F">
      <w:pPr>
        <w:spacing w:before="120"/>
      </w:pPr>
    </w:p>
    <w:p w14:paraId="296ABA77" w14:textId="77777777" w:rsidR="00EC7F1F" w:rsidRDefault="00000B03">
      <w:pPr>
        <w:pStyle w:val="Heading3"/>
      </w:pPr>
      <w:bookmarkStart w:id="4" w:name="_Toc224818103"/>
      <w:r>
        <w:t>Step 1.1: Analyze U.S. Dollar Strength/Weakness</w:t>
      </w:r>
      <w:bookmarkEnd w:id="4"/>
    </w:p>
    <w:p w14:paraId="7E802ABD" w14:textId="77777777" w:rsidR="00EC7F1F" w:rsidRDefault="00000B03">
      <w:pPr>
        <w:pStyle w:val="ListParagraph"/>
        <w:numPr>
          <w:ilvl w:val="0"/>
          <w:numId w:val="2"/>
        </w:numPr>
        <w:spacing w:before="40" w:after="40"/>
      </w:pPr>
      <w:r>
        <w:rPr>
          <w:color w:val="333333"/>
        </w:rPr>
        <w:t>Calculate rate of change across multiple timeframes: ROC = [(Current Price / Price n periods ago) - 1] × 100</w:t>
      </w:r>
    </w:p>
    <w:p w14:paraId="15F487C1" w14:textId="77777777" w:rsidR="00EC7F1F" w:rsidRDefault="00000B03">
      <w:pPr>
        <w:pStyle w:val="ListParagraph"/>
        <w:numPr>
          <w:ilvl w:val="0"/>
          <w:numId w:val="2"/>
        </w:numPr>
        <w:spacing w:before="40" w:after="40"/>
      </w:pPr>
      <w:r>
        <w:rPr>
          <w:color w:val="333333"/>
        </w:rPr>
        <w:t>Evaluate 1-month, 3-month, 6-month, and 12-month ROC for the Dollar Index (DXY)</w:t>
      </w:r>
    </w:p>
    <w:p w14:paraId="6108AA96" w14:textId="7D5C9EA0" w:rsidR="00EC7F1F" w:rsidRDefault="00000B03">
      <w:pPr>
        <w:pStyle w:val="ListParagraph"/>
        <w:numPr>
          <w:ilvl w:val="0"/>
          <w:numId w:val="2"/>
        </w:numPr>
        <w:spacing w:before="40" w:after="40"/>
      </w:pPr>
      <w:r>
        <w:rPr>
          <w:color w:val="333333"/>
        </w:rPr>
        <w:t xml:space="preserve">Determine if the USD is in a strengthening or weakening structural trend using 50-day and 200-day moving averages. (Time series trend analysis). </w:t>
      </w:r>
    </w:p>
    <w:p w14:paraId="24853488" w14:textId="77777777" w:rsidR="00EC7F1F" w:rsidRDefault="00000B03">
      <w:pPr>
        <w:pStyle w:val="ListParagraph"/>
        <w:numPr>
          <w:ilvl w:val="0"/>
          <w:numId w:val="2"/>
        </w:numPr>
        <w:spacing w:before="40" w:after="40"/>
      </w:pPr>
      <w:r>
        <w:rPr>
          <w:color w:val="333333"/>
        </w:rPr>
        <w:t>Assess the implications: a weakening dollar is generally expansionary for risk assets; a strengthening dollar is contractionary</w:t>
      </w:r>
    </w:p>
    <w:p w14:paraId="253CF86F" w14:textId="77777777" w:rsidR="00EC7F1F" w:rsidRDefault="00000B03">
      <w:pPr>
        <w:spacing w:before="40" w:after="60"/>
        <w:ind w:left="720"/>
      </w:pPr>
      <w:r>
        <w:rPr>
          <w:i/>
          <w:iCs/>
          <w:color w:val="777777"/>
          <w:sz w:val="18"/>
          <w:szCs w:val="18"/>
        </w:rPr>
        <w:t>Murphy (2004), Intermarket Analysis; Pring (2014), Intermarket Analysis and Investing</w:t>
      </w:r>
    </w:p>
    <w:p w14:paraId="0B000001" w14:textId="77777777" w:rsidR="00EC7F1F" w:rsidRDefault="00000B03">
      <w:pPr>
        <w:pStyle w:val="Heading3"/>
        <w:spacing w:after="100"/>
      </w:pPr>
      <w:r>
        <w:t>Step 1.1a: Decompose DXY Component Currencies</w:t>
      </w:r>
    </w:p>
    <w:p w14:paraId="0B000002" w14:textId="77777777" w:rsidR="00EC7F1F" w:rsidRDefault="00000B03">
      <w:pPr>
        <w:spacing w:before="40" w:after="60"/>
      </w:pPr>
      <w:r>
        <w:rPr>
          <w:color w:val="333333"/>
        </w:rPr>
        <w:t>The Dollar Index (DXY) is a weighted composite of six major currencies. A DXY move driven by EUR weakness tells a fundamentally different intermarket story than one driven by JPY weakness. Decomposing the index into its components identifies the specific capital flow dynamics driving dollar strength or weakness.</w:t>
      </w:r>
    </w:p>
    <w:p w14:paraId="0B000003" w14:textId="77777777" w:rsidR="00EC7F1F" w:rsidRDefault="00000B03">
      <w:pPr>
        <w:pStyle w:val="ListParagraph"/>
        <w:numPr>
          <w:ilvl w:val="0"/>
          <w:numId w:val="1"/>
        </w:numPr>
        <w:spacing w:before="40" w:after="40"/>
      </w:pPr>
      <w:r>
        <w:rPr>
          <w:color w:val="333333"/>
        </w:rPr>
        <w:t>Analyze the six DXY components individually: EUR (57.6% weight), JPY (13.6%), GBP (11.9%), CAD (9.1%), SEK (4.2%), CHF (3.6%). Calculate the rate of change and trend status for each.</w:t>
      </w:r>
    </w:p>
    <w:p w14:paraId="0B000004" w14:textId="77777777" w:rsidR="00EC7F1F" w:rsidRDefault="00000B03">
      <w:pPr>
        <w:pStyle w:val="ListParagraph"/>
        <w:numPr>
          <w:ilvl w:val="0"/>
          <w:numId w:val="1"/>
        </w:numPr>
        <w:spacing w:before="40" w:after="40"/>
      </w:pPr>
      <w:r>
        <w:rPr>
          <w:color w:val="333333"/>
        </w:rPr>
        <w:t>Identify which component(s) are driving the aggregate DXY move. EUR-driven dollar strength (European weakness) has different implications for U.S. equities than JPY-driven strength (risk-off/carry trade unwinding).</w:t>
      </w:r>
    </w:p>
    <w:p w14:paraId="0B000005" w14:textId="77777777" w:rsidR="00EC7F1F" w:rsidRDefault="00000B03">
      <w:pPr>
        <w:pStyle w:val="ListParagraph"/>
        <w:numPr>
          <w:ilvl w:val="0"/>
          <w:numId w:val="1"/>
        </w:numPr>
        <w:spacing w:before="40" w:after="40"/>
      </w:pPr>
      <w:r>
        <w:rPr>
          <w:color w:val="333333"/>
        </w:rPr>
        <w:t>Assess CHF and JPY as safe-haven currency signals: strengthening CHF/JPY indicates risk aversion and defensive capital flows.</w:t>
      </w:r>
    </w:p>
    <w:p w14:paraId="0B000006" w14:textId="77777777" w:rsidR="00EC7F1F" w:rsidRDefault="00000B03">
      <w:pPr>
        <w:pStyle w:val="Heading3"/>
        <w:spacing w:after="100"/>
      </w:pPr>
      <w:r>
        <w:t>Step 1.1b: Evaluate Commodity Currencies</w:t>
      </w:r>
    </w:p>
    <w:p w14:paraId="0B000007" w14:textId="77777777" w:rsidR="00EC7F1F" w:rsidRDefault="00000B03">
      <w:pPr>
        <w:pStyle w:val="ListParagraph"/>
        <w:numPr>
          <w:ilvl w:val="0"/>
          <w:numId w:val="1"/>
        </w:numPr>
        <w:spacing w:before="40" w:after="40"/>
      </w:pPr>
      <w:r>
        <w:rPr>
          <w:color w:val="333333"/>
        </w:rPr>
        <w:t>Track commodity-linked currencies (AUD, CAD, NOK, BRL) as leading indicators for commodity cycle direction. Strengthening commodity currencies confirm the commodity momentum analyzed in Step 1.3; divergence is an early warning.</w:t>
      </w:r>
    </w:p>
    <w:p w14:paraId="0B000008" w14:textId="77777777" w:rsidR="00EC7F1F" w:rsidRDefault="00000B03">
      <w:pPr>
        <w:pStyle w:val="ListParagraph"/>
        <w:numPr>
          <w:ilvl w:val="0"/>
          <w:numId w:val="1"/>
        </w:numPr>
        <w:spacing w:before="40" w:after="40"/>
      </w:pPr>
      <w:r>
        <w:rPr>
          <w:color w:val="333333"/>
        </w:rPr>
        <w:lastRenderedPageBreak/>
        <w:t>Calculate relative strength of a commodity currency basket vs. DXY to identify whether global capital is flowing toward or away from resource-linked economies.</w:t>
      </w:r>
    </w:p>
    <w:p w14:paraId="0B000009" w14:textId="77777777" w:rsidR="00EC7F1F" w:rsidRDefault="00000B03">
      <w:pPr>
        <w:pStyle w:val="Heading3"/>
        <w:spacing w:after="100"/>
      </w:pPr>
      <w:r>
        <w:t>Step 1.1c: Assess Risk Sentiment via Carry Trade Indicators</w:t>
      </w:r>
    </w:p>
    <w:p w14:paraId="0B00000A" w14:textId="77777777" w:rsidR="00EC7F1F" w:rsidRDefault="00000B03">
      <w:pPr>
        <w:pStyle w:val="ListParagraph"/>
        <w:numPr>
          <w:ilvl w:val="0"/>
          <w:numId w:val="1"/>
        </w:numPr>
        <w:spacing w:before="40" w:after="40"/>
      </w:pPr>
      <w:r>
        <w:rPr>
          <w:color w:val="333333"/>
        </w:rPr>
        <w:t>Monitor EUR/JPY as a real-time proxy for global risk appetite. EUR/JPY rising indicates risk-on capital flows and carry trade expansion; EUR/JPY falling signals risk-off conditions and carry trade unwinding.</w:t>
      </w:r>
    </w:p>
    <w:p w14:paraId="0B00000B" w14:textId="77777777" w:rsidR="00EC7F1F" w:rsidRDefault="00000B03">
      <w:pPr>
        <w:pStyle w:val="ListParagraph"/>
        <w:numPr>
          <w:ilvl w:val="0"/>
          <w:numId w:val="1"/>
        </w:numPr>
        <w:spacing w:before="40" w:after="40"/>
      </w:pPr>
      <w:r>
        <w:rPr>
          <w:color w:val="333333"/>
        </w:rPr>
        <w:t>Cross-reference EUR/JPY direction with equity market momentum and credit spread direction for confirmation. Divergence between EUR/JPY and equity indices is a high-value early warning signal for regime transitions.</w:t>
      </w:r>
    </w:p>
    <w:p w14:paraId="0B00000C" w14:textId="77777777" w:rsidR="00EC7F1F" w:rsidRDefault="00000B03">
      <w:pPr>
        <w:pStyle w:val="ListParagraph"/>
        <w:numPr>
          <w:ilvl w:val="0"/>
          <w:numId w:val="1"/>
        </w:numPr>
        <w:spacing w:before="40" w:after="40"/>
      </w:pPr>
      <w:r>
        <w:rPr>
          <w:color w:val="333333"/>
        </w:rPr>
        <w:t>Assess the AUD/JPY cross rate as a secondary risk sentiment indicator, particularly sensitive to Asian/Pacific capital flows and commodity demand.</w:t>
      </w:r>
    </w:p>
    <w:p w14:paraId="0B00000D" w14:textId="77777777" w:rsidR="00EC7F1F" w:rsidRDefault="00000B03">
      <w:pPr>
        <w:spacing w:before="40" w:after="60"/>
      </w:pPr>
      <w:r>
        <w:rPr>
          <w:i/>
          <w:iCs/>
          <w:color w:val="777777"/>
          <w:sz w:val="18"/>
          <w:szCs w:val="18"/>
        </w:rPr>
        <w:t>Frankel &amp; Rose (1996), Currency Crashes in Emerging Markets; Burnside, Eichenbaum &amp; Rebelo (2011), Carry Trade and Momentum in Currency Markets</w:t>
      </w:r>
    </w:p>
    <w:p w14:paraId="2F13888D" w14:textId="77777777" w:rsidR="00EC7F1F" w:rsidRDefault="00000B03">
      <w:pPr>
        <w:pStyle w:val="Heading3"/>
      </w:pPr>
      <w:bookmarkStart w:id="5" w:name="_Toc224818104"/>
      <w:r>
        <w:t>Step 1.2: Evaluate Bond Market Signals</w:t>
      </w:r>
      <w:bookmarkEnd w:id="5"/>
    </w:p>
    <w:p w14:paraId="1B6A54FA" w14:textId="77777777" w:rsidR="00EC7F1F" w:rsidRDefault="00000B03">
      <w:pPr>
        <w:pStyle w:val="ListParagraph"/>
        <w:numPr>
          <w:ilvl w:val="0"/>
          <w:numId w:val="3"/>
        </w:numPr>
        <w:spacing w:before="40" w:after="40"/>
      </w:pPr>
      <w:r>
        <w:rPr>
          <w:color w:val="333333"/>
        </w:rPr>
        <w:t>Assess the yield curve slope: 10-Year minus 2-Year Treasury yield spread</w:t>
      </w:r>
    </w:p>
    <w:p w14:paraId="594AC6CC" w14:textId="77777777" w:rsidR="00EC7F1F" w:rsidRDefault="00000B03">
      <w:pPr>
        <w:pStyle w:val="ListParagraph"/>
        <w:numPr>
          <w:ilvl w:val="0"/>
          <w:numId w:val="3"/>
        </w:numPr>
        <w:spacing w:before="40" w:after="40"/>
      </w:pPr>
      <w:r>
        <w:rPr>
          <w:color w:val="333333"/>
        </w:rPr>
        <w:t>Determine the real yield trend: nominal yield minus breakeven inflation rate</w:t>
      </w:r>
    </w:p>
    <w:p w14:paraId="24B960FE" w14:textId="77777777" w:rsidR="00EC7F1F" w:rsidRDefault="00000B03">
      <w:pPr>
        <w:pStyle w:val="ListParagraph"/>
        <w:numPr>
          <w:ilvl w:val="0"/>
          <w:numId w:val="3"/>
        </w:numPr>
        <w:spacing w:before="40" w:after="40"/>
      </w:pPr>
      <w:r>
        <w:rPr>
          <w:color w:val="333333"/>
        </w:rPr>
        <w:t>Evaluate credit spreads: Investment Grade and High Yield OAS versus Treasuries</w:t>
      </w:r>
    </w:p>
    <w:p w14:paraId="76CAC4CA" w14:textId="77777777" w:rsidR="00EC7F1F" w:rsidRDefault="00000B03">
      <w:pPr>
        <w:pStyle w:val="ListParagraph"/>
        <w:numPr>
          <w:ilvl w:val="0"/>
          <w:numId w:val="3"/>
        </w:numPr>
        <w:spacing w:before="40" w:after="40"/>
      </w:pPr>
      <w:r>
        <w:rPr>
          <w:color w:val="333333"/>
        </w:rPr>
        <w:t>Assess monetary policy direction through Fed Funds Rate trajectory and forward guidance</w:t>
      </w:r>
    </w:p>
    <w:p w14:paraId="5BEC7563" w14:textId="77777777" w:rsidR="00EC7F1F" w:rsidRDefault="00000B03">
      <w:pPr>
        <w:pStyle w:val="ListParagraph"/>
        <w:numPr>
          <w:ilvl w:val="0"/>
          <w:numId w:val="3"/>
        </w:numPr>
        <w:spacing w:before="40" w:after="40"/>
      </w:pPr>
      <w:r>
        <w:rPr>
          <w:color w:val="333333"/>
        </w:rPr>
        <w:t>Determine bond market momentum using price-based trend indicators on TLT, IEF, and aggregate bond indices</w:t>
      </w:r>
    </w:p>
    <w:p w14:paraId="0B00000E" w14:textId="77777777" w:rsidR="00EC7F1F" w:rsidRDefault="00000B03">
      <w:pPr>
        <w:pStyle w:val="Heading3"/>
        <w:spacing w:after="100"/>
      </w:pPr>
      <w:r>
        <w:t>Step 1.2a: Analyze Bond Duration Rotation</w:t>
      </w:r>
    </w:p>
    <w:p w14:paraId="0B00000F" w14:textId="77777777" w:rsidR="00EC7F1F" w:rsidRDefault="00000B03">
      <w:pPr>
        <w:pStyle w:val="ListParagraph"/>
        <w:numPr>
          <w:ilvl w:val="0"/>
          <w:numId w:val="1"/>
        </w:numPr>
        <w:spacing w:before="40" w:after="40"/>
      </w:pPr>
      <w:r>
        <w:rPr>
          <w:color w:val="333333"/>
        </w:rPr>
        <w:t>Calculate relative strength across the maturity spectrum: short duration (SHY/1-3Y), intermediate duration (IEF/7-10Y), and long duration (TLT/20Y+). Rank by 1-month, 3-month, and 6-month relative performance.</w:t>
      </w:r>
    </w:p>
    <w:p w14:paraId="0B000010" w14:textId="77777777" w:rsidR="00EC7F1F" w:rsidRDefault="00000B03">
      <w:pPr>
        <w:pStyle w:val="ListParagraph"/>
        <w:numPr>
          <w:ilvl w:val="0"/>
          <w:numId w:val="1"/>
        </w:numPr>
        <w:spacing w:before="40" w:after="40"/>
      </w:pPr>
      <w:r>
        <w:rPr>
          <w:color w:val="333333"/>
        </w:rPr>
        <w:t>Identify the direction of duration rotation: capital moving from long to short duration signals defensive positioning and expectations of rising rates; capital moving from short to long signals risk appetite for duration and expectations of easing.</w:t>
      </w:r>
    </w:p>
    <w:p w14:paraId="0B000011" w14:textId="77777777" w:rsidR="00EC7F1F" w:rsidRDefault="00000B03">
      <w:pPr>
        <w:pStyle w:val="ListParagraph"/>
        <w:numPr>
          <w:ilvl w:val="0"/>
          <w:numId w:val="1"/>
        </w:numPr>
        <w:spacing w:before="40" w:after="40"/>
      </w:pPr>
      <w:r>
        <w:rPr>
          <w:color w:val="333333"/>
        </w:rPr>
        <w:t>Assess the slope steepening or flattening dynamic in conjunction with duration rotation to distinguish between bear steepening (growth/inflation expectations rising) and bull flattening (flight to quality/recession expectations).</w:t>
      </w:r>
    </w:p>
    <w:p w14:paraId="0B000012" w14:textId="77777777" w:rsidR="00EC7F1F" w:rsidRDefault="00000B03">
      <w:pPr>
        <w:pStyle w:val="Heading3"/>
        <w:spacing w:after="100"/>
      </w:pPr>
      <w:r>
        <w:t>Step 1.2b: Evaluate Bond Category Relative Strength</w:t>
      </w:r>
    </w:p>
    <w:p w14:paraId="0B000013" w14:textId="77777777" w:rsidR="00EC7F1F" w:rsidRDefault="00000B03">
      <w:pPr>
        <w:spacing w:before="40" w:after="60"/>
      </w:pPr>
      <w:r>
        <w:rPr>
          <w:b/>
          <w:bCs/>
          <w:color w:val="333333"/>
        </w:rPr>
        <w:t>Analyze relative strength across three primary bond categories to identify credit cycle positioning:</w:t>
      </w:r>
    </w:p>
    <w:p w14:paraId="0B000014" w14:textId="77777777" w:rsidR="00EC7F1F" w:rsidRDefault="00000B03">
      <w:pPr>
        <w:pStyle w:val="ListParagraph"/>
        <w:numPr>
          <w:ilvl w:val="0"/>
          <w:numId w:val="1"/>
        </w:numPr>
        <w:spacing w:before="40" w:after="40"/>
      </w:pPr>
      <w:r>
        <w:rPr>
          <w:color w:val="333333"/>
        </w:rPr>
        <w:t>Government Bonds (Treasuries): the risk-free benchmark. Rising Treasury prices relative to corporates indicate flight to quality and risk aversion. Monitor TLT, IEF, and SHY.</w:t>
      </w:r>
    </w:p>
    <w:p w14:paraId="0B000015" w14:textId="77777777" w:rsidR="00EC7F1F" w:rsidRDefault="00000B03">
      <w:pPr>
        <w:pStyle w:val="ListParagraph"/>
        <w:numPr>
          <w:ilvl w:val="0"/>
          <w:numId w:val="1"/>
        </w:numPr>
        <w:spacing w:before="40" w:after="40"/>
      </w:pPr>
      <w:r>
        <w:rPr>
          <w:color w:val="333333"/>
        </w:rPr>
        <w:t>Municipal Bonds (MUB, VTEB): sensitive to state/local fiscal conditions and tax policy. Muni-to-Treasury yield ratios above historical norms signal municipal credit stress or supply/demand imbalance.</w:t>
      </w:r>
    </w:p>
    <w:p w14:paraId="0B000016" w14:textId="77777777" w:rsidR="00EC7F1F" w:rsidRDefault="00000B03">
      <w:pPr>
        <w:pStyle w:val="ListParagraph"/>
        <w:numPr>
          <w:ilvl w:val="0"/>
          <w:numId w:val="1"/>
        </w:numPr>
        <w:spacing w:before="40" w:after="40"/>
      </w:pPr>
      <w:r>
        <w:rPr>
          <w:color w:val="333333"/>
        </w:rPr>
        <w:t>Corporate Bonds, decomposed into Investment Grade (LQD) and High Yield (HYG/JNK): the IG-to-HY relative strength ratio is one of the most powerful credit cycle indicators available. Formalize this as a specific data point:</w:t>
      </w:r>
    </w:p>
    <w:p w14:paraId="0B000017" w14:textId="77777777" w:rsidR="00EC7F1F" w:rsidRDefault="00000B03">
      <w:pPr>
        <w:pStyle w:val="ListParagraph"/>
        <w:numPr>
          <w:ilvl w:val="0"/>
          <w:numId w:val="1"/>
        </w:numPr>
        <w:spacing w:before="40" w:after="40"/>
      </w:pPr>
      <w:r>
        <w:rPr>
          <w:b/>
          <w:bCs/>
          <w:color w:val="333333"/>
        </w:rPr>
        <w:lastRenderedPageBreak/>
        <w:t>HY-to-IG spread direction: tightening HY spreads (HYG outperforming LQD) confirms expansionary conditions and risk appetite. Widening HY spreads (LQD outperforming HYG) confirms contractionary conditions. Record this spread direction as a primary input to the Liquidity Roadmap in Step 1.5.</w:t>
      </w:r>
    </w:p>
    <w:p w14:paraId="0B000018" w14:textId="77777777" w:rsidR="00EC7F1F" w:rsidRDefault="00000B03">
      <w:pPr>
        <w:spacing w:before="40" w:after="60"/>
      </w:pPr>
      <w:r>
        <w:rPr>
          <w:i/>
          <w:iCs/>
          <w:color w:val="777777"/>
          <w:sz w:val="18"/>
          <w:szCs w:val="18"/>
        </w:rPr>
        <w:t>Ilmanen (2011), Expected Returns; Ang (2014), Asset Management: A Systematic Approach to Factor Investing</w:t>
      </w:r>
    </w:p>
    <w:p w14:paraId="1960487C" w14:textId="77777777" w:rsidR="00EC7F1F" w:rsidRDefault="00000B03">
      <w:pPr>
        <w:pStyle w:val="Heading3"/>
      </w:pPr>
      <w:bookmarkStart w:id="6" w:name="_Toc224818105"/>
      <w:r>
        <w:t>Step 1.3: Analyze Commodity Price Trends</w:t>
      </w:r>
      <w:bookmarkEnd w:id="6"/>
    </w:p>
    <w:p w14:paraId="1DC977A5" w14:textId="0E77F859" w:rsidR="00EC7F1F" w:rsidRDefault="00000B03">
      <w:pPr>
        <w:pStyle w:val="ListParagraph"/>
        <w:numPr>
          <w:ilvl w:val="0"/>
          <w:numId w:val="4"/>
        </w:numPr>
        <w:spacing w:before="40" w:after="40"/>
      </w:pPr>
      <w:r>
        <w:rPr>
          <w:color w:val="333333"/>
        </w:rPr>
        <w:t xml:space="preserve">Calculate momentum in broad commodity indices. Commodities comparative relative strength vs. Bond, Currencies, Equities. </w:t>
      </w:r>
    </w:p>
    <w:p w14:paraId="54FFAA11" w14:textId="77777777" w:rsidR="00EC7F1F" w:rsidRDefault="00000B03">
      <w:pPr>
        <w:pStyle w:val="ListParagraph"/>
        <w:numPr>
          <w:ilvl w:val="0"/>
          <w:numId w:val="4"/>
        </w:numPr>
        <w:spacing w:before="40" w:after="40"/>
      </w:pPr>
      <w:r>
        <w:rPr>
          <w:color w:val="333333"/>
        </w:rPr>
        <w:t>Evaluate industrial metals relative strength as a leading cyclical indicator (copper, aluminum)</w:t>
      </w:r>
    </w:p>
    <w:p w14:paraId="6F2C1FB2" w14:textId="77777777" w:rsidR="00EC7F1F" w:rsidRDefault="00000B03">
      <w:pPr>
        <w:pStyle w:val="ListParagraph"/>
        <w:numPr>
          <w:ilvl w:val="0"/>
          <w:numId w:val="4"/>
        </w:numPr>
        <w:spacing w:before="40" w:after="40"/>
      </w:pPr>
      <w:r>
        <w:rPr>
          <w:color w:val="333333"/>
        </w:rPr>
        <w:t>Assess energy price trends and their inflation transmission implications</w:t>
      </w:r>
    </w:p>
    <w:p w14:paraId="0AC8E17C" w14:textId="77777777" w:rsidR="00EC7F1F" w:rsidRDefault="00000B03">
      <w:pPr>
        <w:pStyle w:val="ListParagraph"/>
        <w:numPr>
          <w:ilvl w:val="0"/>
          <w:numId w:val="4"/>
        </w:numPr>
        <w:spacing w:before="40" w:after="40"/>
      </w:pPr>
      <w:r>
        <w:rPr>
          <w:color w:val="333333"/>
        </w:rPr>
        <w:t>Monitor precious metals for monetary stress or geopolitical risk signals</w:t>
      </w:r>
    </w:p>
    <w:p w14:paraId="577F023A" w14:textId="77777777" w:rsidR="00EC7F1F" w:rsidRDefault="00000B03">
      <w:pPr>
        <w:pStyle w:val="ListParagraph"/>
        <w:numPr>
          <w:ilvl w:val="0"/>
          <w:numId w:val="4"/>
        </w:numPr>
        <w:spacing w:before="40" w:after="40"/>
      </w:pPr>
      <w:r>
        <w:rPr>
          <w:color w:val="333333"/>
        </w:rPr>
        <w:t>Identify commodity sector rotation patterns that may foreshadow equity sector leadership</w:t>
      </w:r>
    </w:p>
    <w:p w14:paraId="0B000019" w14:textId="77777777" w:rsidR="00EC7F1F" w:rsidRDefault="00000B03">
      <w:pPr>
        <w:pStyle w:val="Heading3"/>
        <w:spacing w:after="100"/>
      </w:pPr>
      <w:r>
        <w:t>Step 1.3a: Rank Commodity Sub-Categories</w:t>
      </w:r>
    </w:p>
    <w:p w14:paraId="0B00001A" w14:textId="77777777" w:rsidR="00EC7F1F" w:rsidRDefault="00000B03">
      <w:pPr>
        <w:spacing w:before="40" w:after="60"/>
      </w:pPr>
      <w:r>
        <w:rPr>
          <w:color w:val="333333"/>
        </w:rPr>
        <w:t>Compute relative strength rankings across the four primary commodity sub-categories to identify which is leading. The leader reveals the dominant macro narrative:</w:t>
      </w:r>
    </w:p>
    <w:p w14:paraId="0B00001B" w14:textId="77777777" w:rsidR="00EC7F1F" w:rsidRDefault="00000B03">
      <w:pPr>
        <w:pStyle w:val="ListParagraph"/>
        <w:numPr>
          <w:ilvl w:val="0"/>
          <w:numId w:val="1"/>
        </w:numPr>
        <w:spacing w:before="40" w:after="40"/>
      </w:pPr>
      <w:r>
        <w:rPr>
          <w:color w:val="333333"/>
        </w:rPr>
        <w:t>Energy (XLE, USO, BNO): energy leading indicates inflation/supply-side pressure, geopolitical risk premium, or late-cycle demand. Directly impacts transportation, manufacturing, and consumer spending.</w:t>
      </w:r>
    </w:p>
    <w:p w14:paraId="0B00001C" w14:textId="77777777" w:rsidR="00EC7F1F" w:rsidRDefault="00000B03">
      <w:pPr>
        <w:pStyle w:val="ListParagraph"/>
        <w:numPr>
          <w:ilvl w:val="0"/>
          <w:numId w:val="1"/>
        </w:numPr>
        <w:spacing w:before="40" w:after="40"/>
      </w:pPr>
      <w:r>
        <w:rPr>
          <w:color w:val="333333"/>
        </w:rPr>
        <w:t>Agriculture (DBA, WEAT, CORN, SOYB): agriculture leading signals food inflation and consumer spending pressure, supply chain disruption (weather, trade policy), or emerging market demand stress. Leading indicator for consumer staples vs. discretionary sector rotation.</w:t>
      </w:r>
    </w:p>
    <w:p w14:paraId="0B00001D" w14:textId="77777777" w:rsidR="00EC7F1F" w:rsidRDefault="00000B03">
      <w:pPr>
        <w:pStyle w:val="ListParagraph"/>
        <w:numPr>
          <w:ilvl w:val="0"/>
          <w:numId w:val="1"/>
        </w:numPr>
        <w:spacing w:before="40" w:after="40"/>
      </w:pPr>
      <w:r>
        <w:rPr>
          <w:color w:val="333333"/>
        </w:rPr>
        <w:t>Precious Metals (GLD, SLV, GDX): precious metals leading indicates monetary debasement fears, real rate compression, or geopolitical risk-haven demand. Strengthening gold relative to other commodities is a defensive signal.</w:t>
      </w:r>
    </w:p>
    <w:p w14:paraId="0B00001E" w14:textId="77777777" w:rsidR="00EC7F1F" w:rsidRDefault="00000B03">
      <w:pPr>
        <w:pStyle w:val="ListParagraph"/>
        <w:numPr>
          <w:ilvl w:val="0"/>
          <w:numId w:val="1"/>
        </w:numPr>
        <w:spacing w:before="40" w:after="40"/>
      </w:pPr>
      <w:r>
        <w:rPr>
          <w:color w:val="333333"/>
        </w:rPr>
        <w:t>Industrial/Base Metals (COPX, copper, aluminum, zinc): industrial metals leading is the most bullish signal for global growth acceleration and manufacturing expansion. Copper in particular is a leading indicator for industrial activity and equity market direction.</w:t>
      </w:r>
    </w:p>
    <w:p w14:paraId="0B00001F" w14:textId="77777777" w:rsidR="00EC7F1F" w:rsidRDefault="00000B03">
      <w:pPr>
        <w:pStyle w:val="ListParagraph"/>
        <w:numPr>
          <w:ilvl w:val="0"/>
          <w:numId w:val="1"/>
        </w:numPr>
        <w:spacing w:before="40" w:after="40"/>
      </w:pPr>
      <w:r>
        <w:rPr>
          <w:b/>
          <w:bCs/>
          <w:color w:val="333333"/>
        </w:rPr>
        <w:t>Record the commodity sub-category ranking (strongest to weakest) as a primary input. The rotation pattern between these four categories frequently foreshadows equity sector leadership shifts by 4 to 12 weeks.</w:t>
      </w:r>
    </w:p>
    <w:p w14:paraId="0B000020" w14:textId="77777777" w:rsidR="00EC7F1F" w:rsidRDefault="00000B03">
      <w:pPr>
        <w:spacing w:before="40" w:after="60"/>
      </w:pPr>
      <w:r>
        <w:rPr>
          <w:i/>
          <w:iCs/>
          <w:color w:val="777777"/>
          <w:sz w:val="18"/>
          <w:szCs w:val="18"/>
        </w:rPr>
        <w:t>Gorton &amp; Rouwenhorst (2006), Facts and Fantasies About Commodity Futures; Erb &amp; Harvey (2006), The Strategic and Tactical Value of Commodity Futures</w:t>
      </w:r>
    </w:p>
    <w:p w14:paraId="3E853D0B" w14:textId="77777777" w:rsidR="00EC7F1F" w:rsidRDefault="00000B03">
      <w:pPr>
        <w:pStyle w:val="Heading3"/>
      </w:pPr>
      <w:bookmarkStart w:id="7" w:name="_Toc224818106"/>
      <w:r>
        <w:t>Step 1.4: Assess Equity Market Rotation</w:t>
      </w:r>
      <w:bookmarkEnd w:id="7"/>
    </w:p>
    <w:p w14:paraId="18839DE6" w14:textId="77777777" w:rsidR="00EC7F1F" w:rsidRDefault="00000B03">
      <w:pPr>
        <w:pStyle w:val="ListParagraph"/>
        <w:numPr>
          <w:ilvl w:val="0"/>
          <w:numId w:val="5"/>
        </w:numPr>
        <w:spacing w:before="40" w:after="40"/>
      </w:pPr>
      <w:r>
        <w:rPr>
          <w:color w:val="333333"/>
        </w:rPr>
        <w:t>Identify sector leadership shifts between offensive (technology, consumer discretionary) and defensive (utilities, staples) sectors</w:t>
      </w:r>
    </w:p>
    <w:p w14:paraId="0C4D3E4D" w14:textId="77777777" w:rsidR="00EC7F1F" w:rsidRDefault="00000B03">
      <w:pPr>
        <w:pStyle w:val="ListParagraph"/>
        <w:numPr>
          <w:ilvl w:val="0"/>
          <w:numId w:val="5"/>
        </w:numPr>
        <w:spacing w:before="40" w:after="40"/>
      </w:pPr>
      <w:r>
        <w:rPr>
          <w:color w:val="333333"/>
        </w:rPr>
        <w:t>Calculate relative strength ratios: RS Ratio = Sector Price / Benchmark Price across multiple timeframes</w:t>
      </w:r>
    </w:p>
    <w:p w14:paraId="0A5BB6DD" w14:textId="77777777" w:rsidR="00EC7F1F" w:rsidRDefault="00000B03">
      <w:pPr>
        <w:pStyle w:val="ListParagraph"/>
        <w:numPr>
          <w:ilvl w:val="0"/>
          <w:numId w:val="5"/>
        </w:numPr>
        <w:spacing w:before="40" w:after="40"/>
      </w:pPr>
      <w:r>
        <w:rPr>
          <w:color w:val="333333"/>
        </w:rPr>
        <w:t>Evaluate small-cap vs. large-cap relative performance as a risk appetite indicator</w:t>
      </w:r>
    </w:p>
    <w:p w14:paraId="7B82FA2C" w14:textId="77777777" w:rsidR="00EC7F1F" w:rsidRDefault="00000B03">
      <w:pPr>
        <w:pStyle w:val="ListParagraph"/>
        <w:numPr>
          <w:ilvl w:val="0"/>
          <w:numId w:val="5"/>
        </w:numPr>
        <w:spacing w:before="40" w:after="40"/>
      </w:pPr>
      <w:r>
        <w:rPr>
          <w:color w:val="333333"/>
        </w:rPr>
        <w:t>Assess international vs. domestic equity relative strength for global capital flow direction</w:t>
      </w:r>
    </w:p>
    <w:p w14:paraId="0B000021" w14:textId="77777777" w:rsidR="00EC7F1F" w:rsidRDefault="00000B03">
      <w:pPr>
        <w:pStyle w:val="Heading3"/>
        <w:spacing w:after="100"/>
      </w:pPr>
      <w:r>
        <w:t>Step 1.4a: Analyze Market Capitalization Tier Rotation</w:t>
      </w:r>
    </w:p>
    <w:p w14:paraId="0B000022" w14:textId="77777777" w:rsidR="00EC7F1F" w:rsidRDefault="00000B03">
      <w:pPr>
        <w:pStyle w:val="ListParagraph"/>
        <w:numPr>
          <w:ilvl w:val="0"/>
          <w:numId w:val="1"/>
        </w:numPr>
        <w:spacing w:before="40" w:after="40"/>
      </w:pPr>
      <w:r>
        <w:rPr>
          <w:color w:val="333333"/>
        </w:rPr>
        <w:lastRenderedPageBreak/>
        <w:t>Calculate relative strength across three capitalization tiers: Large Cap (SPY/IVV), Mid Cap (MDY/IJH), and Small Cap (IWM/IJR) using 1-month, 3-month, and 6-month lookback windows.</w:t>
      </w:r>
    </w:p>
    <w:p w14:paraId="0B000023" w14:textId="77777777" w:rsidR="00EC7F1F" w:rsidRDefault="00000B03">
      <w:pPr>
        <w:pStyle w:val="ListParagraph"/>
        <w:numPr>
          <w:ilvl w:val="0"/>
          <w:numId w:val="1"/>
        </w:numPr>
        <w:spacing w:before="40" w:after="40"/>
      </w:pPr>
      <w:r>
        <w:rPr>
          <w:color w:val="333333"/>
        </w:rPr>
        <w:t>Rank the three tiers from strongest to weakest. Small caps leading is an expansionary signal indicating broad risk appetite and domestic economic strength. Large caps leading is a defensive signal indicating capital concentration and risk aversion.</w:t>
      </w:r>
    </w:p>
    <w:p w14:paraId="0B000024" w14:textId="77777777" w:rsidR="00EC7F1F" w:rsidRDefault="00000B03">
      <w:pPr>
        <w:pStyle w:val="ListParagraph"/>
        <w:numPr>
          <w:ilvl w:val="0"/>
          <w:numId w:val="1"/>
        </w:numPr>
        <w:spacing w:before="40" w:after="40"/>
      </w:pPr>
      <w:r>
        <w:rPr>
          <w:color w:val="333333"/>
        </w:rPr>
        <w:t>Mid-cap relative strength provides a confirmation signal: mid caps outperforming both large and small is a Goldilocks indicator of balanced economic expansion.</w:t>
      </w:r>
    </w:p>
    <w:p w14:paraId="0B000025" w14:textId="77777777" w:rsidR="00EC7F1F" w:rsidRDefault="00000B03">
      <w:pPr>
        <w:pStyle w:val="Heading3"/>
        <w:spacing w:after="100"/>
      </w:pPr>
      <w:r>
        <w:t>Step 1.4b: Decompose International Equity Relative Strength</w:t>
      </w:r>
    </w:p>
    <w:p w14:paraId="0B000026" w14:textId="77777777" w:rsidR="00EC7F1F" w:rsidRDefault="00000B03">
      <w:pPr>
        <w:pStyle w:val="ListParagraph"/>
        <w:numPr>
          <w:ilvl w:val="0"/>
          <w:numId w:val="1"/>
        </w:numPr>
        <w:spacing w:before="40" w:after="40"/>
      </w:pPr>
      <w:r>
        <w:rPr>
          <w:color w:val="333333"/>
        </w:rPr>
        <w:t>Separate international equity analysis into Developed Markets (EFA, IEFA) and Emerging Markets (EEM, IEMG). These respond to fundamentally different macro drivers and should not be treated as a single category.</w:t>
      </w:r>
    </w:p>
    <w:p w14:paraId="0B000027" w14:textId="77777777" w:rsidR="00EC7F1F" w:rsidRDefault="00000B03">
      <w:pPr>
        <w:pStyle w:val="ListParagraph"/>
        <w:numPr>
          <w:ilvl w:val="0"/>
          <w:numId w:val="1"/>
        </w:numPr>
        <w:spacing w:before="40" w:after="40"/>
      </w:pPr>
      <w:r>
        <w:rPr>
          <w:color w:val="333333"/>
        </w:rPr>
        <w:t>Developed Markets: relative strength vs. U.S. (SPY/EFA ratio) is primarily driven by interest rate differentials, EUR/USD direction, and relative earnings growth. Developed market outperformance typically coincides with dollar weakness and European/Japanese economic recovery.</w:t>
      </w:r>
    </w:p>
    <w:p w14:paraId="0B000028" w14:textId="77777777" w:rsidR="00EC7F1F" w:rsidRDefault="00000B03">
      <w:pPr>
        <w:pStyle w:val="ListParagraph"/>
        <w:numPr>
          <w:ilvl w:val="0"/>
          <w:numId w:val="1"/>
        </w:numPr>
        <w:spacing w:before="40" w:after="40"/>
      </w:pPr>
      <w:r>
        <w:rPr>
          <w:color w:val="333333"/>
        </w:rPr>
        <w:t>Emerging Markets: relative strength vs. U.S. (SPY/EEM ratio) is driven by dollar direction, commodity prices, and global growth expectations. EM outperformance correlates strongly with commodity currency strength (Step 1.1b) and industrial metals leadership (Step 1.3a).</w:t>
      </w:r>
    </w:p>
    <w:p w14:paraId="0B000029" w14:textId="77777777" w:rsidR="00EC7F1F" w:rsidRDefault="00000B03">
      <w:pPr>
        <w:pStyle w:val="ListParagraph"/>
        <w:numPr>
          <w:ilvl w:val="0"/>
          <w:numId w:val="1"/>
        </w:numPr>
        <w:spacing w:before="40" w:after="40"/>
      </w:pPr>
      <w:r>
        <w:rPr>
          <w:color w:val="333333"/>
        </w:rPr>
        <w:t>Track both ratios across 1-month, 3-month, and 6-month windows using the same multi-timeframe framework applied to the CRS formula. Record the direction and acceleration of each ratio.</w:t>
      </w:r>
    </w:p>
    <w:p w14:paraId="0B00002A" w14:textId="77777777" w:rsidR="00EC7F1F" w:rsidRDefault="00000B03">
      <w:pPr>
        <w:spacing w:before="40" w:after="60"/>
      </w:pPr>
      <w:r>
        <w:rPr>
          <w:i/>
          <w:iCs/>
          <w:color w:val="777777"/>
          <w:sz w:val="18"/>
          <w:szCs w:val="18"/>
        </w:rPr>
        <w:t>Dimson, Marsh &amp; Staunton (2002), Triumph of the Optimists; Asness, Israelov &amp; Liew (2011), International Diversification Works (Eventually)</w:t>
      </w:r>
    </w:p>
    <w:p w14:paraId="6AC46B88" w14:textId="77777777" w:rsidR="00EC7F1F" w:rsidRDefault="00000B03">
      <w:pPr>
        <w:pStyle w:val="Heading3"/>
      </w:pPr>
      <w:bookmarkStart w:id="8" w:name="_Toc224818107"/>
      <w:r>
        <w:t>Step 1.5: Construct the Liquidity Roadmap</w:t>
      </w:r>
      <w:bookmarkEnd w:id="8"/>
    </w:p>
    <w:p w14:paraId="0C5E42DC" w14:textId="77777777" w:rsidR="00EC7F1F" w:rsidRDefault="00000B03">
      <w:pPr>
        <w:spacing w:before="60" w:after="80"/>
      </w:pPr>
      <w:r>
        <w:rPr>
          <w:color w:val="333333"/>
        </w:rPr>
        <w:t>Synthesize findings from Steps 1.1–1.4 to identify the current liquidity regime:</w:t>
      </w:r>
    </w:p>
    <w:p w14:paraId="1737AE8B" w14:textId="77777777" w:rsidR="00EC7F1F" w:rsidRDefault="00000B03">
      <w:pPr>
        <w:pStyle w:val="ListParagraph"/>
        <w:numPr>
          <w:ilvl w:val="0"/>
          <w:numId w:val="6"/>
        </w:numPr>
        <w:spacing w:before="40" w:after="40"/>
      </w:pPr>
      <w:r>
        <w:rPr>
          <w:b/>
          <w:bCs/>
          <w:color w:val="333333"/>
        </w:rPr>
        <w:t>Expansionary Regime: weakening dollar, falling real yields, rising commodity prices, offensive sector leadership</w:t>
      </w:r>
    </w:p>
    <w:p w14:paraId="4E2FBBF3" w14:textId="77777777" w:rsidR="00EC7F1F" w:rsidRDefault="00000B03">
      <w:pPr>
        <w:pStyle w:val="ListParagraph"/>
        <w:numPr>
          <w:ilvl w:val="0"/>
          <w:numId w:val="6"/>
        </w:numPr>
        <w:spacing w:before="40" w:after="40"/>
      </w:pPr>
      <w:r>
        <w:rPr>
          <w:b/>
          <w:bCs/>
          <w:color w:val="333333"/>
        </w:rPr>
        <w:t>Contractionary Regime: strengthening dollar, rising real yields, falling commodity prices, defensive sector leadership</w:t>
      </w:r>
    </w:p>
    <w:p w14:paraId="184A2EA0" w14:textId="77777777" w:rsidR="00EC7F1F" w:rsidRDefault="00000B03">
      <w:pPr>
        <w:pStyle w:val="ListParagraph"/>
        <w:numPr>
          <w:ilvl w:val="0"/>
          <w:numId w:val="6"/>
        </w:numPr>
        <w:spacing w:before="40" w:after="40"/>
      </w:pPr>
      <w:r>
        <w:rPr>
          <w:b/>
          <w:bCs/>
          <w:color w:val="333333"/>
        </w:rPr>
        <w:t>Transitional Regime: mixed signals across indicators suggesting potential regime shift</w:t>
      </w:r>
    </w:p>
    <w:p w14:paraId="70EB5F54" w14:textId="77777777" w:rsidR="00EC7F1F" w:rsidRDefault="00000B03">
      <w:pPr>
        <w:spacing w:before="60" w:after="80"/>
      </w:pPr>
      <w:r>
        <w:rPr>
          <w:color w:val="333333"/>
        </w:rPr>
        <w:t>Document the current regime classification with a confidence assessment (high/medium/low) and note any signals that are inconsistent with the primary classification.</w:t>
      </w:r>
    </w:p>
    <w:p w14:paraId="0B00002B" w14:textId="77777777" w:rsidR="00EC7F1F" w:rsidRDefault="00000B03">
      <w:pPr>
        <w:pStyle w:val="Heading3"/>
        <w:spacing w:after="100"/>
      </w:pPr>
      <w:r>
        <w:t>Step 1.5a: Construct the Intermarket Confirmation Matrix</w:t>
      </w:r>
    </w:p>
    <w:p w14:paraId="0B00002C" w14:textId="77777777" w:rsidR="00EC7F1F" w:rsidRDefault="00000B03">
      <w:pPr>
        <w:spacing w:before="40" w:after="60"/>
      </w:pPr>
      <w:r>
        <w:rPr>
          <w:color w:val="333333"/>
        </w:rPr>
        <w:t>Before finalizing the regime classification, systematically verify that the signals from each asset class and sub-category are confirming or diverging. This matrix transforms the regime assessment from a narrative exercise into a structured, repeatable procedure.</w:t>
      </w:r>
    </w:p>
    <w:p w14:paraId="0B00002D" w14:textId="77777777" w:rsidR="00EC7F1F" w:rsidRDefault="00000B03">
      <w:pPr>
        <w:pStyle w:val="ListParagraph"/>
        <w:numPr>
          <w:ilvl w:val="0"/>
          <w:numId w:val="1"/>
        </w:numPr>
        <w:spacing w:before="40" w:after="40"/>
      </w:pPr>
      <w:r>
        <w:rPr>
          <w:color w:val="333333"/>
        </w:rPr>
        <w:t>Map the liquidity flow sequence: Dollar direction (Step 1.1) -&gt; Bond market/credit signals (Step 1.2) -&gt; Commodity momentum (Step 1.3) -&gt; Equity rotation (Step 1.4). Verify that each link in the chain is confirming. When the chain breaks (e.g., commodities rising but equities not following), flag this as a potential regime transition signal.</w:t>
      </w:r>
    </w:p>
    <w:p w14:paraId="0B00002E" w14:textId="77777777" w:rsidR="00EC7F1F" w:rsidRDefault="00000B03">
      <w:pPr>
        <w:pStyle w:val="ListParagraph"/>
        <w:numPr>
          <w:ilvl w:val="0"/>
          <w:numId w:val="1"/>
        </w:numPr>
        <w:spacing w:before="40" w:after="40"/>
      </w:pPr>
      <w:r>
        <w:rPr>
          <w:color w:val="333333"/>
        </w:rPr>
        <w:lastRenderedPageBreak/>
        <w:t>Cross-reference currency risk sentiment (EUR/JPY from Step 1.1c) with equity momentum and credit spreads (HY-to-IG from Step 1.2b). Alignment confirms the regime; divergence increases the probability of an imminent transition.</w:t>
      </w:r>
    </w:p>
    <w:p w14:paraId="0B00002F" w14:textId="77777777" w:rsidR="00EC7F1F" w:rsidRDefault="00000B03">
      <w:pPr>
        <w:pStyle w:val="ListParagraph"/>
        <w:numPr>
          <w:ilvl w:val="0"/>
          <w:numId w:val="1"/>
        </w:numPr>
        <w:spacing w:before="40" w:after="40"/>
      </w:pPr>
      <w:r>
        <w:rPr>
          <w:color w:val="333333"/>
        </w:rPr>
        <w:t>Verify commodity sub-category leadership (Step 1.3a) is consistent with equity capitalization tier rotation (Step 1.4a): industrial metals leading + small caps leading = strong expansionary confirmation. Precious metals leading + large caps leading = contractionary confirmation.</w:t>
      </w:r>
    </w:p>
    <w:p w14:paraId="0B000030" w14:textId="77777777" w:rsidR="00EC7F1F" w:rsidRDefault="00000B03">
      <w:pPr>
        <w:pStyle w:val="ListParagraph"/>
        <w:numPr>
          <w:ilvl w:val="0"/>
          <w:numId w:val="1"/>
        </w:numPr>
        <w:spacing w:before="40" w:after="40"/>
      </w:pPr>
      <w:r>
        <w:rPr>
          <w:color w:val="333333"/>
        </w:rPr>
        <w:t>Check international equity direction (Step 1.4b) against dollar direction (Step 1.1): dollar weakening should coincide with EM/developed market outperformance. Dollar strengthening should coincide with U.S. outperformance. Divergence signals capital flow dislocation.</w:t>
      </w:r>
    </w:p>
    <w:p w14:paraId="0B000031" w14:textId="77777777" w:rsidR="00EC7F1F" w:rsidRDefault="00000B03">
      <w:pPr>
        <w:spacing w:before="40" w:after="60"/>
      </w:pPr>
      <w:r>
        <w:rPr>
          <w:b/>
          <w:bCs/>
          <w:color w:val="333333"/>
        </w:rPr>
        <w:t>Count the number of confirming vs. diverging signals across all sub-categories:</w:t>
      </w:r>
    </w:p>
    <w:p w14:paraId="0B000032" w14:textId="77777777" w:rsidR="00EC7F1F" w:rsidRDefault="00000B03">
      <w:pPr>
        <w:pStyle w:val="ListParagraph"/>
        <w:numPr>
          <w:ilvl w:val="0"/>
          <w:numId w:val="1"/>
        </w:numPr>
        <w:spacing w:before="40" w:after="40"/>
      </w:pPr>
      <w:r>
        <w:rPr>
          <w:color w:val="333333"/>
        </w:rPr>
        <w:t>8+ of 10 confirming: HIGH confidence regime classification. Full strategy deployment warranted.</w:t>
      </w:r>
    </w:p>
    <w:p w14:paraId="0B000033" w14:textId="77777777" w:rsidR="00EC7F1F" w:rsidRDefault="00000B03">
      <w:pPr>
        <w:pStyle w:val="ListParagraph"/>
        <w:numPr>
          <w:ilvl w:val="0"/>
          <w:numId w:val="1"/>
        </w:numPr>
        <w:spacing w:before="40" w:after="40"/>
      </w:pPr>
      <w:r>
        <w:rPr>
          <w:color w:val="333333"/>
        </w:rPr>
        <w:t>6-7 of 10 confirming: MEDIUM confidence. Deploy with reduced position sizing and heightened monitoring.</w:t>
      </w:r>
    </w:p>
    <w:p w14:paraId="0B000034" w14:textId="77777777" w:rsidR="00EC7F1F" w:rsidRDefault="00000B03">
      <w:pPr>
        <w:pStyle w:val="ListParagraph"/>
        <w:numPr>
          <w:ilvl w:val="0"/>
          <w:numId w:val="1"/>
        </w:numPr>
        <w:spacing w:before="40" w:after="40"/>
      </w:pPr>
      <w:r>
        <w:rPr>
          <w:color w:val="333333"/>
        </w:rPr>
        <w:t>5 or fewer confirming: LOW confidence / TRANSITIONAL classification. Reduce exposure, diversify across strategy types, and increase review frequency to daily.</w:t>
      </w:r>
    </w:p>
    <w:p w14:paraId="0B000035" w14:textId="77777777" w:rsidR="00EC7F1F" w:rsidRDefault="00000B03">
      <w:pPr>
        <w:spacing w:before="40" w:after="60"/>
      </w:pPr>
      <w:r>
        <w:rPr>
          <w:i/>
          <w:iCs/>
          <w:color w:val="777777"/>
          <w:sz w:val="18"/>
          <w:szCs w:val="18"/>
        </w:rPr>
        <w:t>Murphy (2004), Intermarket Analysis; Pring (2014), The All-Season Investor; Faber (2007), A Quantitative Approach to Tactical Asset Allocation</w:t>
      </w:r>
    </w:p>
    <w:p w14:paraId="10B503FE" w14:textId="77777777" w:rsidR="00EC7F1F" w:rsidRDefault="00EC7F1F">
      <w:pPr>
        <w:spacing w:before="1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6310CDD3" w14:textId="77777777">
        <w:tc>
          <w:tcPr>
            <w:tcW w:w="8400" w:type="dxa"/>
            <w:tcBorders>
              <w:top w:val="single" w:sz="2" w:space="0" w:color="2E7D32"/>
              <w:left w:val="single" w:sz="6" w:space="0" w:color="2E7D32"/>
              <w:bottom w:val="single" w:sz="2" w:space="0" w:color="2E7D32"/>
              <w:right w:val="single" w:sz="2" w:space="0" w:color="2E7D32"/>
            </w:tcBorders>
            <w:shd w:val="clear" w:color="auto" w:fill="E8F5E9"/>
            <w:tcMar>
              <w:top w:w="80" w:type="dxa"/>
              <w:left w:w="160" w:type="dxa"/>
              <w:bottom w:w="80" w:type="dxa"/>
              <w:right w:w="120" w:type="dxa"/>
            </w:tcMar>
          </w:tcPr>
          <w:p w14:paraId="0B66DF19" w14:textId="77777777" w:rsidR="00EC7F1F" w:rsidRDefault="00000B03">
            <w:pPr>
              <w:spacing w:after="60"/>
            </w:pPr>
            <w:r>
              <w:rPr>
                <w:b/>
                <w:bCs/>
                <w:color w:val="2E7D32"/>
                <w:sz w:val="20"/>
                <w:szCs w:val="20"/>
              </w:rPr>
              <w:t>✓ Phase 1 Outputs</w:t>
            </w:r>
          </w:p>
          <w:p w14:paraId="048981ED" w14:textId="77777777" w:rsidR="00EC7F1F" w:rsidRDefault="00000B03">
            <w:pPr>
              <w:spacing w:before="20" w:after="20"/>
            </w:pPr>
            <w:r>
              <w:rPr>
                <w:color w:val="555555"/>
                <w:sz w:val="18"/>
                <w:szCs w:val="18"/>
              </w:rPr>
              <w:t xml:space="preserve">    •  Current liquidity regime classification (Expansionary / Contractionary / Transitional)     •  Regime confidence score based on intermarket confirmation matrix (HIGH / MEDIUM / LOW)     •  DXY component analysis: which currencies are driving the dollar trend     •  Risk sentiment reading: EUR/JPY and AUD/JPY direction and carry trade status     •  Commodity currency basket direction (confirming or diverging from commodity momentum)</w:t>
            </w:r>
          </w:p>
          <w:p w14:paraId="2A4A0B49" w14:textId="77777777" w:rsidR="00EC7F1F" w:rsidRDefault="00000B03">
            <w:pPr>
              <w:spacing w:before="20" w:after="20"/>
            </w:pPr>
            <w:r>
              <w:rPr>
                <w:color w:val="555555"/>
                <w:sz w:val="18"/>
                <w:szCs w:val="18"/>
              </w:rPr>
              <w:t xml:space="preserve">    •  Regime confidence assessment (High / Medium / Low)</w:t>
            </w:r>
          </w:p>
          <w:p w14:paraId="759FAD1C" w14:textId="77777777" w:rsidR="00EC7F1F" w:rsidRDefault="00000B03">
            <w:pPr>
              <w:spacing w:before="20" w:after="20"/>
            </w:pPr>
            <w:r>
              <w:rPr>
                <w:color w:val="555555"/>
                <w:sz w:val="18"/>
                <w:szCs w:val="18"/>
              </w:rPr>
              <w:t xml:space="preserve">    •  Asset class ranking by momentum and relative strength</w:t>
            </w:r>
          </w:p>
          <w:p w14:paraId="09C0F0DA" w14:textId="77777777" w:rsidR="00EC7F1F" w:rsidRDefault="00000B03">
            <w:pPr>
              <w:spacing w:before="20" w:after="20"/>
            </w:pPr>
            <w:r>
              <w:rPr>
                <w:color w:val="555555"/>
                <w:sz w:val="18"/>
                <w:szCs w:val="18"/>
              </w:rPr>
              <w:t xml:space="preserve">    •  Liquidity roadmap identifying the expected direction of capital flows</w:t>
            </w:r>
          </w:p>
          <w:p w14:paraId="49E4A167" w14:textId="77777777" w:rsidR="00EC7F1F" w:rsidRDefault="00000B03">
            <w:pPr>
              <w:spacing w:before="20" w:after="20"/>
            </w:pPr>
            <w:r>
              <w:rPr>
                <w:color w:val="555555"/>
                <w:sz w:val="18"/>
                <w:szCs w:val="18"/>
              </w:rPr>
              <w:t xml:space="preserve">    •  Bond duration rotation direction and credit cycle positioning (HY-to-IG spread status)     •  Commodity sub-category ranking: Energy / Agriculture / Precious Metals / Industrial Metals     •  Equity capitalization tier ranking: Large Cap / Mid Cap / Small Cap with leadership signal     •  International equity decomposition: Developed Markets and Emerging Markets RS vs. U.S.     •  Intermarket confirmation matrix: number of confirming vs. diverging signals across sub-categories     •  Key risk factors and regime transition signals to monitor</w:t>
            </w:r>
          </w:p>
        </w:tc>
      </w:tr>
    </w:tbl>
    <w:p w14:paraId="16B4F697" w14:textId="77777777" w:rsidR="00EC7F1F" w:rsidRDefault="00000B0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C7F1F" w14:paraId="78B05DA7" w14:textId="77777777">
        <w:tc>
          <w:tcPr>
            <w:tcW w:w="1200" w:type="dxa"/>
            <w:shd w:val="clear" w:color="auto" w:fill="1B2A4A"/>
            <w:tcMar>
              <w:top w:w="120" w:type="dxa"/>
              <w:left w:w="120" w:type="dxa"/>
              <w:bottom w:w="120" w:type="dxa"/>
              <w:right w:w="80" w:type="dxa"/>
            </w:tcMar>
            <w:vAlign w:val="center"/>
          </w:tcPr>
          <w:p w14:paraId="3764B7A7" w14:textId="77777777" w:rsidR="00EC7F1F" w:rsidRDefault="00000B03">
            <w:pPr>
              <w:jc w:val="center"/>
            </w:pPr>
            <w:r>
              <w:rPr>
                <w:b/>
                <w:bCs/>
                <w:color w:val="FFFFFF"/>
              </w:rPr>
              <w:lastRenderedPageBreak/>
              <w:t>PHASE 2</w:t>
            </w:r>
          </w:p>
        </w:tc>
        <w:tc>
          <w:tcPr>
            <w:tcW w:w="8160" w:type="dxa"/>
            <w:shd w:val="clear" w:color="auto" w:fill="D5E8F8"/>
            <w:tcMar>
              <w:top w:w="120" w:type="dxa"/>
              <w:left w:w="160" w:type="dxa"/>
              <w:bottom w:w="120" w:type="dxa"/>
              <w:right w:w="120" w:type="dxa"/>
            </w:tcMar>
            <w:vAlign w:val="center"/>
          </w:tcPr>
          <w:p w14:paraId="2DE64F5F" w14:textId="77777777" w:rsidR="00EC7F1F" w:rsidRDefault="00000B03">
            <w:pPr>
              <w:spacing w:after="40"/>
            </w:pPr>
            <w:r>
              <w:rPr>
                <w:b/>
                <w:bCs/>
                <w:color w:val="1B2A4A"/>
                <w:sz w:val="26"/>
                <w:szCs w:val="26"/>
              </w:rPr>
              <w:t>Asset Class Momentum Scoring</w:t>
            </w:r>
          </w:p>
          <w:p w14:paraId="777FB0D9" w14:textId="77777777" w:rsidR="00EC7F1F" w:rsidRDefault="00000B03">
            <w:r>
              <w:rPr>
                <w:i/>
                <w:iCs/>
                <w:color w:val="2E5090"/>
                <w:sz w:val="20"/>
                <w:szCs w:val="20"/>
              </w:rPr>
              <w:t>Quantify momentum across major asset classes using dual momentum framework</w:t>
            </w:r>
          </w:p>
        </w:tc>
      </w:tr>
    </w:tbl>
    <w:p w14:paraId="2105D45E" w14:textId="77777777" w:rsidR="00EC7F1F" w:rsidRDefault="00000B03">
      <w:pPr>
        <w:spacing w:before="60" w:after="80"/>
      </w:pPr>
      <w:r>
        <w:rPr>
          <w:color w:val="333333"/>
        </w:rPr>
        <w:t>Asset class momentum captures broad economic forces and liquidity flows that move entire categories of investments in persistent directional trends. Unlike security-specific momentum, asset class momentum typically demonstrates greater longevity and stems from fundamental structural drivers.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1B8FB037" w14:textId="77777777">
        <w:tc>
          <w:tcPr>
            <w:tcW w:w="8400" w:type="dxa"/>
            <w:tcBorders>
              <w:top w:val="single" w:sz="2" w:space="0" w:color="2E5090"/>
              <w:left w:val="single" w:sz="6" w:space="0" w:color="2E5090"/>
              <w:bottom w:val="single" w:sz="2" w:space="0" w:color="2E5090"/>
              <w:right w:val="single" w:sz="2" w:space="0" w:color="2E5090"/>
            </w:tcBorders>
            <w:shd w:val="clear" w:color="auto" w:fill="EBF3FC"/>
            <w:tcMar>
              <w:top w:w="80" w:type="dxa"/>
              <w:left w:w="160" w:type="dxa"/>
              <w:bottom w:w="80" w:type="dxa"/>
              <w:right w:w="120" w:type="dxa"/>
            </w:tcMar>
          </w:tcPr>
          <w:p w14:paraId="77B0E7FF" w14:textId="77777777" w:rsidR="00EC7F1F" w:rsidRDefault="00000B03">
            <w:pPr>
              <w:spacing w:after="60"/>
            </w:pPr>
            <w:r>
              <w:rPr>
                <w:b/>
                <w:bCs/>
                <w:color w:val="2E5090"/>
                <w:sz w:val="20"/>
                <w:szCs w:val="20"/>
              </w:rPr>
              <w:t>▶ Required Inputs</w:t>
            </w:r>
          </w:p>
          <w:p w14:paraId="58C11746" w14:textId="77777777" w:rsidR="00EC7F1F" w:rsidRDefault="00000B03">
            <w:pPr>
              <w:spacing w:before="20" w:after="20"/>
            </w:pPr>
            <w:r>
              <w:rPr>
                <w:color w:val="555555"/>
                <w:sz w:val="18"/>
                <w:szCs w:val="18"/>
              </w:rPr>
              <w:t xml:space="preserve">    •  Phase 1 outputs: Liquidity regime classification and capital flow direction</w:t>
            </w:r>
          </w:p>
          <w:p w14:paraId="02A6B904" w14:textId="77777777" w:rsidR="00EC7F1F" w:rsidRDefault="00000B03">
            <w:pPr>
              <w:spacing w:before="20" w:after="20"/>
            </w:pPr>
            <w:r>
              <w:rPr>
                <w:color w:val="555555"/>
                <w:sz w:val="18"/>
                <w:szCs w:val="18"/>
              </w:rPr>
              <w:t xml:space="preserve">    •  Price data for major asset class proxies (SPY, TLT, GLD, DBC, UUP, EFA, EEM, IWM)</w:t>
            </w:r>
          </w:p>
          <w:p w14:paraId="51148719" w14:textId="77777777" w:rsidR="00EC7F1F" w:rsidRDefault="00000B03">
            <w:pPr>
              <w:spacing w:before="20" w:after="20"/>
            </w:pPr>
            <w:r>
              <w:rPr>
                <w:color w:val="555555"/>
                <w:sz w:val="18"/>
                <w:szCs w:val="18"/>
              </w:rPr>
              <w:t xml:space="preserve">    •  Risk-free rate (3-month T-Bill yield or equivalent)</w:t>
            </w:r>
          </w:p>
        </w:tc>
      </w:tr>
    </w:tbl>
    <w:p w14:paraId="7267E832" w14:textId="77777777" w:rsidR="00EC7F1F" w:rsidRDefault="00EC7F1F">
      <w:pPr>
        <w:spacing w:before="120"/>
      </w:pPr>
    </w:p>
    <w:p w14:paraId="1743CB8A" w14:textId="77777777" w:rsidR="00EC7F1F" w:rsidRDefault="00000B03">
      <w:pPr>
        <w:pStyle w:val="Heading3"/>
      </w:pPr>
      <w:bookmarkStart w:id="9" w:name="_Toc224818108"/>
      <w:r>
        <w:t>Step 2.1: Calculate Relative Momentum (Cross-Sectional)</w:t>
      </w:r>
      <w:bookmarkEnd w:id="9"/>
    </w:p>
    <w:p w14:paraId="1EE42CE6" w14:textId="77777777" w:rsidR="00EC7F1F" w:rsidRDefault="00000B03">
      <w:pPr>
        <w:pStyle w:val="ListParagraph"/>
        <w:numPr>
          <w:ilvl w:val="0"/>
          <w:numId w:val="7"/>
        </w:numPr>
        <w:spacing w:before="40" w:after="40"/>
      </w:pPr>
      <w:r>
        <w:rPr>
          <w:color w:val="333333"/>
        </w:rPr>
        <w:t>Compute total returns for each asset class across 3-month, 6-month, and 12-month lookback periods</w:t>
      </w:r>
    </w:p>
    <w:p w14:paraId="329B3D23" w14:textId="77777777" w:rsidR="00EC7F1F" w:rsidRDefault="00000B03">
      <w:pPr>
        <w:pStyle w:val="ListParagraph"/>
        <w:numPr>
          <w:ilvl w:val="0"/>
          <w:numId w:val="7"/>
        </w:numPr>
        <w:spacing w:before="40" w:after="40"/>
      </w:pPr>
      <w:r>
        <w:rPr>
          <w:color w:val="333333"/>
        </w:rPr>
        <w:t>Calculate composite relative strength score using weighted formula: Composite RS = (0.2 × 3m) + (0.5 × 6m) + (0.3 × 12m)</w:t>
      </w:r>
    </w:p>
    <w:p w14:paraId="0885296E" w14:textId="77777777" w:rsidR="00EC7F1F" w:rsidRDefault="00000B03">
      <w:pPr>
        <w:pStyle w:val="ListParagraph"/>
        <w:numPr>
          <w:ilvl w:val="0"/>
          <w:numId w:val="7"/>
        </w:numPr>
        <w:spacing w:before="40" w:after="40"/>
      </w:pPr>
      <w:r>
        <w:rPr>
          <w:color w:val="333333"/>
        </w:rPr>
        <w:t>Rank all asset classes from strongest to weakest based on composite score</w:t>
      </w:r>
    </w:p>
    <w:p w14:paraId="77931FE6" w14:textId="77777777" w:rsidR="00EC7F1F" w:rsidRDefault="00000B03">
      <w:pPr>
        <w:pStyle w:val="ListParagraph"/>
        <w:numPr>
          <w:ilvl w:val="0"/>
          <w:numId w:val="7"/>
        </w:numPr>
        <w:spacing w:before="40" w:after="40"/>
      </w:pPr>
      <w:r>
        <w:rPr>
          <w:color w:val="333333"/>
        </w:rPr>
        <w:t>Identify the top-ranked asset classes that are benefiting from current liquidity conditions</w:t>
      </w:r>
    </w:p>
    <w:p w14:paraId="623BAA92" w14:textId="77777777" w:rsidR="00EC7F1F" w:rsidRDefault="00000B03">
      <w:pPr>
        <w:spacing w:before="40" w:after="60"/>
        <w:ind w:left="720"/>
      </w:pPr>
      <w:r>
        <w:rPr>
          <w:i/>
          <w:iCs/>
          <w:color w:val="777777"/>
          <w:sz w:val="18"/>
          <w:szCs w:val="18"/>
        </w:rPr>
        <w:t>Asness, Moskowitz &amp; Pedersen (2013), Value and Momentum Everywhere</w:t>
      </w:r>
    </w:p>
    <w:p w14:paraId="0B000036" w14:textId="77777777" w:rsidR="00EC7F1F" w:rsidRDefault="00000B03">
      <w:pPr>
        <w:pStyle w:val="Heading3"/>
        <w:spacing w:after="100"/>
      </w:pPr>
      <w:r>
        <w:t>Step 2.1a: Extend Relative Momentum to Asset Class Sub-Categories</w:t>
      </w:r>
    </w:p>
    <w:p w14:paraId="0B000037" w14:textId="77777777" w:rsidR="00EC7F1F" w:rsidRDefault="00000B03">
      <w:pPr>
        <w:spacing w:before="40" w:after="60"/>
      </w:pPr>
      <w:r>
        <w:rPr>
          <w:color w:val="333333"/>
        </w:rPr>
        <w:t>Apply the same composite RS formula to sub-categories within each approved asset class, creating a second layer of relative momentum ranking:</w:t>
      </w:r>
    </w:p>
    <w:p w14:paraId="0B000038" w14:textId="77777777" w:rsidR="00EC7F1F" w:rsidRDefault="00000B03">
      <w:pPr>
        <w:pStyle w:val="ListParagraph"/>
        <w:numPr>
          <w:ilvl w:val="0"/>
          <w:numId w:val="1"/>
        </w:numPr>
        <w:spacing w:before="40" w:after="40"/>
      </w:pPr>
      <w:r>
        <w:rPr>
          <w:color w:val="333333"/>
        </w:rPr>
        <w:t>Equity sub-categories: rank Large Cap, Mid Cap, Small Cap, Developed International, and Emerging Markets by composite RS. Identify which tier is leading within the equity allocation.</w:t>
      </w:r>
    </w:p>
    <w:p w14:paraId="0B000039" w14:textId="77777777" w:rsidR="00EC7F1F" w:rsidRDefault="00000B03">
      <w:pPr>
        <w:pStyle w:val="ListParagraph"/>
        <w:numPr>
          <w:ilvl w:val="0"/>
          <w:numId w:val="1"/>
        </w:numPr>
        <w:spacing w:before="40" w:after="40"/>
      </w:pPr>
      <w:r>
        <w:rPr>
          <w:color w:val="333333"/>
        </w:rPr>
        <w:t>Bond sub-categories: rank Government, Municipal, Investment Grade Corporate, and High Yield Corporate by composite RS. Identify whether credit risk or duration risk is being rewarded.</w:t>
      </w:r>
    </w:p>
    <w:p w14:paraId="0B00003A" w14:textId="77777777" w:rsidR="00EC7F1F" w:rsidRDefault="00000B03">
      <w:pPr>
        <w:pStyle w:val="ListParagraph"/>
        <w:numPr>
          <w:ilvl w:val="0"/>
          <w:numId w:val="1"/>
        </w:numPr>
        <w:spacing w:before="40" w:after="40"/>
      </w:pPr>
      <w:r>
        <w:rPr>
          <w:color w:val="333333"/>
        </w:rPr>
        <w:t>Commodity sub-categories: rank Energy, Agriculture, Precious Metals, and Industrial Metals by composite RS. The leading sub-category identifies the dominant macro theme within the commodity allocation.</w:t>
      </w:r>
    </w:p>
    <w:p w14:paraId="0B00003B" w14:textId="77777777" w:rsidR="00EC7F1F" w:rsidRDefault="00000B03">
      <w:pPr>
        <w:pStyle w:val="ListParagraph"/>
        <w:numPr>
          <w:ilvl w:val="0"/>
          <w:numId w:val="1"/>
        </w:numPr>
        <w:spacing w:before="40" w:after="40"/>
      </w:pPr>
      <w:r>
        <w:rPr>
          <w:color w:val="333333"/>
        </w:rPr>
        <w:t>Currency pairs: rank the six DXY components and commodity currencies by RS to confirm which specific capital flow dynamics are driving the dollar trend.</w:t>
      </w:r>
    </w:p>
    <w:p w14:paraId="0B00003C" w14:textId="77777777" w:rsidR="00EC7F1F" w:rsidRDefault="00000B03">
      <w:pPr>
        <w:spacing w:before="40" w:after="60"/>
      </w:pPr>
      <w:r>
        <w:rPr>
          <w:color w:val="333333"/>
        </w:rPr>
        <w:t>The sub-category rankings determine allocation tilts within each asset class. For example, if equities are the top-ranked asset class and small caps are the top-ranked equity sub-category, the framework directs overweight allocation toward small-cap equities specifically.</w:t>
      </w:r>
    </w:p>
    <w:p w14:paraId="260B9229" w14:textId="77777777" w:rsidR="00EC7F1F" w:rsidRDefault="00000B03">
      <w:pPr>
        <w:pStyle w:val="Heading3"/>
      </w:pPr>
      <w:bookmarkStart w:id="10" w:name="_Toc224818109"/>
      <w:r>
        <w:t>Step 2.2: Calculate Absolute Momentum (Time-Series)</w:t>
      </w:r>
      <w:bookmarkEnd w:id="10"/>
    </w:p>
    <w:p w14:paraId="24F2F0AF" w14:textId="77777777" w:rsidR="00EC7F1F" w:rsidRDefault="00000B03">
      <w:pPr>
        <w:pStyle w:val="ListParagraph"/>
        <w:numPr>
          <w:ilvl w:val="0"/>
          <w:numId w:val="8"/>
        </w:numPr>
        <w:spacing w:before="40" w:after="40"/>
      </w:pPr>
      <w:r>
        <w:rPr>
          <w:color w:val="333333"/>
        </w:rPr>
        <w:t>For each asset class, determine if the total return over the lookback period exceeds the risk-free rate</w:t>
      </w:r>
    </w:p>
    <w:p w14:paraId="17082F7C" w14:textId="77777777" w:rsidR="00EC7F1F" w:rsidRDefault="00000B03">
      <w:pPr>
        <w:pStyle w:val="ListParagraph"/>
        <w:numPr>
          <w:ilvl w:val="0"/>
          <w:numId w:val="8"/>
        </w:numPr>
        <w:spacing w:before="40" w:after="40"/>
      </w:pPr>
      <w:r>
        <w:rPr>
          <w:color w:val="333333"/>
        </w:rPr>
        <w:t>Evaluate trend confirmation: Is price above the 200-day moving average?</w:t>
      </w:r>
    </w:p>
    <w:p w14:paraId="30126D95" w14:textId="77777777" w:rsidR="00EC7F1F" w:rsidRDefault="00000B03">
      <w:pPr>
        <w:pStyle w:val="ListParagraph"/>
        <w:numPr>
          <w:ilvl w:val="0"/>
          <w:numId w:val="8"/>
        </w:numPr>
        <w:spacing w:before="40" w:after="40"/>
      </w:pPr>
      <w:r>
        <w:rPr>
          <w:color w:val="333333"/>
        </w:rPr>
        <w:t>Assess moving average alignment: Is the 50-day MA above the 200-day MA?</w:t>
      </w:r>
    </w:p>
    <w:p w14:paraId="4E02B62F" w14:textId="77777777" w:rsidR="00EC7F1F" w:rsidRDefault="00000B03">
      <w:pPr>
        <w:pStyle w:val="ListParagraph"/>
        <w:numPr>
          <w:ilvl w:val="0"/>
          <w:numId w:val="8"/>
        </w:numPr>
        <w:spacing w:before="40" w:after="40"/>
      </w:pPr>
      <w:r>
        <w:rPr>
          <w:color w:val="333333"/>
        </w:rPr>
        <w:lastRenderedPageBreak/>
        <w:t>Assign a binary absolute momentum signal: Positive (bullish) or Negative (bearish) for each asset class</w:t>
      </w:r>
    </w:p>
    <w:p w14:paraId="591406BC" w14:textId="77777777" w:rsidR="00EC7F1F" w:rsidRDefault="00000B03">
      <w:pPr>
        <w:spacing w:before="40" w:after="60"/>
        <w:ind w:left="720"/>
      </w:pPr>
      <w:r>
        <w:rPr>
          <w:i/>
          <w:iCs/>
          <w:color w:val="777777"/>
          <w:sz w:val="18"/>
          <w:szCs w:val="18"/>
        </w:rPr>
        <w:t>Moskowitz, Ooi &amp; Pedersen (2012), Time Series Momentum; Antonacci (2017), Dual Momentum Investing</w:t>
      </w:r>
    </w:p>
    <w:p w14:paraId="0B00003D" w14:textId="77777777" w:rsidR="00EC7F1F" w:rsidRDefault="00000B03">
      <w:pPr>
        <w:pStyle w:val="Heading3"/>
        <w:spacing w:after="100"/>
      </w:pPr>
      <w:r>
        <w:t>Step 2.2a: Calculate Absolute Momentum for Sub-Categories</w:t>
      </w:r>
    </w:p>
    <w:p w14:paraId="0B00003E" w14:textId="77777777" w:rsidR="00EC7F1F" w:rsidRDefault="00000B03">
      <w:pPr>
        <w:spacing w:before="40" w:after="60"/>
      </w:pPr>
      <w:r>
        <w:rPr>
          <w:color w:val="333333"/>
        </w:rPr>
        <w:t>Apply absolute momentum screening to each sub-category identified in Step 2.1a. This identifies specific pockets of opportunity or risk within a broadly favorable asset class:</w:t>
      </w:r>
    </w:p>
    <w:p w14:paraId="0B00003F" w14:textId="77777777" w:rsidR="00EC7F1F" w:rsidRDefault="00000B03">
      <w:pPr>
        <w:pStyle w:val="ListParagraph"/>
        <w:numPr>
          <w:ilvl w:val="0"/>
          <w:numId w:val="1"/>
        </w:numPr>
        <w:spacing w:before="40" w:after="40"/>
      </w:pPr>
      <w:r>
        <w:rPr>
          <w:color w:val="333333"/>
        </w:rPr>
        <w:t>For each sub-category, calculate: (a) is the total return over the lookback period positive and above the risk-free rate? (b) is price above the 200-day moving average? (c) is the 50-day MA above the 200-day MA?</w:t>
      </w:r>
    </w:p>
    <w:p w14:paraId="0B000040" w14:textId="77777777" w:rsidR="00EC7F1F" w:rsidRDefault="00000B03">
      <w:pPr>
        <w:pStyle w:val="ListParagraph"/>
        <w:numPr>
          <w:ilvl w:val="0"/>
          <w:numId w:val="1"/>
        </w:numPr>
        <w:spacing w:before="40" w:after="40"/>
      </w:pPr>
      <w:r>
        <w:rPr>
          <w:color w:val="333333"/>
        </w:rPr>
        <w:t>A sub-category within a top-ranked asset class that fails absolute momentum screening should be excluded or underweighted even though the parent asset class is favorable. For example, emerging markets may have negative absolute momentum even when U.S. equities are strongly positive.</w:t>
      </w:r>
    </w:p>
    <w:p w14:paraId="0B000041" w14:textId="77777777" w:rsidR="00EC7F1F" w:rsidRDefault="00000B03">
      <w:pPr>
        <w:pStyle w:val="ListParagraph"/>
        <w:numPr>
          <w:ilvl w:val="0"/>
          <w:numId w:val="1"/>
        </w:numPr>
        <w:spacing w:before="40" w:after="40"/>
      </w:pPr>
      <w:r>
        <w:rPr>
          <w:color w:val="333333"/>
        </w:rPr>
        <w:t>Define the minimum criteria for a valid absolute trend signal, applied consistently across all asset classes and sub-categories: price above the 200-day MA, 50-day MA above 200-day MA, and 200-day MA slope positive. All three conditions must be met for a positive absolute momentum classification.</w:t>
      </w:r>
    </w:p>
    <w:p w14:paraId="0B000042" w14:textId="77777777" w:rsidR="00EC7F1F" w:rsidRDefault="00000B03">
      <w:pPr>
        <w:spacing w:before="40" w:after="60"/>
      </w:pPr>
      <w:r>
        <w:rPr>
          <w:i/>
          <w:iCs/>
          <w:color w:val="777777"/>
          <w:sz w:val="18"/>
          <w:szCs w:val="18"/>
        </w:rPr>
        <w:t>Moskowitz, Ooi &amp; Pedersen (2012); Hurst, Ooi &amp; Pedersen (2017), A Century of Evidence on Trend-Following Investing</w:t>
      </w:r>
    </w:p>
    <w:p w14:paraId="70533615" w14:textId="77777777" w:rsidR="00EC7F1F" w:rsidRDefault="00000B03">
      <w:pPr>
        <w:pStyle w:val="Heading3"/>
      </w:pPr>
      <w:bookmarkStart w:id="11" w:name="_Toc224818110"/>
      <w:r>
        <w:t>Step 2.3: Formulate Asset Allocation Strategy</w:t>
      </w:r>
      <w:bookmarkEnd w:id="11"/>
    </w:p>
    <w:p w14:paraId="434EB106" w14:textId="77777777" w:rsidR="00EC7F1F" w:rsidRDefault="00000B03">
      <w:pPr>
        <w:pStyle w:val="ListParagraph"/>
        <w:numPr>
          <w:ilvl w:val="0"/>
          <w:numId w:val="9"/>
        </w:numPr>
        <w:spacing w:before="40" w:after="40"/>
      </w:pPr>
      <w:r>
        <w:rPr>
          <w:color w:val="333333"/>
        </w:rPr>
        <w:t>Overweight asset classes with both strong relative momentum (top-ranked) and positive absolute momentum</w:t>
      </w:r>
    </w:p>
    <w:p w14:paraId="3CEA1483" w14:textId="77777777" w:rsidR="00EC7F1F" w:rsidRDefault="00000B03">
      <w:pPr>
        <w:pStyle w:val="ListParagraph"/>
        <w:numPr>
          <w:ilvl w:val="0"/>
          <w:numId w:val="9"/>
        </w:numPr>
        <w:spacing w:before="40" w:after="40"/>
      </w:pPr>
      <w:r>
        <w:rPr>
          <w:color w:val="333333"/>
        </w:rPr>
        <w:t>Underweight or exclude asset classes with negative absolute momentum regardless of relative ranking</w:t>
      </w:r>
    </w:p>
    <w:p w14:paraId="7B21BD8D" w14:textId="77777777" w:rsidR="00EC7F1F" w:rsidRDefault="00000B03">
      <w:pPr>
        <w:pStyle w:val="ListParagraph"/>
        <w:numPr>
          <w:ilvl w:val="0"/>
          <w:numId w:val="9"/>
        </w:numPr>
        <w:spacing w:before="40" w:after="40"/>
      </w:pPr>
      <w:r>
        <w:rPr>
          <w:color w:val="333333"/>
        </w:rPr>
        <w:t>Allocate based on combined absolute and relative momentum ranks, weighted by regime confidence</w:t>
      </w:r>
    </w:p>
    <w:p w14:paraId="5871D3DD" w14:textId="77777777" w:rsidR="00EC7F1F" w:rsidRDefault="00000B03">
      <w:pPr>
        <w:pStyle w:val="ListParagraph"/>
        <w:numPr>
          <w:ilvl w:val="0"/>
          <w:numId w:val="9"/>
        </w:numPr>
        <w:spacing w:before="40" w:after="40"/>
      </w:pPr>
      <w:r>
        <w:rPr>
          <w:color w:val="333333"/>
        </w:rPr>
        <w:t>Ensure allocation is consistent with the liquidity roadmap from Phase 1</w:t>
      </w:r>
    </w:p>
    <w:p w14:paraId="21D9B90D" w14:textId="77777777" w:rsidR="00EC7F1F" w:rsidRDefault="00EC7F1F">
      <w:pPr>
        <w:spacing w:before="1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510947D0" w14:textId="77777777">
        <w:tc>
          <w:tcPr>
            <w:tcW w:w="8400" w:type="dxa"/>
            <w:tcBorders>
              <w:top w:val="single" w:sz="2" w:space="0" w:color="2E7D32"/>
              <w:left w:val="single" w:sz="6" w:space="0" w:color="2E7D32"/>
              <w:bottom w:val="single" w:sz="2" w:space="0" w:color="2E7D32"/>
              <w:right w:val="single" w:sz="2" w:space="0" w:color="2E7D32"/>
            </w:tcBorders>
            <w:shd w:val="clear" w:color="auto" w:fill="E8F5E9"/>
            <w:tcMar>
              <w:top w:w="80" w:type="dxa"/>
              <w:left w:w="160" w:type="dxa"/>
              <w:bottom w:w="80" w:type="dxa"/>
              <w:right w:w="120" w:type="dxa"/>
            </w:tcMar>
          </w:tcPr>
          <w:p w14:paraId="389CF38D" w14:textId="77777777" w:rsidR="00EC7F1F" w:rsidRDefault="00000B03">
            <w:pPr>
              <w:spacing w:after="60"/>
            </w:pPr>
            <w:r>
              <w:rPr>
                <w:b/>
                <w:bCs/>
                <w:color w:val="2E7D32"/>
                <w:sz w:val="20"/>
                <w:szCs w:val="20"/>
              </w:rPr>
              <w:t>✓ Phase 2 Outputs</w:t>
            </w:r>
          </w:p>
          <w:p w14:paraId="78383B2A" w14:textId="77777777" w:rsidR="00EC7F1F" w:rsidRDefault="00000B03">
            <w:pPr>
              <w:spacing w:before="20" w:after="20"/>
            </w:pPr>
            <w:r>
              <w:rPr>
                <w:color w:val="555555"/>
                <w:sz w:val="18"/>
                <w:szCs w:val="18"/>
              </w:rPr>
              <w:t xml:space="preserve">    •  Ranked asset class list with composite relative strength scores</w:t>
            </w:r>
          </w:p>
          <w:p w14:paraId="2042BD62" w14:textId="77777777" w:rsidR="00EC7F1F" w:rsidRDefault="00000B03">
            <w:pPr>
              <w:spacing w:before="20" w:after="20"/>
            </w:pPr>
            <w:r>
              <w:rPr>
                <w:color w:val="555555"/>
                <w:sz w:val="18"/>
                <w:szCs w:val="18"/>
              </w:rPr>
              <w:t xml:space="preserve">    •  Binary absolute momentum classification for each asset class (Positive / Negative)</w:t>
            </w:r>
          </w:p>
          <w:p w14:paraId="3B682D7F" w14:textId="77777777" w:rsidR="00EC7F1F" w:rsidRDefault="00000B03">
            <w:pPr>
              <w:spacing w:before="20" w:after="20"/>
            </w:pPr>
            <w:r>
              <w:rPr>
                <w:color w:val="555555"/>
                <w:sz w:val="18"/>
                <w:szCs w:val="18"/>
              </w:rPr>
              <w:t xml:space="preserve">    •  Target asset allocation percentages aligned with regime and momentum signals</w:t>
            </w:r>
          </w:p>
          <w:p w14:paraId="26A63343" w14:textId="77777777" w:rsidR="00EC7F1F" w:rsidRDefault="00000B03">
            <w:pPr>
              <w:spacing w:before="20" w:after="20"/>
            </w:pPr>
            <w:r>
              <w:rPr>
                <w:color w:val="555555"/>
                <w:sz w:val="18"/>
                <w:szCs w:val="18"/>
              </w:rPr>
              <w:t xml:space="preserve">    •  Asset classes approved for further analysis vs. excluded from consideration     •  Sub-category rankings within each approved asset class (equity tiers, bond categories, commodity sectors)     •  Sub-category absolute momentum screening results (pass/fail for each sub-category)     •  Specific sub-category allocation tilts within each asset class sleeve</w:t>
            </w:r>
          </w:p>
        </w:tc>
      </w:tr>
    </w:tbl>
    <w:p w14:paraId="6C14D26C" w14:textId="77777777" w:rsidR="00EC7F1F" w:rsidRDefault="00000B03">
      <w:r>
        <w:br w:type="page"/>
      </w:r>
    </w:p>
    <w:p w14:paraId="2C15BC5E" w14:textId="77777777" w:rsidR="00EC7F1F" w:rsidRDefault="00000B03">
      <w:pPr>
        <w:pStyle w:val="Heading2"/>
      </w:pPr>
      <w:bookmarkStart w:id="12" w:name="_Toc224818115"/>
      <w:r>
        <w:lastRenderedPageBreak/>
        <w:t>Market Breadth &amp; Internals: Timing Confirmation Layer</w:t>
      </w:r>
      <w:bookmarkEnd w:id="12"/>
    </w:p>
    <w:p w14:paraId="58E83132" w14:textId="77777777" w:rsidR="00EC7F1F" w:rsidRDefault="00000B03">
      <w:pPr>
        <w:spacing w:before="60" w:after="80"/>
      </w:pPr>
      <w:r>
        <w:rPr>
          <w:color w:val="333333"/>
        </w:rPr>
        <w:t>While the Janus Factor provides a regime classification framework based on cross-sectional performance dynamics, market breadth analysis adds a complementary timing confirmation layer by measuring the degree of participation in market movements. Breadth indicators differentiate between broad-based trends supported by wide institutional flows and narrowly concentrated advances vulnerable to sudden reversal. The integration of breadth signals with the Janus Factor regime classification creates a significantly more robust market timing framework than either dimension alone.</w:t>
      </w:r>
    </w:p>
    <w:p w14:paraId="5EB43D34" w14:textId="77777777" w:rsidR="00EC7F1F" w:rsidRDefault="00000B03">
      <w:pPr>
        <w:spacing w:before="40" w:after="60"/>
        <w:ind w:left="720"/>
      </w:pPr>
      <w:r>
        <w:rPr>
          <w:i/>
          <w:iCs/>
          <w:color w:val="777777"/>
          <w:sz w:val="18"/>
          <w:szCs w:val="18"/>
        </w:rPr>
        <w:t>Zweig (1986), Winning on Wall Street; DeMark (2004), New Market Timing Techniques</w:t>
      </w:r>
    </w:p>
    <w:p w14:paraId="439CDF43" w14:textId="77777777" w:rsidR="00EC7F1F" w:rsidRDefault="00000B03">
      <w:pPr>
        <w:pStyle w:val="Heading3"/>
      </w:pPr>
      <w:bookmarkStart w:id="13" w:name="_Toc224818116"/>
      <w:r>
        <w:t>Step 3.5: Analyze Advance-Decline Line for Breadth Divergences</w:t>
      </w:r>
      <w:bookmarkEnd w:id="13"/>
    </w:p>
    <w:p w14:paraId="742DF257" w14:textId="77777777" w:rsidR="00EC7F1F" w:rsidRDefault="00000B03">
      <w:pPr>
        <w:spacing w:before="60" w:after="80"/>
      </w:pPr>
      <w:r>
        <w:rPr>
          <w:color w:val="333333"/>
        </w:rPr>
        <w:t>The Advance-Decline Line (A/D Line) is a cumulative breadth indicator that tracks the net difference between advancing and declining issues within a market or index. It serves as a real-time proxy for the breadth and direction of liquidity inflows and outflows. When the A/D Line diverges from the price index, it signals a critical disconnect between headline price action and the actual participation of the underlying constituents.</w:t>
      </w:r>
    </w:p>
    <w:p w14:paraId="21B6EE1E" w14:textId="77777777" w:rsidR="00EC7F1F" w:rsidRDefault="00000B03">
      <w:pPr>
        <w:spacing w:before="60" w:after="80"/>
      </w:pPr>
      <w:r>
        <w:rPr>
          <w:b/>
          <w:bCs/>
          <w:color w:val="333333"/>
        </w:rPr>
        <w:t>Calculate the A/D Line:</w:t>
      </w:r>
    </w:p>
    <w:p w14:paraId="01D9A7C7" w14:textId="77777777" w:rsidR="00EC7F1F" w:rsidRDefault="00000B03">
      <w:pPr>
        <w:spacing w:before="60" w:after="80"/>
        <w:ind w:left="720"/>
      </w:pPr>
      <w:r>
        <w:rPr>
          <w:b/>
          <w:bCs/>
          <w:color w:val="333333"/>
        </w:rPr>
        <w:t>Daily A/D Value = Number of Advancing Issues – Number of Declining Issues</w:t>
      </w:r>
    </w:p>
    <w:p w14:paraId="16063D96" w14:textId="77777777" w:rsidR="00EC7F1F" w:rsidRDefault="00000B03">
      <w:pPr>
        <w:spacing w:before="60" w:after="80"/>
        <w:ind w:left="720"/>
      </w:pPr>
      <w:r>
        <w:rPr>
          <w:b/>
          <w:bCs/>
          <w:color w:val="333333"/>
        </w:rPr>
        <w:t>A/D Line = Previous A/D Line Value + Current Daily A/D Value</w:t>
      </w:r>
    </w:p>
    <w:p w14:paraId="08755121" w14:textId="77777777" w:rsidR="00EC7F1F" w:rsidRDefault="00000B03">
      <w:pPr>
        <w:pStyle w:val="ListParagraph"/>
        <w:numPr>
          <w:ilvl w:val="0"/>
          <w:numId w:val="2"/>
        </w:numPr>
        <w:spacing w:before="40" w:after="40"/>
      </w:pPr>
      <w:r>
        <w:rPr>
          <w:color w:val="333333"/>
        </w:rPr>
        <w:t>Maintain a running daily A/D Line calculation for the NYSE, S&amp;P 500, and Nasdaq composites</w:t>
      </w:r>
    </w:p>
    <w:p w14:paraId="17B61ADC" w14:textId="77777777" w:rsidR="00EC7F1F" w:rsidRDefault="00000B03">
      <w:pPr>
        <w:pStyle w:val="ListParagraph"/>
        <w:numPr>
          <w:ilvl w:val="0"/>
          <w:numId w:val="2"/>
        </w:numPr>
        <w:spacing w:before="40" w:after="40"/>
      </w:pPr>
      <w:r>
        <w:rPr>
          <w:color w:val="333333"/>
        </w:rPr>
        <w:t>Compare A/D Line peaks and troughs with corresponding price index peaks and troughs on a weekly basis</w:t>
      </w:r>
    </w:p>
    <w:p w14:paraId="4031226B" w14:textId="77777777" w:rsidR="00EC7F1F" w:rsidRDefault="00000B03">
      <w:pPr>
        <w:pStyle w:val="ListParagraph"/>
        <w:numPr>
          <w:ilvl w:val="0"/>
          <w:numId w:val="2"/>
        </w:numPr>
        <w:spacing w:before="40" w:after="40"/>
      </w:pPr>
      <w:r>
        <w:rPr>
          <w:color w:val="333333"/>
        </w:rPr>
        <w:t>Monitor for bearish divergences across short-term (20-day), medium-term (65-day), and long-term (200-day) comparisons</w:t>
      </w:r>
    </w:p>
    <w:p w14:paraId="38023B10" w14:textId="77777777" w:rsidR="00EC7F1F" w:rsidRDefault="00000B03">
      <w:pPr>
        <w:pStyle w:val="ListParagraph"/>
        <w:numPr>
          <w:ilvl w:val="0"/>
          <w:numId w:val="2"/>
        </w:numPr>
        <w:spacing w:before="40" w:after="40"/>
      </w:pPr>
      <w:r>
        <w:rPr>
          <w:color w:val="333333"/>
        </w:rPr>
        <w:t>Monitor for bullish divergences where the A/D Line forms higher lows while the price index makes lower lows</w:t>
      </w:r>
    </w:p>
    <w:p w14:paraId="48A0A6A2" w14:textId="77777777" w:rsidR="00EC7F1F" w:rsidRDefault="00000B03">
      <w:pPr>
        <w:spacing w:before="60" w:after="80"/>
      </w:pPr>
      <w:r>
        <w:rPr>
          <w:b/>
          <w:bCs/>
          <w:color w:val="333333"/>
        </w:rPr>
        <w:t>Bearish (Negative) A/D Divergence — Potential Topping Signal:</w:t>
      </w:r>
    </w:p>
    <w:p w14:paraId="56257C2D" w14:textId="77777777" w:rsidR="00EC7F1F" w:rsidRDefault="00000B03">
      <w:pPr>
        <w:pStyle w:val="ListParagraph"/>
        <w:numPr>
          <w:ilvl w:val="0"/>
          <w:numId w:val="14"/>
        </w:numPr>
        <w:spacing w:before="30" w:after="30"/>
      </w:pPr>
      <w:r>
        <w:rPr>
          <w:color w:val="555555"/>
        </w:rPr>
        <w:t>The price index continues making new highs while the A/D Line fails to confirm, forming lower peaks</w:t>
      </w:r>
    </w:p>
    <w:p w14:paraId="7719B6B1" w14:textId="77777777" w:rsidR="00EC7F1F" w:rsidRDefault="00000B03">
      <w:pPr>
        <w:pStyle w:val="ListParagraph"/>
        <w:numPr>
          <w:ilvl w:val="0"/>
          <w:numId w:val="14"/>
        </w:numPr>
        <w:spacing w:before="30" w:after="30"/>
      </w:pPr>
      <w:r>
        <w:rPr>
          <w:color w:val="555555"/>
        </w:rPr>
        <w:t>This pattern indicates progressively fewer stocks participating in the advance despite headline index strength</w:t>
      </w:r>
    </w:p>
    <w:p w14:paraId="3082972B" w14:textId="77777777" w:rsidR="00EC7F1F" w:rsidRDefault="00000B03">
      <w:pPr>
        <w:pStyle w:val="ListParagraph"/>
        <w:numPr>
          <w:ilvl w:val="0"/>
          <w:numId w:val="14"/>
        </w:numPr>
        <w:spacing w:before="30" w:after="30"/>
      </w:pPr>
      <w:r>
        <w:rPr>
          <w:color w:val="555555"/>
        </w:rPr>
        <w:t>Historical precedent: major market tops in 1972–73, 1987, 1999–2000, 2007, and 2015 were preceded by significant A/D Line divergences</w:t>
      </w:r>
    </w:p>
    <w:p w14:paraId="1CEE11A2" w14:textId="77777777" w:rsidR="00EC7F1F" w:rsidRDefault="00000B03">
      <w:pPr>
        <w:pStyle w:val="ListParagraph"/>
        <w:numPr>
          <w:ilvl w:val="0"/>
          <w:numId w:val="14"/>
        </w:numPr>
        <w:spacing w:before="30" w:after="30"/>
      </w:pPr>
      <w:r>
        <w:rPr>
          <w:color w:val="555555"/>
        </w:rPr>
        <w:t>Mechanism: the Financial Venturi Effect — capital concentrates into an increasingly narrow subset of securities during late-cycle bull markets, creating a liquidity funnel where index strength masks deteriorating internals</w:t>
      </w:r>
    </w:p>
    <w:p w14:paraId="7427327D" w14:textId="77777777" w:rsidR="00EC7F1F" w:rsidRDefault="00000B03">
      <w:pPr>
        <w:spacing w:before="40" w:after="60"/>
        <w:ind w:left="720"/>
      </w:pPr>
      <w:r>
        <w:rPr>
          <w:i/>
          <w:iCs/>
          <w:color w:val="777777"/>
          <w:sz w:val="18"/>
          <w:szCs w:val="18"/>
        </w:rPr>
        <w:t>Breadth divergence at major tops is one of the most well-documented leading indicators in technical analysis. See: Pring (2014); Murphy (2004); Zweig (1986)</w:t>
      </w:r>
    </w:p>
    <w:p w14:paraId="1EC8DFEC" w14:textId="77777777" w:rsidR="00EC7F1F" w:rsidRDefault="00000B03">
      <w:pPr>
        <w:spacing w:before="60" w:after="80"/>
      </w:pPr>
      <w:r>
        <w:rPr>
          <w:b/>
          <w:bCs/>
          <w:color w:val="333333"/>
        </w:rPr>
        <w:t>Bullish (Positive) A/D Divergence — Potential Bottoming Signal:</w:t>
      </w:r>
    </w:p>
    <w:p w14:paraId="1B43139D" w14:textId="77777777" w:rsidR="00EC7F1F" w:rsidRDefault="00000B03">
      <w:pPr>
        <w:pStyle w:val="ListParagraph"/>
        <w:numPr>
          <w:ilvl w:val="0"/>
          <w:numId w:val="15"/>
        </w:numPr>
        <w:spacing w:before="30" w:after="30"/>
      </w:pPr>
      <w:r>
        <w:rPr>
          <w:color w:val="555555"/>
        </w:rPr>
        <w:t>The price index continues making lower lows or remains weak while the A/D Line forms higher lows and begins trending upward</w:t>
      </w:r>
    </w:p>
    <w:p w14:paraId="77542E52" w14:textId="77777777" w:rsidR="00EC7F1F" w:rsidRDefault="00000B03">
      <w:pPr>
        <w:pStyle w:val="ListParagraph"/>
        <w:numPr>
          <w:ilvl w:val="0"/>
          <w:numId w:val="15"/>
        </w:numPr>
        <w:spacing w:before="30" w:after="30"/>
      </w:pPr>
      <w:r>
        <w:rPr>
          <w:color w:val="555555"/>
        </w:rPr>
        <w:t>This pattern indicates that capital is entering the market broadly but flowing into a wide range of securities before the largest index components respond</w:t>
      </w:r>
    </w:p>
    <w:p w14:paraId="7381FA25" w14:textId="77777777" w:rsidR="00EC7F1F" w:rsidRDefault="00000B03">
      <w:pPr>
        <w:pStyle w:val="ListParagraph"/>
        <w:numPr>
          <w:ilvl w:val="0"/>
          <w:numId w:val="15"/>
        </w:numPr>
        <w:spacing w:before="30" w:after="30"/>
      </w:pPr>
      <w:r>
        <w:rPr>
          <w:color w:val="555555"/>
        </w:rPr>
        <w:t>Bullish divergence progression: initial stabilization → internal improvement → breadth expansion → price confirmation</w:t>
      </w:r>
    </w:p>
    <w:p w14:paraId="5C664F1B" w14:textId="77777777" w:rsidR="00EC7F1F" w:rsidRDefault="00000B03">
      <w:pPr>
        <w:pStyle w:val="ListParagraph"/>
        <w:numPr>
          <w:ilvl w:val="0"/>
          <w:numId w:val="15"/>
        </w:numPr>
        <w:spacing w:before="30" w:after="30"/>
      </w:pPr>
      <w:r>
        <w:rPr>
          <w:color w:val="555555"/>
        </w:rPr>
        <w:lastRenderedPageBreak/>
        <w:t>Historical precedent: the March 2009 bottom saw the NYSE A/D Line forming higher lows in January 2009, two months before the S&amp;P 500 index bottomed</w:t>
      </w:r>
    </w:p>
    <w:p w14:paraId="5BF5ADC7" w14:textId="77777777" w:rsidR="00EC7F1F" w:rsidRDefault="00000B03">
      <w:pPr>
        <w:spacing w:before="60" w:after="80"/>
      </w:pPr>
      <w:r>
        <w:rPr>
          <w:b/>
          <w:bCs/>
          <w:color w:val="333333"/>
        </w:rPr>
        <w:t>Quantifying divergence confirmation with supporting metrics:</w:t>
      </w:r>
    </w:p>
    <w:p w14:paraId="7B188581" w14:textId="77777777" w:rsidR="00EC7F1F" w:rsidRDefault="00000B03">
      <w:pPr>
        <w:pStyle w:val="ListParagraph"/>
        <w:numPr>
          <w:ilvl w:val="0"/>
          <w:numId w:val="16"/>
        </w:numPr>
        <w:spacing w:before="30" w:after="30"/>
      </w:pPr>
      <w:r>
        <w:rPr>
          <w:color w:val="555555"/>
        </w:rPr>
        <w:t>Percentage of stocks above moving averages (detailed in Step 3.6 below)</w:t>
      </w:r>
    </w:p>
    <w:p w14:paraId="76C69A60" w14:textId="77777777" w:rsidR="00EC7F1F" w:rsidRDefault="00000B03">
      <w:pPr>
        <w:pStyle w:val="ListParagraph"/>
        <w:numPr>
          <w:ilvl w:val="0"/>
          <w:numId w:val="16"/>
        </w:numPr>
        <w:spacing w:before="30" w:after="30"/>
      </w:pPr>
      <w:r>
        <w:rPr>
          <w:color w:val="555555"/>
        </w:rPr>
        <w:t>New 52-week highs vs. new 52-week lows: a contracting new highs list while indices rise confirms narrowing leadership</w:t>
      </w:r>
    </w:p>
    <w:p w14:paraId="3C1D4019" w14:textId="77777777" w:rsidR="00EC7F1F" w:rsidRDefault="00000B03">
      <w:pPr>
        <w:pStyle w:val="ListParagraph"/>
        <w:numPr>
          <w:ilvl w:val="0"/>
          <w:numId w:val="16"/>
        </w:numPr>
        <w:spacing w:before="30" w:after="30"/>
      </w:pPr>
      <w:r>
        <w:rPr>
          <w:color w:val="555555"/>
        </w:rPr>
        <w:t>Equal-weight vs. capitalization-weight index comparison: underperformance of equal-weight indices signals concentration risk</w:t>
      </w:r>
    </w:p>
    <w:p w14:paraId="4930D639" w14:textId="77777777" w:rsidR="00EC7F1F" w:rsidRDefault="00000B03">
      <w:pPr>
        <w:pStyle w:val="ListParagraph"/>
        <w:numPr>
          <w:ilvl w:val="0"/>
          <w:numId w:val="16"/>
        </w:numPr>
        <w:spacing w:before="30" w:after="30"/>
      </w:pPr>
      <w:r>
        <w:rPr>
          <w:color w:val="555555"/>
        </w:rPr>
        <w:t>Sector-specific A/D Lines: identify whether deterioration is broad or concentrated in specific sectors</w:t>
      </w:r>
    </w:p>
    <w:p w14:paraId="71972C0F" w14:textId="77777777" w:rsidR="00EC7F1F" w:rsidRDefault="00000B03">
      <w:pPr>
        <w:pStyle w:val="Heading3"/>
      </w:pPr>
      <w:bookmarkStart w:id="14" w:name="_Toc224818117"/>
      <w:r>
        <w:t>Step 3.6: Evaluate Breadth Internals — Moving Average Participation Indicators</w:t>
      </w:r>
      <w:bookmarkEnd w:id="14"/>
    </w:p>
    <w:p w14:paraId="4F82361B" w14:textId="77777777" w:rsidR="00EC7F1F" w:rsidRDefault="00000B03">
      <w:pPr>
        <w:spacing w:before="60" w:after="80"/>
      </w:pPr>
      <w:r>
        <w:rPr>
          <w:color w:val="333333"/>
        </w:rPr>
        <w:t>Moving average participation indicators measure the percentage of stocks in an index trading above specified moving averages. These metrics provide precise, quantitative breadth readings across different timeframes, offering a multi-dimensional view of underlying market health that complements the A/D Line analysis. They are among the most actionable breadth indicators for systematic regime timing.</w:t>
      </w:r>
    </w:p>
    <w:p w14:paraId="516290FC" w14:textId="77777777" w:rsidR="00EC7F1F" w:rsidRDefault="00000B03">
      <w:pPr>
        <w:spacing w:before="60" w:after="80"/>
      </w:pPr>
      <w:r>
        <w:rPr>
          <w:b/>
          <w:bCs/>
          <w:color w:val="333333"/>
        </w:rPr>
        <w:t>Track the following three indicators daily for the S&amp;P 500 and NYSE:</w:t>
      </w:r>
    </w:p>
    <w:p w14:paraId="4D60F1F5" w14:textId="77777777" w:rsidR="00EC7F1F" w:rsidRDefault="00000B03">
      <w:pPr>
        <w:pStyle w:val="ListParagraph"/>
        <w:numPr>
          <w:ilvl w:val="0"/>
          <w:numId w:val="3"/>
        </w:numPr>
        <w:spacing w:before="40" w:after="40"/>
      </w:pPr>
      <w:r>
        <w:rPr>
          <w:color w:val="333333"/>
        </w:rPr>
        <w:t>Percentage of Stocks Above 10-Day Moving Average — Short-term breadth indicator reflecting immediate momentum impulse. Readings below 10% indicate extreme short-term oversold conditions; readings above 90% indicate extreme overbought extension.</w:t>
      </w:r>
    </w:p>
    <w:p w14:paraId="1B2F18C0" w14:textId="77777777" w:rsidR="00EC7F1F" w:rsidRDefault="00000B03">
      <w:pPr>
        <w:pStyle w:val="ListParagraph"/>
        <w:numPr>
          <w:ilvl w:val="0"/>
          <w:numId w:val="3"/>
        </w:numPr>
        <w:spacing w:before="40" w:after="40"/>
      </w:pPr>
      <w:r>
        <w:rPr>
          <w:color w:val="333333"/>
        </w:rPr>
        <w:t>Percentage of Stocks Above 50-Day Moving Average — Intermediate-term measure capturing the medium-term trend structure. Readings below 20% suggest significant intermediate weakness; readings above 80% indicate unusually broad participation.</w:t>
      </w:r>
    </w:p>
    <w:p w14:paraId="78D541EE" w14:textId="77777777" w:rsidR="00EC7F1F" w:rsidRPr="00000B03" w:rsidRDefault="00000B03" w:rsidP="00000B03">
      <w:pPr>
        <w:pStyle w:val="ListParagraph"/>
        <w:numPr>
          <w:ilvl w:val="0"/>
          <w:numId w:val="3"/>
        </w:numPr>
        <w:spacing w:before="40" w:after="40"/>
      </w:pPr>
      <w:r>
        <w:rPr>
          <w:color w:val="333333"/>
        </w:rPr>
        <w:t>Percentage of Stocks Above 200-Day Moving Average — Long-term breadth gauge representing primary trend participation. Readings below 20% reflect severe structural deterioration; readings above 80% confirm robust long-term breadth.</w:t>
      </w:r>
    </w:p>
    <w:p w14:paraId="284F52E7" w14:textId="77777777" w:rsidR="00000B03" w:rsidRDefault="00000B03" w:rsidP="00000B03">
      <w:pPr>
        <w:pStyle w:val="ListParagraph"/>
        <w:numPr>
          <w:ilvl w:val="0"/>
          <w:numId w:val="3"/>
        </w:num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700"/>
        <w:gridCol w:w="1800"/>
        <w:gridCol w:w="2360"/>
      </w:tblGrid>
      <w:tr w:rsidR="00EC7F1F" w14:paraId="0DF54BB0" w14:textId="77777777">
        <w:tc>
          <w:tcPr>
            <w:tcW w:w="18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062C431C" w14:textId="77777777" w:rsidR="00EC7F1F" w:rsidRDefault="00000B03">
            <w:r>
              <w:rPr>
                <w:b/>
                <w:bCs/>
                <w:color w:val="FFFFFF"/>
                <w:sz w:val="18"/>
                <w:szCs w:val="18"/>
              </w:rPr>
              <w:t>INDICATOR</w:t>
            </w:r>
          </w:p>
        </w:tc>
        <w:tc>
          <w:tcPr>
            <w:tcW w:w="17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6B173ED1" w14:textId="77777777" w:rsidR="00EC7F1F" w:rsidRDefault="00000B03">
            <w:pPr>
              <w:jc w:val="center"/>
            </w:pPr>
            <w:r>
              <w:rPr>
                <w:b/>
                <w:bCs/>
                <w:color w:val="FFFFFF"/>
                <w:sz w:val="18"/>
                <w:szCs w:val="18"/>
              </w:rPr>
              <w:t>OVERSOLD THRESHOLD</w:t>
            </w:r>
          </w:p>
        </w:tc>
        <w:tc>
          <w:tcPr>
            <w:tcW w:w="17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75D1DA39" w14:textId="77777777" w:rsidR="00EC7F1F" w:rsidRDefault="00000B03">
            <w:pPr>
              <w:jc w:val="center"/>
            </w:pPr>
            <w:r>
              <w:rPr>
                <w:b/>
                <w:bCs/>
                <w:color w:val="FFFFFF"/>
                <w:sz w:val="18"/>
                <w:szCs w:val="18"/>
              </w:rPr>
              <w:t>MEAN REVERSION PROB.</w:t>
            </w:r>
          </w:p>
        </w:tc>
        <w:tc>
          <w:tcPr>
            <w:tcW w:w="18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0EADB81E" w14:textId="77777777" w:rsidR="00EC7F1F" w:rsidRDefault="00000B03">
            <w:pPr>
              <w:jc w:val="center"/>
            </w:pPr>
            <w:r>
              <w:rPr>
                <w:b/>
                <w:bCs/>
                <w:color w:val="FFFFFF"/>
                <w:sz w:val="18"/>
                <w:szCs w:val="18"/>
              </w:rPr>
              <w:t>OVERBOUGHT THRESHOLD</w:t>
            </w:r>
          </w:p>
        </w:tc>
        <w:tc>
          <w:tcPr>
            <w:tcW w:w="23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397D10AB" w14:textId="77777777" w:rsidR="00EC7F1F" w:rsidRDefault="00000B03">
            <w:r>
              <w:rPr>
                <w:b/>
                <w:bCs/>
                <w:color w:val="FFFFFF"/>
                <w:sz w:val="18"/>
                <w:szCs w:val="18"/>
              </w:rPr>
              <w:t>IMPLICATION</w:t>
            </w:r>
          </w:p>
        </w:tc>
      </w:tr>
      <w:tr w:rsidR="00EC7F1F" w14:paraId="588A64D2"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655111" w14:textId="77777777" w:rsidR="00EC7F1F" w:rsidRDefault="00000B03">
            <w:r>
              <w:rPr>
                <w:b/>
                <w:bCs/>
                <w:color w:val="333333"/>
                <w:sz w:val="18"/>
                <w:szCs w:val="18"/>
              </w:rPr>
              <w:t>% Above 10-Day MA</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E3C082" w14:textId="77777777" w:rsidR="00EC7F1F" w:rsidRDefault="00000B03">
            <w:pPr>
              <w:jc w:val="center"/>
            </w:pPr>
            <w:r>
              <w:rPr>
                <w:color w:val="333333"/>
                <w:sz w:val="18"/>
                <w:szCs w:val="18"/>
              </w:rPr>
              <w:t>&lt; 10%</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75D1212" w14:textId="77777777" w:rsidR="00EC7F1F" w:rsidRDefault="00000B03">
            <w:pPr>
              <w:jc w:val="center"/>
            </w:pPr>
            <w:r>
              <w:rPr>
                <w:color w:val="333333"/>
                <w:sz w:val="18"/>
                <w:szCs w:val="18"/>
              </w:rPr>
              <w:t>85%</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88B0406" w14:textId="77777777" w:rsidR="00EC7F1F" w:rsidRDefault="00000B03">
            <w:pPr>
              <w:jc w:val="center"/>
            </w:pPr>
            <w:r>
              <w:rPr>
                <w:color w:val="333333"/>
                <w:sz w:val="18"/>
                <w:szCs w:val="18"/>
              </w:rPr>
              <w:t>&gt; 90%</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8261899" w14:textId="77777777" w:rsidR="00EC7F1F" w:rsidRDefault="00000B03">
            <w:r>
              <w:rPr>
                <w:color w:val="333333"/>
                <w:sz w:val="18"/>
                <w:szCs w:val="18"/>
              </w:rPr>
              <w:t>Short-term impulse extreme</w:t>
            </w:r>
          </w:p>
        </w:tc>
      </w:tr>
      <w:tr w:rsidR="00EC7F1F" w14:paraId="6E36C2F5"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504AB1D1" w14:textId="77777777" w:rsidR="00EC7F1F" w:rsidRDefault="00000B03">
            <w:r>
              <w:rPr>
                <w:b/>
                <w:bCs/>
                <w:color w:val="333333"/>
                <w:sz w:val="18"/>
                <w:szCs w:val="18"/>
              </w:rPr>
              <w:t>% Above 50-Day MA</w:t>
            </w:r>
          </w:p>
        </w:tc>
        <w:tc>
          <w:tcPr>
            <w:tcW w:w="17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5C947D7C" w14:textId="77777777" w:rsidR="00EC7F1F" w:rsidRDefault="00000B03">
            <w:pPr>
              <w:jc w:val="center"/>
            </w:pPr>
            <w:r>
              <w:rPr>
                <w:color w:val="333333"/>
                <w:sz w:val="18"/>
                <w:szCs w:val="18"/>
              </w:rPr>
              <w:t>&lt; 20%</w:t>
            </w:r>
          </w:p>
        </w:tc>
        <w:tc>
          <w:tcPr>
            <w:tcW w:w="17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479EE0BA" w14:textId="77777777" w:rsidR="00EC7F1F" w:rsidRDefault="00000B03">
            <w:pPr>
              <w:jc w:val="center"/>
            </w:pPr>
            <w:r>
              <w:rPr>
                <w:color w:val="333333"/>
                <w:sz w:val="18"/>
                <w:szCs w:val="18"/>
              </w:rPr>
              <w:t>77%</w:t>
            </w:r>
          </w:p>
        </w:tc>
        <w:tc>
          <w:tcPr>
            <w:tcW w:w="18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352021E1" w14:textId="77777777" w:rsidR="00EC7F1F" w:rsidRDefault="00000B03">
            <w:pPr>
              <w:jc w:val="center"/>
            </w:pPr>
            <w:r>
              <w:rPr>
                <w:color w:val="333333"/>
                <w:sz w:val="18"/>
                <w:szCs w:val="18"/>
              </w:rPr>
              <w:t>&gt; 80%</w:t>
            </w:r>
          </w:p>
        </w:tc>
        <w:tc>
          <w:tcPr>
            <w:tcW w:w="2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2CC07434" w14:textId="77777777" w:rsidR="00EC7F1F" w:rsidRDefault="00000B03">
            <w:r>
              <w:rPr>
                <w:color w:val="333333"/>
                <w:sz w:val="18"/>
                <w:szCs w:val="18"/>
              </w:rPr>
              <w:t>Intermediate trend extreme</w:t>
            </w:r>
          </w:p>
        </w:tc>
      </w:tr>
      <w:tr w:rsidR="00EC7F1F" w14:paraId="40CEB4FD"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5E22990" w14:textId="77777777" w:rsidR="00EC7F1F" w:rsidRDefault="00000B03">
            <w:r>
              <w:rPr>
                <w:b/>
                <w:bCs/>
                <w:color w:val="333333"/>
                <w:sz w:val="18"/>
                <w:szCs w:val="18"/>
              </w:rPr>
              <w:t>% Above 200-Day MA</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615D32" w14:textId="77777777" w:rsidR="00EC7F1F" w:rsidRDefault="00000B03">
            <w:pPr>
              <w:jc w:val="center"/>
            </w:pPr>
            <w:r>
              <w:rPr>
                <w:color w:val="333333"/>
                <w:sz w:val="18"/>
                <w:szCs w:val="18"/>
              </w:rPr>
              <w:t>&lt; 20%</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40FF84" w14:textId="77777777" w:rsidR="00EC7F1F" w:rsidRDefault="00000B03">
            <w:pPr>
              <w:jc w:val="center"/>
            </w:pPr>
            <w:r>
              <w:rPr>
                <w:color w:val="333333"/>
                <w:sz w:val="18"/>
                <w:szCs w:val="18"/>
              </w:rPr>
              <w:t>68%</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970ED9" w14:textId="77777777" w:rsidR="00EC7F1F" w:rsidRDefault="00000B03">
            <w:pPr>
              <w:jc w:val="center"/>
            </w:pPr>
            <w:r>
              <w:rPr>
                <w:color w:val="333333"/>
                <w:sz w:val="18"/>
                <w:szCs w:val="18"/>
              </w:rPr>
              <w:t>&gt; 80%</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214E89" w14:textId="77777777" w:rsidR="00EC7F1F" w:rsidRDefault="00000B03">
            <w:r>
              <w:rPr>
                <w:color w:val="333333"/>
                <w:sz w:val="18"/>
                <w:szCs w:val="18"/>
              </w:rPr>
              <w:t>Structural trend extreme</w:t>
            </w:r>
          </w:p>
        </w:tc>
      </w:tr>
    </w:tbl>
    <w:p w14:paraId="550211DF" w14:textId="77777777" w:rsidR="00EC7F1F" w:rsidRDefault="00000B03">
      <w:pPr>
        <w:spacing w:before="60" w:after="80"/>
      </w:pPr>
      <w:r>
        <w:rPr>
          <w:i/>
          <w:iCs/>
          <w:color w:val="777777"/>
        </w:rPr>
        <w:t>Table 3.1: Moving Average Participation Thresholds and Mean Reversion Probabilities (1968–2025)</w:t>
      </w:r>
    </w:p>
    <w:p w14:paraId="4B74682F" w14:textId="77777777" w:rsidR="00EC7F1F" w:rsidRDefault="00000B03">
      <w:pPr>
        <w:pStyle w:val="Heading3"/>
      </w:pPr>
      <w:bookmarkStart w:id="15" w:name="_Toc224818118"/>
      <w:r>
        <w:t>Step 3.7: Identify Blow-Off Events and Oversold Extremes</w:t>
      </w:r>
      <w:bookmarkEnd w:id="15"/>
    </w:p>
    <w:p w14:paraId="4BCDBA8D" w14:textId="77777777" w:rsidR="00EC7F1F" w:rsidRDefault="00000B03">
      <w:pPr>
        <w:spacing w:before="60" w:after="80"/>
      </w:pPr>
      <w:r>
        <w:rPr>
          <w:color w:val="333333"/>
        </w:rPr>
        <w:t>Extreme readings in moving average participation indicators identify potential market inflection points. These blow-off events on the downside — where an extraordinary percentage of stocks are driven below key moving averages in a compressed timeframe — frequently mark significant bottoming opportunities. Conversely, understanding the dynamics of overbought extremes provides context for potential topping behavior, though overbought conditions alone do not constitute sell signals in strongly trending markets.</w:t>
      </w:r>
    </w:p>
    <w:p w14:paraId="2E7A8725" w14:textId="77777777" w:rsidR="00EC7F1F" w:rsidRDefault="00000B03">
      <w:pPr>
        <w:spacing w:before="60" w:after="80"/>
      </w:pPr>
      <w:r>
        <w:rPr>
          <w:b/>
          <w:bCs/>
          <w:color w:val="333333"/>
        </w:rPr>
        <w:lastRenderedPageBreak/>
        <w:t>Downside Blow-Off Events (Capitulation Signals):</w:t>
      </w:r>
    </w:p>
    <w:p w14:paraId="2D9F5AB4" w14:textId="77777777" w:rsidR="00EC7F1F" w:rsidRDefault="00000B03">
      <w:pPr>
        <w:pStyle w:val="ListParagraph"/>
        <w:numPr>
          <w:ilvl w:val="0"/>
          <w:numId w:val="4"/>
        </w:numPr>
        <w:spacing w:before="40" w:after="40"/>
      </w:pPr>
      <w:r>
        <w:rPr>
          <w:color w:val="333333"/>
        </w:rPr>
        <w:t>Identify when all three participation indicators reach extreme oversold thresholds simultaneously (≤10% above 10-DMA, ≤20% above 50-DMA, ≤20% above 200-DMA)</w:t>
      </w:r>
    </w:p>
    <w:p w14:paraId="55677113" w14:textId="77777777" w:rsidR="00EC7F1F" w:rsidRDefault="00000B03">
      <w:pPr>
        <w:pStyle w:val="ListParagraph"/>
        <w:numPr>
          <w:ilvl w:val="0"/>
          <w:numId w:val="4"/>
        </w:numPr>
        <w:spacing w:before="40" w:after="40"/>
      </w:pPr>
      <w:r>
        <w:rPr>
          <w:color w:val="333333"/>
        </w:rPr>
        <w:t>Cross-reference with VIX readings: oversold breadth combined with VIX &gt; 30 produces significantly stronger mean-reversion signals than breadth extremes in low-volatility environments</w:t>
      </w:r>
    </w:p>
    <w:p w14:paraId="7C69BCE4" w14:textId="77777777" w:rsidR="00EC7F1F" w:rsidRDefault="00000B03">
      <w:pPr>
        <w:pStyle w:val="ListParagraph"/>
        <w:numPr>
          <w:ilvl w:val="0"/>
          <w:numId w:val="4"/>
        </w:numPr>
        <w:spacing w:before="40" w:after="40"/>
      </w:pPr>
      <w:r>
        <w:rPr>
          <w:color w:val="333333"/>
        </w:rPr>
        <w:t>Measure the duration of the oversold condition: shorter-duration oversold periods (≤7 trading days) historically produce better forward returns (negative correlation coefficient of -0.63 between duration and subsequent return)</w:t>
      </w:r>
    </w:p>
    <w:p w14:paraId="7F80729B" w14:textId="77777777" w:rsidR="00EC7F1F" w:rsidRDefault="00000B03">
      <w:pPr>
        <w:pStyle w:val="ListParagraph"/>
        <w:numPr>
          <w:ilvl w:val="0"/>
          <w:numId w:val="4"/>
        </w:numPr>
        <w:spacing w:before="40" w:after="40"/>
      </w:pPr>
      <w:r>
        <w:rPr>
          <w:color w:val="333333"/>
        </w:rPr>
        <w:t>Watch for the breadth thrust recovery signal: when the percentage of stocks above the 10-day MA surges from below 10% to above 70% within a short window, this constitutes a powerful buy signal even if the index has not yet confirmed</w:t>
      </w:r>
    </w:p>
    <w:p w14:paraId="7DB9A734" w14:textId="77777777" w:rsidR="00EC7F1F" w:rsidRDefault="00EC7F1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400"/>
        <w:gridCol w:w="1800"/>
        <w:gridCol w:w="1800"/>
        <w:gridCol w:w="2260"/>
      </w:tblGrid>
      <w:tr w:rsidR="00EC7F1F" w14:paraId="42A288D2" w14:textId="77777777">
        <w:tc>
          <w:tcPr>
            <w:tcW w:w="21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565082AE" w14:textId="77777777" w:rsidR="00EC7F1F" w:rsidRDefault="00000B03">
            <w:r>
              <w:rPr>
                <w:b/>
                <w:bCs/>
                <w:color w:val="FFFFFF"/>
                <w:sz w:val="18"/>
                <w:szCs w:val="18"/>
              </w:rPr>
              <w:t>MA PARTICIPATION CONDITION</w:t>
            </w:r>
          </w:p>
        </w:tc>
        <w:tc>
          <w:tcPr>
            <w:tcW w:w="14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69B232BD" w14:textId="77777777" w:rsidR="00EC7F1F" w:rsidRDefault="00000B03">
            <w:pPr>
              <w:jc w:val="center"/>
            </w:pPr>
            <w:r>
              <w:rPr>
                <w:b/>
                <w:bCs/>
                <w:color w:val="FFFFFF"/>
                <w:sz w:val="18"/>
                <w:szCs w:val="18"/>
              </w:rPr>
              <w:t>VIX CONDITION</w:t>
            </w:r>
          </w:p>
        </w:tc>
        <w:tc>
          <w:tcPr>
            <w:tcW w:w="18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74515B37" w14:textId="77777777" w:rsidR="00EC7F1F" w:rsidRDefault="00000B03">
            <w:pPr>
              <w:jc w:val="center"/>
            </w:pPr>
            <w:r>
              <w:rPr>
                <w:b/>
                <w:bCs/>
                <w:color w:val="FFFFFF"/>
                <w:sz w:val="18"/>
                <w:szCs w:val="18"/>
              </w:rPr>
              <w:t>AVG 1-MONTH RETURN</w:t>
            </w:r>
          </w:p>
        </w:tc>
        <w:tc>
          <w:tcPr>
            <w:tcW w:w="18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70255606" w14:textId="77777777" w:rsidR="00EC7F1F" w:rsidRDefault="00000B03">
            <w:pPr>
              <w:jc w:val="center"/>
            </w:pPr>
            <w:r>
              <w:rPr>
                <w:b/>
                <w:bCs/>
                <w:color w:val="FFFFFF"/>
                <w:sz w:val="18"/>
                <w:szCs w:val="18"/>
              </w:rPr>
              <w:t>AVG 3-MONTH RETURN</w:t>
            </w:r>
          </w:p>
        </w:tc>
        <w:tc>
          <w:tcPr>
            <w:tcW w:w="22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6362068F" w14:textId="77777777" w:rsidR="00EC7F1F" w:rsidRDefault="00000B03">
            <w:pPr>
              <w:jc w:val="center"/>
            </w:pPr>
            <w:r>
              <w:rPr>
                <w:b/>
                <w:bCs/>
                <w:color w:val="FFFFFF"/>
                <w:sz w:val="18"/>
                <w:szCs w:val="18"/>
              </w:rPr>
              <w:t>SIGNAL QUALITY</w:t>
            </w:r>
          </w:p>
        </w:tc>
      </w:tr>
      <w:tr w:rsidR="00EC7F1F" w14:paraId="7939A067" w14:textId="77777777">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67B734" w14:textId="77777777" w:rsidR="00EC7F1F" w:rsidRDefault="00000B03">
            <w:r>
              <w:rPr>
                <w:b/>
                <w:bCs/>
                <w:color w:val="333333"/>
                <w:sz w:val="18"/>
                <w:szCs w:val="18"/>
              </w:rPr>
              <w:t>&lt; 20% above 50-DMA</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5EC3AB4" w14:textId="77777777" w:rsidR="00EC7F1F" w:rsidRDefault="00000B03">
            <w:pPr>
              <w:jc w:val="center"/>
            </w:pPr>
            <w:r>
              <w:rPr>
                <w:color w:val="333333"/>
                <w:sz w:val="18"/>
                <w:szCs w:val="18"/>
              </w:rPr>
              <w:t>VIX &gt; 30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94EC1F" w14:textId="77777777" w:rsidR="00EC7F1F" w:rsidRDefault="00000B03">
            <w:pPr>
              <w:jc w:val="center"/>
            </w:pPr>
            <w:r>
              <w:rPr>
                <w:color w:val="333333"/>
                <w:sz w:val="18"/>
                <w:szCs w:val="18"/>
              </w:rPr>
              <w:t>+4.3%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334E36" w14:textId="77777777" w:rsidR="00EC7F1F" w:rsidRDefault="00000B03">
            <w:pPr>
              <w:jc w:val="center"/>
            </w:pPr>
            <w:r>
              <w:rPr>
                <w:color w:val="333333"/>
                <w:sz w:val="18"/>
                <w:szCs w:val="18"/>
              </w:rPr>
              <w:t>+7.9%</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4C2523" w14:textId="77777777" w:rsidR="00EC7F1F" w:rsidRDefault="00000B03">
            <w:pPr>
              <w:jc w:val="center"/>
            </w:pPr>
            <w:r>
              <w:rPr>
                <w:color w:val="333333"/>
                <w:sz w:val="18"/>
                <w:szCs w:val="18"/>
              </w:rPr>
              <w:t>0.81 (Strong)</w:t>
            </w:r>
          </w:p>
        </w:tc>
      </w:tr>
      <w:tr w:rsidR="00EC7F1F" w14:paraId="0B549D98" w14:textId="77777777">
        <w:tc>
          <w:tcPr>
            <w:tcW w:w="21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32CB96D1" w14:textId="77777777" w:rsidR="00EC7F1F" w:rsidRDefault="00000B03">
            <w:r>
              <w:rPr>
                <w:b/>
                <w:bCs/>
                <w:color w:val="333333"/>
                <w:sz w:val="18"/>
                <w:szCs w:val="18"/>
              </w:rPr>
              <w:t>&lt; 20% above 50-DMA</w:t>
            </w:r>
          </w:p>
        </w:tc>
        <w:tc>
          <w:tcPr>
            <w:tcW w:w="14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47658C18" w14:textId="77777777" w:rsidR="00EC7F1F" w:rsidRDefault="00000B03">
            <w:pPr>
              <w:jc w:val="center"/>
            </w:pPr>
            <w:r>
              <w:rPr>
                <w:color w:val="333333"/>
                <w:sz w:val="18"/>
                <w:szCs w:val="18"/>
              </w:rPr>
              <w:t>VIX &lt; 20</w:t>
            </w:r>
          </w:p>
        </w:tc>
        <w:tc>
          <w:tcPr>
            <w:tcW w:w="18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1DBC4917" w14:textId="77777777" w:rsidR="00EC7F1F" w:rsidRDefault="00000B03">
            <w:pPr>
              <w:jc w:val="center"/>
            </w:pPr>
            <w:r>
              <w:rPr>
                <w:color w:val="333333"/>
                <w:sz w:val="18"/>
                <w:szCs w:val="18"/>
              </w:rPr>
              <w:t>+1.1%</w:t>
            </w:r>
          </w:p>
        </w:tc>
        <w:tc>
          <w:tcPr>
            <w:tcW w:w="18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5B4CBF0F" w14:textId="77777777" w:rsidR="00EC7F1F" w:rsidRDefault="00000B03">
            <w:pPr>
              <w:jc w:val="center"/>
            </w:pPr>
            <w:r>
              <w:rPr>
                <w:color w:val="333333"/>
                <w:sz w:val="18"/>
                <w:szCs w:val="18"/>
              </w:rPr>
              <w:t>+2.4%</w:t>
            </w:r>
          </w:p>
        </w:tc>
        <w:tc>
          <w:tcPr>
            <w:tcW w:w="22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2A4A9C22" w14:textId="77777777" w:rsidR="00EC7F1F" w:rsidRDefault="00000B03">
            <w:pPr>
              <w:jc w:val="center"/>
            </w:pPr>
            <w:r>
              <w:rPr>
                <w:color w:val="333333"/>
                <w:sz w:val="18"/>
                <w:szCs w:val="18"/>
              </w:rPr>
              <w:t>0.42 (Weak)</w:t>
            </w:r>
          </w:p>
        </w:tc>
      </w:tr>
      <w:tr w:rsidR="00EC7F1F" w14:paraId="6A6D49CB" w14:textId="77777777">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82E9082" w14:textId="77777777" w:rsidR="00EC7F1F" w:rsidRDefault="00000B03">
            <w:r>
              <w:rPr>
                <w:b/>
                <w:bCs/>
                <w:color w:val="333333"/>
                <w:sz w:val="18"/>
                <w:szCs w:val="18"/>
              </w:rPr>
              <w:t>&lt; 20% above 200-DMA</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D6A9F39" w14:textId="77777777" w:rsidR="00EC7F1F" w:rsidRDefault="00000B03">
            <w:pPr>
              <w:jc w:val="center"/>
            </w:pPr>
            <w:r>
              <w:rPr>
                <w:color w:val="333333"/>
                <w:sz w:val="18"/>
                <w:szCs w:val="18"/>
              </w:rPr>
              <w:t>VIX &gt; 30</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6B18EF" w14:textId="77777777" w:rsidR="00EC7F1F" w:rsidRDefault="00000B03">
            <w:pPr>
              <w:jc w:val="center"/>
            </w:pPr>
            <w:r>
              <w:rPr>
                <w:color w:val="333333"/>
                <w:sz w:val="18"/>
                <w:szCs w:val="18"/>
              </w:rPr>
              <w:t>+5.8%</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A870C0" w14:textId="77777777" w:rsidR="00EC7F1F" w:rsidRDefault="00000B03">
            <w:pPr>
              <w:jc w:val="center"/>
            </w:pPr>
            <w:r>
              <w:rPr>
                <w:color w:val="333333"/>
                <w:sz w:val="18"/>
                <w:szCs w:val="18"/>
              </w:rPr>
              <w:t>+11.2%</w:t>
            </w:r>
          </w:p>
        </w:tc>
        <w:tc>
          <w:tcPr>
            <w:tcW w:w="22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FA4D1E" w14:textId="77777777" w:rsidR="00EC7F1F" w:rsidRDefault="00000B03">
            <w:pPr>
              <w:jc w:val="center"/>
            </w:pPr>
            <w:r>
              <w:rPr>
                <w:color w:val="333333"/>
                <w:sz w:val="18"/>
                <w:szCs w:val="18"/>
              </w:rPr>
              <w:t>0.87 (Strong)</w:t>
            </w:r>
          </w:p>
        </w:tc>
      </w:tr>
      <w:tr w:rsidR="00EC7F1F" w14:paraId="02CF5389" w14:textId="77777777">
        <w:tc>
          <w:tcPr>
            <w:tcW w:w="21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7DB4DF09" w14:textId="77777777" w:rsidR="00EC7F1F" w:rsidRDefault="00000B03">
            <w:r>
              <w:rPr>
                <w:b/>
                <w:bCs/>
                <w:color w:val="333333"/>
                <w:sz w:val="18"/>
                <w:szCs w:val="18"/>
              </w:rPr>
              <w:t>&lt; 20% above 200-DMA</w:t>
            </w:r>
          </w:p>
        </w:tc>
        <w:tc>
          <w:tcPr>
            <w:tcW w:w="14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1EDD6ADC" w14:textId="77777777" w:rsidR="00EC7F1F" w:rsidRDefault="00000B03">
            <w:pPr>
              <w:jc w:val="center"/>
            </w:pPr>
            <w:r>
              <w:rPr>
                <w:color w:val="333333"/>
                <w:sz w:val="18"/>
                <w:szCs w:val="18"/>
              </w:rPr>
              <w:t>VIX &lt; 20</w:t>
            </w:r>
          </w:p>
        </w:tc>
        <w:tc>
          <w:tcPr>
            <w:tcW w:w="18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2F5946E0" w14:textId="77777777" w:rsidR="00EC7F1F" w:rsidRDefault="00000B03">
            <w:pPr>
              <w:jc w:val="center"/>
            </w:pPr>
            <w:r>
              <w:rPr>
                <w:color w:val="333333"/>
                <w:sz w:val="18"/>
                <w:szCs w:val="18"/>
              </w:rPr>
              <w:t>+1.8%</w:t>
            </w:r>
          </w:p>
        </w:tc>
        <w:tc>
          <w:tcPr>
            <w:tcW w:w="18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0F00C7C2" w14:textId="77777777" w:rsidR="00EC7F1F" w:rsidRDefault="00000B03">
            <w:pPr>
              <w:jc w:val="center"/>
            </w:pPr>
            <w:r>
              <w:rPr>
                <w:color w:val="333333"/>
                <w:sz w:val="18"/>
                <w:szCs w:val="18"/>
              </w:rPr>
              <w:t>+3.7%</w:t>
            </w:r>
          </w:p>
        </w:tc>
        <w:tc>
          <w:tcPr>
            <w:tcW w:w="22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2BFC22C9" w14:textId="77777777" w:rsidR="00EC7F1F" w:rsidRDefault="00000B03">
            <w:pPr>
              <w:jc w:val="center"/>
            </w:pPr>
            <w:r>
              <w:rPr>
                <w:color w:val="333333"/>
                <w:sz w:val="18"/>
                <w:szCs w:val="18"/>
              </w:rPr>
              <w:t>0.58 (Moderate)</w:t>
            </w:r>
          </w:p>
        </w:tc>
      </w:tr>
    </w:tbl>
    <w:p w14:paraId="66C4726E" w14:textId="77777777" w:rsidR="00EC7F1F" w:rsidRDefault="00000B03">
      <w:pPr>
        <w:spacing w:before="60" w:after="80"/>
      </w:pPr>
      <w:r>
        <w:rPr>
          <w:i/>
          <w:iCs/>
          <w:color w:val="777777"/>
        </w:rPr>
        <w:t>Table 3.2: VIX–Breadth Interaction and Forward Return Analysis (1968–2025)</w:t>
      </w:r>
    </w:p>
    <w:p w14:paraId="1966C0A1" w14:textId="77777777" w:rsidR="00EC7F1F" w:rsidRDefault="00EC7F1F">
      <w:pPr>
        <w:spacing w:before="100"/>
      </w:pPr>
    </w:p>
    <w:p w14:paraId="15F8A2BA" w14:textId="77777777" w:rsidR="00EC7F1F" w:rsidRDefault="00000B03">
      <w:pPr>
        <w:spacing w:before="60" w:after="80"/>
      </w:pPr>
      <w:r>
        <w:rPr>
          <w:b/>
          <w:bCs/>
          <w:color w:val="333333"/>
        </w:rPr>
        <w:t>Divergence Analysis for Topping Behavior:</w:t>
      </w:r>
    </w:p>
    <w:p w14:paraId="7E8782EC" w14:textId="77777777" w:rsidR="00EC7F1F" w:rsidRDefault="00000B03">
      <w:pPr>
        <w:pStyle w:val="ListParagraph"/>
        <w:numPr>
          <w:ilvl w:val="0"/>
          <w:numId w:val="5"/>
        </w:numPr>
        <w:spacing w:before="40" w:after="40"/>
      </w:pPr>
      <w:r>
        <w:rPr>
          <w:color w:val="333333"/>
        </w:rPr>
        <w:t>Bearish breadth divergence: the price index makes new highs while the percentage of stocks above the 50-day and 200-day moving averages declines — this is the quantitative signature of the Financial Venturi Effect</w:t>
      </w:r>
    </w:p>
    <w:p w14:paraId="2FB69145" w14:textId="77777777" w:rsidR="00EC7F1F" w:rsidRDefault="00000B03">
      <w:pPr>
        <w:pStyle w:val="ListParagraph"/>
        <w:numPr>
          <w:ilvl w:val="0"/>
          <w:numId w:val="5"/>
        </w:numPr>
        <w:spacing w:before="40" w:after="40"/>
      </w:pPr>
      <w:r>
        <w:rPr>
          <w:color w:val="333333"/>
        </w:rPr>
        <w:t>Track the sequential deterioration pattern as a topping process indicator: (a) 10-day MA participation drops below 50% → (b) 50-day MA participation falls below 50% → (c) 200-day MA participation drops below 50%. Each successive breach increases the probability of a significant correction.</w:t>
      </w:r>
    </w:p>
    <w:p w14:paraId="09EFCF5F" w14:textId="77777777" w:rsidR="00EC7F1F" w:rsidRDefault="00000B03">
      <w:pPr>
        <w:pStyle w:val="ListParagraph"/>
        <w:numPr>
          <w:ilvl w:val="0"/>
          <w:numId w:val="5"/>
        </w:numPr>
        <w:spacing w:before="40" w:after="40"/>
      </w:pPr>
      <w:r>
        <w:rPr>
          <w:color w:val="333333"/>
        </w:rPr>
        <w:t>Confirm with new highs/new lows analysis: a contracting number of stocks making new 52-week highs while the index reaches record levels is a high-confidence narrowing signal</w:t>
      </w:r>
    </w:p>
    <w:p w14:paraId="4FF3380B" w14:textId="77777777" w:rsidR="00EC7F1F" w:rsidRDefault="00000B03">
      <w:pPr>
        <w:pStyle w:val="ListParagraph"/>
        <w:numPr>
          <w:ilvl w:val="0"/>
          <w:numId w:val="5"/>
        </w:numPr>
        <w:spacing w:before="40" w:after="40"/>
      </w:pPr>
      <w:r>
        <w:rPr>
          <w:color w:val="333333"/>
        </w:rPr>
        <w:t>Note: overbought breadth readings (≥90% above 10-DMA, ≥80% above 50-DMA) are not sell signals in themselves. Due to the asymmetric nature of how markets top versus bottom, extended overbought readings can persist in strong uptrends. The actionable signal is the divergence between price and breadth, not the absolute overbought level.</w:t>
      </w:r>
    </w:p>
    <w:p w14:paraId="40B9D13E" w14:textId="77777777" w:rsidR="00EC7F1F" w:rsidRDefault="00000B03">
      <w:pPr>
        <w:pStyle w:val="Heading3"/>
      </w:pPr>
      <w:bookmarkStart w:id="16" w:name="_Toc224818119"/>
      <w:r>
        <w:t>Step 3.8: Classify Oversold Conditions — Good Oversold vs. Bad Oversold</w:t>
      </w:r>
      <w:bookmarkEnd w:id="16"/>
    </w:p>
    <w:p w14:paraId="339D09CC" w14:textId="77777777" w:rsidR="00EC7F1F" w:rsidRDefault="00000B03">
      <w:pPr>
        <w:spacing w:before="60" w:after="80"/>
      </w:pPr>
      <w:r>
        <w:rPr>
          <w:color w:val="333333"/>
        </w:rPr>
        <w:t>A critical distinction exists between oversold conditions that produce sustained recoveries and those that generate only temporary relief rallies within larger structural declines. This classification is essential for calibrating position sizing, entry timing, and risk parameters. Not all oversold signals are buying opportunities — the context in which they occur determines their predictive value.</w:t>
      </w:r>
    </w:p>
    <w:p w14:paraId="2A8D9B85" w14:textId="77777777" w:rsidR="00EC7F1F" w:rsidRDefault="00000B03">
      <w:pPr>
        <w:spacing w:before="60" w:after="80"/>
      </w:pPr>
      <w:r>
        <w:rPr>
          <w:b/>
          <w:bCs/>
          <w:color w:val="333333"/>
        </w:rPr>
        <w:t>Good Oversold — Corrective Pullback Within an Established Uptrend:</w:t>
      </w:r>
    </w:p>
    <w:p w14:paraId="159410F0" w14:textId="77777777" w:rsidR="00EC7F1F" w:rsidRDefault="00000B03">
      <w:pPr>
        <w:pStyle w:val="ListParagraph"/>
        <w:numPr>
          <w:ilvl w:val="0"/>
          <w:numId w:val="6"/>
        </w:numPr>
        <w:spacing w:before="40" w:after="40"/>
      </w:pPr>
      <w:r>
        <w:rPr>
          <w:color w:val="333333"/>
        </w:rPr>
        <w:lastRenderedPageBreak/>
        <w:t>Price structure context: the pullback holds above prior significant swing lows, maintaining the pattern of higher highs and higher lows. Price respects key support zones (200-day MA, prior consolidation). Correction contained within standard Fibonacci parameters (38.2%–61.8%).</w:t>
      </w:r>
    </w:p>
    <w:p w14:paraId="6C5A95EF" w14:textId="77777777" w:rsidR="00EC7F1F" w:rsidRDefault="00000B03">
      <w:pPr>
        <w:pStyle w:val="ListParagraph"/>
        <w:numPr>
          <w:ilvl w:val="0"/>
          <w:numId w:val="6"/>
        </w:numPr>
        <w:spacing w:before="40" w:after="40"/>
      </w:pPr>
      <w:r>
        <w:rPr>
          <w:color w:val="333333"/>
        </w:rPr>
        <w:t>Breadth behavior: shallow breadth deterioration — participation percentages decline but not to historical extremes. Rapid breadth recovery once selling pressure subsides. Weakness often concentrated in specific sectors (rotation) rather than broad-based.</w:t>
      </w:r>
    </w:p>
    <w:p w14:paraId="6A36EE5A" w14:textId="77777777" w:rsidR="00EC7F1F" w:rsidRDefault="00000B03">
      <w:pPr>
        <w:pStyle w:val="ListParagraph"/>
        <w:numPr>
          <w:ilvl w:val="0"/>
          <w:numId w:val="6"/>
        </w:numPr>
        <w:spacing w:before="40" w:after="40"/>
      </w:pPr>
      <w:r>
        <w:rPr>
          <w:color w:val="333333"/>
        </w:rPr>
        <w:t>Momentum characteristics: oscillators reach oversold territory but not extreme historical levels. Bullish divergences form between price and indicators. Quick momentum reset as correction ends.</w:t>
      </w:r>
    </w:p>
    <w:p w14:paraId="5862EE8D" w14:textId="77777777" w:rsidR="00EC7F1F" w:rsidRDefault="00000B03">
      <w:pPr>
        <w:pStyle w:val="ListParagraph"/>
        <w:numPr>
          <w:ilvl w:val="0"/>
          <w:numId w:val="6"/>
        </w:numPr>
        <w:spacing w:before="40" w:after="40"/>
      </w:pPr>
      <w:r>
        <w:rPr>
          <w:color w:val="333333"/>
        </w:rPr>
        <w:t>Sentiment context: moderate pessimism without panic or capitulation behavior. Fast sentiment swings. Continued long-term investor confidence.</w:t>
      </w:r>
    </w:p>
    <w:p w14:paraId="66667ABA" w14:textId="77777777" w:rsidR="00EC7F1F" w:rsidRDefault="00000B03">
      <w:pPr>
        <w:spacing w:before="60" w:after="80"/>
        <w:ind w:left="720"/>
      </w:pPr>
      <w:r>
        <w:rPr>
          <w:i/>
          <w:iCs/>
          <w:color w:val="333333"/>
        </w:rPr>
        <w:t>Trading response: aggressive position building, wider stop placement, full mean-reversion targets based on recovery to prior highs and beyond. Minimal hedging.</w:t>
      </w:r>
    </w:p>
    <w:p w14:paraId="047F13CE" w14:textId="77777777" w:rsidR="00EC7F1F" w:rsidRDefault="00EC7F1F">
      <w:pPr>
        <w:spacing w:before="80"/>
      </w:pPr>
    </w:p>
    <w:p w14:paraId="1A277E56" w14:textId="77777777" w:rsidR="00EC7F1F" w:rsidRDefault="00000B03">
      <w:pPr>
        <w:spacing w:before="60" w:after="80"/>
      </w:pPr>
      <w:r>
        <w:rPr>
          <w:b/>
          <w:bCs/>
          <w:color w:val="333333"/>
        </w:rPr>
        <w:t>Bad Oversold — Structural Decline Reflecting Deteriorating Conditions:</w:t>
      </w:r>
    </w:p>
    <w:p w14:paraId="78265B11" w14:textId="77777777" w:rsidR="00EC7F1F" w:rsidRDefault="00000B03">
      <w:pPr>
        <w:pStyle w:val="ListParagraph"/>
        <w:numPr>
          <w:ilvl w:val="0"/>
          <w:numId w:val="7"/>
        </w:numPr>
        <w:spacing w:before="40" w:after="40"/>
      </w:pPr>
      <w:r>
        <w:rPr>
          <w:color w:val="333333"/>
        </w:rPr>
        <w:t>Price structure context: lower highs pattern — each rally fails at progressively lower levels. Key support levels are breached. Corrections exceed 61.8% Fibonacci retracements, signaling structural weakness rather than corrective behavior.</w:t>
      </w:r>
    </w:p>
    <w:p w14:paraId="7280935C" w14:textId="77777777" w:rsidR="00EC7F1F" w:rsidRDefault="00000B03">
      <w:pPr>
        <w:pStyle w:val="ListParagraph"/>
        <w:numPr>
          <w:ilvl w:val="0"/>
          <w:numId w:val="7"/>
        </w:numPr>
        <w:spacing w:before="40" w:after="40"/>
      </w:pPr>
      <w:r>
        <w:rPr>
          <w:color w:val="333333"/>
        </w:rPr>
        <w:t>Breadth behavior: deep breadth deterioration with participation percentages reaching historical extremes. Slow, grudging breadth recovery even during price rebounds. Broad-based weakness spanning multiple sectors and market capitalizations.</w:t>
      </w:r>
    </w:p>
    <w:p w14:paraId="49A217BF" w14:textId="77777777" w:rsidR="00EC7F1F" w:rsidRDefault="00000B03">
      <w:pPr>
        <w:pStyle w:val="ListParagraph"/>
        <w:numPr>
          <w:ilvl w:val="0"/>
          <w:numId w:val="7"/>
        </w:numPr>
        <w:spacing w:before="40" w:after="40"/>
      </w:pPr>
      <w:r>
        <w:rPr>
          <w:color w:val="333333"/>
        </w:rPr>
        <w:t>Momentum characteristics: extreme oversold readings reaching historically rare levels. Apparent bullish divergences form but subsequently fail. Momentum measures remain subdued even after initial price recoveries.</w:t>
      </w:r>
    </w:p>
    <w:p w14:paraId="6A75E6CE" w14:textId="77777777" w:rsidR="00EC7F1F" w:rsidRDefault="00000B03">
      <w:pPr>
        <w:pStyle w:val="ListParagraph"/>
        <w:numPr>
          <w:ilvl w:val="0"/>
          <w:numId w:val="7"/>
        </w:numPr>
        <w:spacing w:before="40" w:after="40"/>
      </w:pPr>
      <w:r>
        <w:rPr>
          <w:color w:val="333333"/>
        </w:rPr>
        <w:t>Volume characteristics: increasing volume on declines, weak volume on rallies. Periodic climactic capitulation spikes that temporarily exhaust selling but do not produce sustained reversals.</w:t>
      </w:r>
    </w:p>
    <w:p w14:paraId="482466AB" w14:textId="77777777" w:rsidR="00EC7F1F" w:rsidRDefault="00000B03">
      <w:pPr>
        <w:pStyle w:val="ListParagraph"/>
        <w:numPr>
          <w:ilvl w:val="0"/>
          <w:numId w:val="7"/>
        </w:numPr>
        <w:spacing w:before="40" w:after="40"/>
      </w:pPr>
      <w:r>
        <w:rPr>
          <w:color w:val="333333"/>
        </w:rPr>
        <w:t>Sentiment context: progressive fear development in waves rather than a single capitulation. Initial denial of the trend change followed by eventual panic.</w:t>
      </w:r>
    </w:p>
    <w:p w14:paraId="3783954C" w14:textId="77777777" w:rsidR="00EC7F1F" w:rsidRDefault="00000B03">
      <w:pPr>
        <w:spacing w:before="60" w:after="80"/>
        <w:ind w:left="720"/>
      </w:pPr>
      <w:r>
        <w:rPr>
          <w:i/>
          <w:iCs/>
          <w:color w:val="333333"/>
        </w:rPr>
        <w:t>Trading response: limited position sizing, counter-trend framing, partial retracement targets only (Fibonacci levels), tighter stop discipline. If classification is unclear, use a pilot position strategy with tiered entries and active monitoring.</w:t>
      </w:r>
    </w:p>
    <w:p w14:paraId="4E036305" w14:textId="77777777" w:rsidR="00EC7F1F" w:rsidRDefault="00000B03">
      <w:pPr>
        <w:spacing w:before="40" w:after="60"/>
        <w:ind w:left="720"/>
      </w:pPr>
      <w:r>
        <w:rPr>
          <w:i/>
          <w:iCs/>
          <w:color w:val="777777"/>
          <w:sz w:val="18"/>
          <w:szCs w:val="18"/>
        </w:rPr>
        <w:t>Case study: Q4 2018 — initial oversold conditions appeared consistent with a good oversold pullback, but moving average violations, weak recovery breadth, deteriorating volume patterns, and the absence of breadth thrust signals correctly classified it as bad oversold. The S&amp;P 500 ultimately declined over 20% from peak.</w:t>
      </w:r>
    </w:p>
    <w:p w14:paraId="72FA8B8F" w14:textId="77777777" w:rsidR="00EC7F1F" w:rsidRDefault="00EC7F1F">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EC7F1F" w14:paraId="355ECAC3" w14:textId="77777777">
        <w:tc>
          <w:tcPr>
            <w:tcW w:w="22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0C8D780" w14:textId="77777777" w:rsidR="00EC7F1F" w:rsidRDefault="00000B03">
            <w:r>
              <w:rPr>
                <w:b/>
                <w:bCs/>
                <w:color w:val="FFFFFF"/>
                <w:sz w:val="18"/>
                <w:szCs w:val="18"/>
              </w:rPr>
              <w:t>CHARACTERISTIC</w:t>
            </w:r>
          </w:p>
        </w:tc>
        <w:tc>
          <w:tcPr>
            <w:tcW w:w="358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04000838" w14:textId="77777777" w:rsidR="00EC7F1F" w:rsidRDefault="00000B03">
            <w:r>
              <w:rPr>
                <w:b/>
                <w:bCs/>
                <w:color w:val="FFFFFF"/>
                <w:sz w:val="18"/>
                <w:szCs w:val="18"/>
              </w:rPr>
              <w:t>GOOD OVERSOLD</w:t>
            </w:r>
          </w:p>
        </w:tc>
        <w:tc>
          <w:tcPr>
            <w:tcW w:w="358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10480119" w14:textId="77777777" w:rsidR="00EC7F1F" w:rsidRDefault="00000B03">
            <w:r>
              <w:rPr>
                <w:b/>
                <w:bCs/>
                <w:color w:val="FFFFFF"/>
                <w:sz w:val="18"/>
                <w:szCs w:val="18"/>
              </w:rPr>
              <w:t>BAD OVERSOLD</w:t>
            </w:r>
          </w:p>
        </w:tc>
      </w:tr>
      <w:tr w:rsidR="00EC7F1F" w14:paraId="516873D4"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0957AE7" w14:textId="77777777" w:rsidR="00EC7F1F" w:rsidRDefault="00000B03">
            <w:r>
              <w:rPr>
                <w:b/>
                <w:bCs/>
                <w:color w:val="333333"/>
                <w:sz w:val="18"/>
                <w:szCs w:val="18"/>
              </w:rPr>
              <w:t>Primary Trend</w:t>
            </w:r>
          </w:p>
        </w:tc>
        <w:tc>
          <w:tcPr>
            <w:tcW w:w="358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51989E26" w14:textId="77777777" w:rsidR="00EC7F1F" w:rsidRDefault="00000B03">
            <w:r>
              <w:rPr>
                <w:color w:val="333333"/>
                <w:sz w:val="18"/>
                <w:szCs w:val="18"/>
              </w:rPr>
              <w:t>Intact uptrend (higher lows held)</w:t>
            </w:r>
          </w:p>
        </w:tc>
        <w:tc>
          <w:tcPr>
            <w:tcW w:w="3580" w:type="dxa"/>
            <w:tcBorders>
              <w:top w:val="single" w:sz="1" w:space="0" w:color="BBBBBB"/>
              <w:left w:val="single" w:sz="1" w:space="0" w:color="BBBBBB"/>
              <w:bottom w:val="single" w:sz="1" w:space="0" w:color="BBBBBB"/>
              <w:right w:val="single" w:sz="1" w:space="0" w:color="BBBBBB"/>
            </w:tcBorders>
            <w:shd w:val="clear" w:color="auto" w:fill="FFEBEE"/>
            <w:tcMar>
              <w:top w:w="60" w:type="dxa"/>
              <w:left w:w="100" w:type="dxa"/>
              <w:bottom w:w="60" w:type="dxa"/>
              <w:right w:w="100" w:type="dxa"/>
            </w:tcMar>
          </w:tcPr>
          <w:p w14:paraId="66F7F46A" w14:textId="77777777" w:rsidR="00EC7F1F" w:rsidRDefault="00000B03">
            <w:r>
              <w:rPr>
                <w:color w:val="333333"/>
                <w:sz w:val="18"/>
                <w:szCs w:val="18"/>
              </w:rPr>
              <w:t>Structural breakdown (support violated)</w:t>
            </w:r>
          </w:p>
        </w:tc>
      </w:tr>
      <w:tr w:rsidR="00EC7F1F" w14:paraId="6049824C"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2F306661" w14:textId="77777777" w:rsidR="00EC7F1F" w:rsidRDefault="00000B03">
            <w:r>
              <w:rPr>
                <w:b/>
                <w:bCs/>
                <w:color w:val="333333"/>
                <w:sz w:val="18"/>
                <w:szCs w:val="18"/>
              </w:rPr>
              <w:t>200-Day MA</w:t>
            </w:r>
          </w:p>
        </w:tc>
        <w:tc>
          <w:tcPr>
            <w:tcW w:w="358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ED47353" w14:textId="77777777" w:rsidR="00EC7F1F" w:rsidRDefault="00000B03">
            <w:r>
              <w:rPr>
                <w:color w:val="333333"/>
                <w:sz w:val="18"/>
                <w:szCs w:val="18"/>
              </w:rPr>
              <w:t>Price above or quickly recovers above</w:t>
            </w:r>
          </w:p>
        </w:tc>
        <w:tc>
          <w:tcPr>
            <w:tcW w:w="3580" w:type="dxa"/>
            <w:tcBorders>
              <w:top w:val="single" w:sz="1" w:space="0" w:color="BBBBBB"/>
              <w:left w:val="single" w:sz="1" w:space="0" w:color="BBBBBB"/>
              <w:bottom w:val="single" w:sz="1" w:space="0" w:color="BBBBBB"/>
              <w:right w:val="single" w:sz="1" w:space="0" w:color="BBBBBB"/>
            </w:tcBorders>
            <w:shd w:val="clear" w:color="auto" w:fill="FFEBEE"/>
            <w:tcMar>
              <w:top w:w="60" w:type="dxa"/>
              <w:left w:w="100" w:type="dxa"/>
              <w:bottom w:w="60" w:type="dxa"/>
              <w:right w:w="100" w:type="dxa"/>
            </w:tcMar>
          </w:tcPr>
          <w:p w14:paraId="67591A0E" w14:textId="77777777" w:rsidR="00EC7F1F" w:rsidRDefault="00000B03">
            <w:r>
              <w:rPr>
                <w:color w:val="333333"/>
                <w:sz w:val="18"/>
                <w:szCs w:val="18"/>
              </w:rPr>
              <w:t>Price breaks below with momentum</w:t>
            </w:r>
          </w:p>
        </w:tc>
      </w:tr>
      <w:tr w:rsidR="00EC7F1F" w14:paraId="3647B7B4"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F187712" w14:textId="77777777" w:rsidR="00EC7F1F" w:rsidRDefault="00000B03">
            <w:r>
              <w:rPr>
                <w:b/>
                <w:bCs/>
                <w:color w:val="333333"/>
                <w:sz w:val="18"/>
                <w:szCs w:val="18"/>
              </w:rPr>
              <w:t>Breadth Deterioration</w:t>
            </w:r>
          </w:p>
        </w:tc>
        <w:tc>
          <w:tcPr>
            <w:tcW w:w="358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689CE918" w14:textId="77777777" w:rsidR="00EC7F1F" w:rsidRDefault="00000B03">
            <w:r>
              <w:rPr>
                <w:color w:val="333333"/>
                <w:sz w:val="18"/>
                <w:szCs w:val="18"/>
              </w:rPr>
              <w:t>Shallow; sector-specific rotation</w:t>
            </w:r>
          </w:p>
        </w:tc>
        <w:tc>
          <w:tcPr>
            <w:tcW w:w="3580" w:type="dxa"/>
            <w:tcBorders>
              <w:top w:val="single" w:sz="1" w:space="0" w:color="BBBBBB"/>
              <w:left w:val="single" w:sz="1" w:space="0" w:color="BBBBBB"/>
              <w:bottom w:val="single" w:sz="1" w:space="0" w:color="BBBBBB"/>
              <w:right w:val="single" w:sz="1" w:space="0" w:color="BBBBBB"/>
            </w:tcBorders>
            <w:shd w:val="clear" w:color="auto" w:fill="FFEBEE"/>
            <w:tcMar>
              <w:top w:w="60" w:type="dxa"/>
              <w:left w:w="100" w:type="dxa"/>
              <w:bottom w:w="60" w:type="dxa"/>
              <w:right w:w="100" w:type="dxa"/>
            </w:tcMar>
          </w:tcPr>
          <w:p w14:paraId="66A72BC9" w14:textId="77777777" w:rsidR="00EC7F1F" w:rsidRDefault="00000B03">
            <w:r>
              <w:rPr>
                <w:color w:val="333333"/>
                <w:sz w:val="18"/>
                <w:szCs w:val="18"/>
              </w:rPr>
              <w:t>Deep and broad-based across all sectors</w:t>
            </w:r>
          </w:p>
        </w:tc>
      </w:tr>
      <w:tr w:rsidR="00EC7F1F" w14:paraId="49665934"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785F4DA1" w14:textId="77777777" w:rsidR="00EC7F1F" w:rsidRDefault="00000B03">
            <w:r>
              <w:rPr>
                <w:b/>
                <w:bCs/>
                <w:color w:val="333333"/>
                <w:sz w:val="18"/>
                <w:szCs w:val="18"/>
              </w:rPr>
              <w:t>Breadth Recovery Speed</w:t>
            </w:r>
          </w:p>
        </w:tc>
        <w:tc>
          <w:tcPr>
            <w:tcW w:w="358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7B320023" w14:textId="77777777" w:rsidR="00EC7F1F" w:rsidRDefault="00000B03">
            <w:r>
              <w:rPr>
                <w:color w:val="333333"/>
                <w:sz w:val="18"/>
                <w:szCs w:val="18"/>
              </w:rPr>
              <w:t>Rapid — participation rebounds quickly</w:t>
            </w:r>
          </w:p>
        </w:tc>
        <w:tc>
          <w:tcPr>
            <w:tcW w:w="3580" w:type="dxa"/>
            <w:tcBorders>
              <w:top w:val="single" w:sz="1" w:space="0" w:color="BBBBBB"/>
              <w:left w:val="single" w:sz="1" w:space="0" w:color="BBBBBB"/>
              <w:bottom w:val="single" w:sz="1" w:space="0" w:color="BBBBBB"/>
              <w:right w:val="single" w:sz="1" w:space="0" w:color="BBBBBB"/>
            </w:tcBorders>
            <w:shd w:val="clear" w:color="auto" w:fill="FFEBEE"/>
            <w:tcMar>
              <w:top w:w="60" w:type="dxa"/>
              <w:left w:w="100" w:type="dxa"/>
              <w:bottom w:w="60" w:type="dxa"/>
              <w:right w:w="100" w:type="dxa"/>
            </w:tcMar>
          </w:tcPr>
          <w:p w14:paraId="483C3913" w14:textId="77777777" w:rsidR="00EC7F1F" w:rsidRDefault="00000B03">
            <w:r>
              <w:rPr>
                <w:color w:val="333333"/>
                <w:sz w:val="18"/>
                <w:szCs w:val="18"/>
              </w:rPr>
              <w:t>Slow and grudging; false starts common</w:t>
            </w:r>
          </w:p>
        </w:tc>
      </w:tr>
      <w:tr w:rsidR="00EC7F1F" w14:paraId="618C1D19"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6790EC8" w14:textId="77777777" w:rsidR="00EC7F1F" w:rsidRDefault="00000B03">
            <w:r>
              <w:rPr>
                <w:b/>
                <w:bCs/>
                <w:color w:val="333333"/>
                <w:sz w:val="18"/>
                <w:szCs w:val="18"/>
              </w:rPr>
              <w:t>Recovery Volume</w:t>
            </w:r>
          </w:p>
        </w:tc>
        <w:tc>
          <w:tcPr>
            <w:tcW w:w="358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D390844" w14:textId="77777777" w:rsidR="00EC7F1F" w:rsidRDefault="00000B03">
            <w:r>
              <w:rPr>
                <w:color w:val="333333"/>
                <w:sz w:val="18"/>
                <w:szCs w:val="18"/>
              </w:rPr>
              <w:t>Expanding volume on rallies</w:t>
            </w:r>
          </w:p>
        </w:tc>
        <w:tc>
          <w:tcPr>
            <w:tcW w:w="3580" w:type="dxa"/>
            <w:tcBorders>
              <w:top w:val="single" w:sz="1" w:space="0" w:color="BBBBBB"/>
              <w:left w:val="single" w:sz="1" w:space="0" w:color="BBBBBB"/>
              <w:bottom w:val="single" w:sz="1" w:space="0" w:color="BBBBBB"/>
              <w:right w:val="single" w:sz="1" w:space="0" w:color="BBBBBB"/>
            </w:tcBorders>
            <w:shd w:val="clear" w:color="auto" w:fill="FFEBEE"/>
            <w:tcMar>
              <w:top w:w="60" w:type="dxa"/>
              <w:left w:w="100" w:type="dxa"/>
              <w:bottom w:w="60" w:type="dxa"/>
              <w:right w:w="100" w:type="dxa"/>
            </w:tcMar>
          </w:tcPr>
          <w:p w14:paraId="2FFEEB0D" w14:textId="77777777" w:rsidR="00EC7F1F" w:rsidRDefault="00000B03">
            <w:r>
              <w:rPr>
                <w:color w:val="333333"/>
                <w:sz w:val="18"/>
                <w:szCs w:val="18"/>
              </w:rPr>
              <w:t>Weak volume on rallies; heavy on declines</w:t>
            </w:r>
          </w:p>
        </w:tc>
      </w:tr>
      <w:tr w:rsidR="00EC7F1F" w14:paraId="6408710B"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57453DF1" w14:textId="77777777" w:rsidR="00EC7F1F" w:rsidRDefault="00000B03">
            <w:r>
              <w:rPr>
                <w:b/>
                <w:bCs/>
                <w:color w:val="333333"/>
                <w:sz w:val="18"/>
                <w:szCs w:val="18"/>
              </w:rPr>
              <w:lastRenderedPageBreak/>
              <w:t>Breadth Thrust</w:t>
            </w:r>
          </w:p>
        </w:tc>
        <w:tc>
          <w:tcPr>
            <w:tcW w:w="358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6663C0B" w14:textId="77777777" w:rsidR="00EC7F1F" w:rsidRDefault="00000B03">
            <w:r>
              <w:rPr>
                <w:color w:val="333333"/>
                <w:sz w:val="18"/>
                <w:szCs w:val="18"/>
              </w:rPr>
              <w:t>Strong breadth thrust on recovery</w:t>
            </w:r>
          </w:p>
        </w:tc>
        <w:tc>
          <w:tcPr>
            <w:tcW w:w="3580" w:type="dxa"/>
            <w:tcBorders>
              <w:top w:val="single" w:sz="1" w:space="0" w:color="BBBBBB"/>
              <w:left w:val="single" w:sz="1" w:space="0" w:color="BBBBBB"/>
              <w:bottom w:val="single" w:sz="1" w:space="0" w:color="BBBBBB"/>
              <w:right w:val="single" w:sz="1" w:space="0" w:color="BBBBBB"/>
            </w:tcBorders>
            <w:shd w:val="clear" w:color="auto" w:fill="FFEBEE"/>
            <w:tcMar>
              <w:top w:w="60" w:type="dxa"/>
              <w:left w:w="100" w:type="dxa"/>
              <w:bottom w:w="60" w:type="dxa"/>
              <w:right w:w="100" w:type="dxa"/>
            </w:tcMar>
          </w:tcPr>
          <w:p w14:paraId="6B1A1E47" w14:textId="77777777" w:rsidR="00EC7F1F" w:rsidRDefault="00000B03">
            <w:r>
              <w:rPr>
                <w:color w:val="333333"/>
                <w:sz w:val="18"/>
                <w:szCs w:val="18"/>
              </w:rPr>
              <w:t>Absent or failed thrust signals</w:t>
            </w:r>
          </w:p>
        </w:tc>
      </w:tr>
      <w:tr w:rsidR="00EC7F1F" w14:paraId="42FA6B02"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2E59860" w14:textId="77777777" w:rsidR="00EC7F1F" w:rsidRDefault="00000B03">
            <w:r>
              <w:rPr>
                <w:b/>
                <w:bCs/>
                <w:color w:val="333333"/>
                <w:sz w:val="18"/>
                <w:szCs w:val="18"/>
              </w:rPr>
              <w:t>Fibonacci Containment</w:t>
            </w:r>
          </w:p>
        </w:tc>
        <w:tc>
          <w:tcPr>
            <w:tcW w:w="358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D136B80" w14:textId="77777777" w:rsidR="00EC7F1F" w:rsidRDefault="00000B03">
            <w:r>
              <w:rPr>
                <w:color w:val="333333"/>
                <w:sz w:val="18"/>
                <w:szCs w:val="18"/>
              </w:rPr>
              <w:t>Pullback within 38.2%–61.8%</w:t>
            </w:r>
          </w:p>
        </w:tc>
        <w:tc>
          <w:tcPr>
            <w:tcW w:w="3580" w:type="dxa"/>
            <w:tcBorders>
              <w:top w:val="single" w:sz="1" w:space="0" w:color="BBBBBB"/>
              <w:left w:val="single" w:sz="1" w:space="0" w:color="BBBBBB"/>
              <w:bottom w:val="single" w:sz="1" w:space="0" w:color="BBBBBB"/>
              <w:right w:val="single" w:sz="1" w:space="0" w:color="BBBBBB"/>
            </w:tcBorders>
            <w:shd w:val="clear" w:color="auto" w:fill="FFEBEE"/>
            <w:tcMar>
              <w:top w:w="60" w:type="dxa"/>
              <w:left w:w="100" w:type="dxa"/>
              <w:bottom w:w="60" w:type="dxa"/>
              <w:right w:w="100" w:type="dxa"/>
            </w:tcMar>
          </w:tcPr>
          <w:p w14:paraId="5D0FD20F" w14:textId="77777777" w:rsidR="00EC7F1F" w:rsidRDefault="00000B03">
            <w:r>
              <w:rPr>
                <w:color w:val="333333"/>
                <w:sz w:val="18"/>
                <w:szCs w:val="18"/>
              </w:rPr>
              <w:t>Decline exceeds 61.8% retracement</w:t>
            </w:r>
          </w:p>
        </w:tc>
      </w:tr>
      <w:tr w:rsidR="00EC7F1F" w14:paraId="35A8CB1F"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1BE7F23D" w14:textId="77777777" w:rsidR="00EC7F1F" w:rsidRDefault="00000B03">
            <w:r>
              <w:rPr>
                <w:b/>
                <w:bCs/>
                <w:color w:val="333333"/>
                <w:sz w:val="18"/>
                <w:szCs w:val="18"/>
              </w:rPr>
              <w:t>Oscillator Behavior</w:t>
            </w:r>
          </w:p>
        </w:tc>
        <w:tc>
          <w:tcPr>
            <w:tcW w:w="358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C44BEB7" w14:textId="77777777" w:rsidR="00EC7F1F" w:rsidRDefault="00000B03">
            <w:r>
              <w:rPr>
                <w:color w:val="333333"/>
                <w:sz w:val="18"/>
                <w:szCs w:val="18"/>
              </w:rPr>
              <w:t>Bullish divergences develop and hold</w:t>
            </w:r>
          </w:p>
        </w:tc>
        <w:tc>
          <w:tcPr>
            <w:tcW w:w="3580" w:type="dxa"/>
            <w:tcBorders>
              <w:top w:val="single" w:sz="1" w:space="0" w:color="BBBBBB"/>
              <w:left w:val="single" w:sz="1" w:space="0" w:color="BBBBBB"/>
              <w:bottom w:val="single" w:sz="1" w:space="0" w:color="BBBBBB"/>
              <w:right w:val="single" w:sz="1" w:space="0" w:color="BBBBBB"/>
            </w:tcBorders>
            <w:shd w:val="clear" w:color="auto" w:fill="FFEBEE"/>
            <w:tcMar>
              <w:top w:w="60" w:type="dxa"/>
              <w:left w:w="100" w:type="dxa"/>
              <w:bottom w:w="60" w:type="dxa"/>
              <w:right w:w="100" w:type="dxa"/>
            </w:tcMar>
          </w:tcPr>
          <w:p w14:paraId="645540EE" w14:textId="77777777" w:rsidR="00EC7F1F" w:rsidRDefault="00000B03">
            <w:r>
              <w:rPr>
                <w:color w:val="333333"/>
                <w:sz w:val="18"/>
                <w:szCs w:val="18"/>
              </w:rPr>
              <w:t>Apparent divergences form then fail</w:t>
            </w:r>
          </w:p>
        </w:tc>
      </w:tr>
      <w:tr w:rsidR="00EC7F1F" w14:paraId="19641B24"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8523E1" w14:textId="77777777" w:rsidR="00EC7F1F" w:rsidRDefault="00000B03">
            <w:r>
              <w:rPr>
                <w:b/>
                <w:bCs/>
                <w:color w:val="333333"/>
                <w:sz w:val="18"/>
                <w:szCs w:val="18"/>
              </w:rPr>
              <w:t>Position Sizing</w:t>
            </w:r>
          </w:p>
        </w:tc>
        <w:tc>
          <w:tcPr>
            <w:tcW w:w="358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39BE2A62" w14:textId="77777777" w:rsidR="00EC7F1F" w:rsidRDefault="00000B03">
            <w:r>
              <w:rPr>
                <w:color w:val="333333"/>
                <w:sz w:val="18"/>
                <w:szCs w:val="18"/>
              </w:rPr>
              <w:t>Full allocation at entry</w:t>
            </w:r>
          </w:p>
        </w:tc>
        <w:tc>
          <w:tcPr>
            <w:tcW w:w="3580" w:type="dxa"/>
            <w:tcBorders>
              <w:top w:val="single" w:sz="1" w:space="0" w:color="BBBBBB"/>
              <w:left w:val="single" w:sz="1" w:space="0" w:color="BBBBBB"/>
              <w:bottom w:val="single" w:sz="1" w:space="0" w:color="BBBBBB"/>
              <w:right w:val="single" w:sz="1" w:space="0" w:color="BBBBBB"/>
            </w:tcBorders>
            <w:shd w:val="clear" w:color="auto" w:fill="FFEBEE"/>
            <w:tcMar>
              <w:top w:w="60" w:type="dxa"/>
              <w:left w:w="100" w:type="dxa"/>
              <w:bottom w:w="60" w:type="dxa"/>
              <w:right w:w="100" w:type="dxa"/>
            </w:tcMar>
          </w:tcPr>
          <w:p w14:paraId="4F6CBB8E" w14:textId="77777777" w:rsidR="00EC7F1F" w:rsidRDefault="00000B03">
            <w:r>
              <w:rPr>
                <w:color w:val="333333"/>
                <w:sz w:val="18"/>
                <w:szCs w:val="18"/>
              </w:rPr>
              <w:t>Reduced size; pilot position approach</w:t>
            </w:r>
          </w:p>
        </w:tc>
      </w:tr>
      <w:tr w:rsidR="00EC7F1F" w14:paraId="4D99E074"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307204C7" w14:textId="77777777" w:rsidR="00EC7F1F" w:rsidRDefault="00000B03">
            <w:r>
              <w:rPr>
                <w:b/>
                <w:bCs/>
                <w:color w:val="333333"/>
                <w:sz w:val="18"/>
                <w:szCs w:val="18"/>
              </w:rPr>
              <w:t>Stop Placement</w:t>
            </w:r>
          </w:p>
        </w:tc>
        <w:tc>
          <w:tcPr>
            <w:tcW w:w="358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212E11D3" w14:textId="77777777" w:rsidR="00EC7F1F" w:rsidRDefault="00000B03">
            <w:r>
              <w:rPr>
                <w:color w:val="333333"/>
                <w:sz w:val="18"/>
                <w:szCs w:val="18"/>
              </w:rPr>
              <w:t>Wider — accommodate normal volatility</w:t>
            </w:r>
          </w:p>
        </w:tc>
        <w:tc>
          <w:tcPr>
            <w:tcW w:w="3580" w:type="dxa"/>
            <w:tcBorders>
              <w:top w:val="single" w:sz="1" w:space="0" w:color="BBBBBB"/>
              <w:left w:val="single" w:sz="1" w:space="0" w:color="BBBBBB"/>
              <w:bottom w:val="single" w:sz="1" w:space="0" w:color="BBBBBB"/>
              <w:right w:val="single" w:sz="1" w:space="0" w:color="BBBBBB"/>
            </w:tcBorders>
            <w:shd w:val="clear" w:color="auto" w:fill="FFEBEE"/>
            <w:tcMar>
              <w:top w:w="60" w:type="dxa"/>
              <w:left w:w="100" w:type="dxa"/>
              <w:bottom w:w="60" w:type="dxa"/>
              <w:right w:w="100" w:type="dxa"/>
            </w:tcMar>
          </w:tcPr>
          <w:p w14:paraId="7F6E82B9" w14:textId="77777777" w:rsidR="00EC7F1F" w:rsidRDefault="00000B03">
            <w:r>
              <w:rPr>
                <w:color w:val="333333"/>
                <w:sz w:val="18"/>
                <w:szCs w:val="18"/>
              </w:rPr>
              <w:t>Tighter — protect against continuation</w:t>
            </w:r>
          </w:p>
        </w:tc>
      </w:tr>
      <w:tr w:rsidR="00EC7F1F" w14:paraId="589E6E1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344958A" w14:textId="77777777" w:rsidR="00EC7F1F" w:rsidRDefault="00000B03">
            <w:r>
              <w:rPr>
                <w:b/>
                <w:bCs/>
                <w:color w:val="333333"/>
                <w:sz w:val="18"/>
                <w:szCs w:val="18"/>
              </w:rPr>
              <w:t>Profit Target</w:t>
            </w:r>
          </w:p>
        </w:tc>
        <w:tc>
          <w:tcPr>
            <w:tcW w:w="3580" w:type="dxa"/>
            <w:tcBorders>
              <w:top w:val="single" w:sz="1" w:space="0" w:color="BBBBBB"/>
              <w:left w:val="single" w:sz="1" w:space="0" w:color="BBBBBB"/>
              <w:bottom w:val="single" w:sz="1" w:space="0" w:color="BBBBBB"/>
              <w:right w:val="single" w:sz="1" w:space="0" w:color="BBBBBB"/>
            </w:tcBorders>
            <w:shd w:val="clear" w:color="auto" w:fill="E8F5E9"/>
            <w:tcMar>
              <w:top w:w="60" w:type="dxa"/>
              <w:left w:w="100" w:type="dxa"/>
              <w:bottom w:w="60" w:type="dxa"/>
              <w:right w:w="100" w:type="dxa"/>
            </w:tcMar>
          </w:tcPr>
          <w:p w14:paraId="192988FB" w14:textId="77777777" w:rsidR="00EC7F1F" w:rsidRDefault="00000B03">
            <w:r>
              <w:rPr>
                <w:color w:val="333333"/>
                <w:sz w:val="18"/>
                <w:szCs w:val="18"/>
              </w:rPr>
              <w:t>Full recovery to prior highs and beyond</w:t>
            </w:r>
          </w:p>
        </w:tc>
        <w:tc>
          <w:tcPr>
            <w:tcW w:w="3580" w:type="dxa"/>
            <w:tcBorders>
              <w:top w:val="single" w:sz="1" w:space="0" w:color="BBBBBB"/>
              <w:left w:val="single" w:sz="1" w:space="0" w:color="BBBBBB"/>
              <w:bottom w:val="single" w:sz="1" w:space="0" w:color="BBBBBB"/>
              <w:right w:val="single" w:sz="1" w:space="0" w:color="BBBBBB"/>
            </w:tcBorders>
            <w:shd w:val="clear" w:color="auto" w:fill="FFEBEE"/>
            <w:tcMar>
              <w:top w:w="60" w:type="dxa"/>
              <w:left w:w="100" w:type="dxa"/>
              <w:bottom w:w="60" w:type="dxa"/>
              <w:right w:w="100" w:type="dxa"/>
            </w:tcMar>
          </w:tcPr>
          <w:p w14:paraId="6978C159" w14:textId="77777777" w:rsidR="00EC7F1F" w:rsidRDefault="00000B03">
            <w:r>
              <w:rPr>
                <w:color w:val="333333"/>
                <w:sz w:val="18"/>
                <w:szCs w:val="18"/>
              </w:rPr>
              <w:t>Partial retracement targets only</w:t>
            </w:r>
          </w:p>
        </w:tc>
      </w:tr>
    </w:tbl>
    <w:p w14:paraId="50F149E2" w14:textId="2B7F37EA" w:rsidR="00EC7F1F" w:rsidRDefault="00000B03">
      <w:pPr>
        <w:spacing w:before="60" w:after="80"/>
        <w:rPr>
          <w:i/>
          <w:iCs/>
          <w:color w:val="777777"/>
        </w:rPr>
      </w:pPr>
      <w:r>
        <w:rPr>
          <w:i/>
          <w:iCs/>
          <w:color w:val="777777"/>
        </w:rPr>
        <w:t>Table 3.3: Good Oversold vs. Bad Oversold Classification Framework — Differential characteristics and trading responses.</w:t>
      </w:r>
      <w:r>
        <w:rPr>
          <w:i/>
          <w:iCs/>
          <w:color w:val="777777"/>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1C52FC" w14:paraId="52DE917B" w14:textId="77777777" w:rsidTr="00882A23">
        <w:tc>
          <w:tcPr>
            <w:tcW w:w="1200" w:type="dxa"/>
            <w:shd w:val="clear" w:color="auto" w:fill="1B2A4A"/>
            <w:tcMar>
              <w:top w:w="120" w:type="dxa"/>
              <w:left w:w="120" w:type="dxa"/>
              <w:bottom w:w="120" w:type="dxa"/>
              <w:right w:w="80" w:type="dxa"/>
            </w:tcMar>
            <w:vAlign w:val="center"/>
          </w:tcPr>
          <w:p w14:paraId="67AEBB4D" w14:textId="77777777" w:rsidR="001C52FC" w:rsidRDefault="001C52FC" w:rsidP="00882A23">
            <w:pPr>
              <w:jc w:val="center"/>
            </w:pPr>
            <w:r>
              <w:rPr>
                <w:b/>
                <w:bCs/>
                <w:color w:val="FFFFFF"/>
              </w:rPr>
              <w:t>PHASE 3</w:t>
            </w:r>
          </w:p>
        </w:tc>
        <w:tc>
          <w:tcPr>
            <w:tcW w:w="8160" w:type="dxa"/>
            <w:shd w:val="clear" w:color="auto" w:fill="D5E8F8"/>
            <w:tcMar>
              <w:top w:w="120" w:type="dxa"/>
              <w:left w:w="160" w:type="dxa"/>
              <w:bottom w:w="120" w:type="dxa"/>
              <w:right w:w="120" w:type="dxa"/>
            </w:tcMar>
            <w:vAlign w:val="center"/>
          </w:tcPr>
          <w:p w14:paraId="35546462" w14:textId="77777777" w:rsidR="001C52FC" w:rsidRDefault="001C52FC" w:rsidP="00882A23">
            <w:pPr>
              <w:spacing w:after="40"/>
            </w:pPr>
            <w:r>
              <w:rPr>
                <w:b/>
                <w:bCs/>
                <w:color w:val="1B2A4A"/>
                <w:sz w:val="26"/>
                <w:szCs w:val="26"/>
              </w:rPr>
              <w:t>Market Regime Identification</w:t>
            </w:r>
          </w:p>
          <w:p w14:paraId="019BD8F3" w14:textId="77777777" w:rsidR="001C52FC" w:rsidRDefault="001C52FC" w:rsidP="00882A23">
            <w:r>
              <w:rPr>
                <w:i/>
                <w:iCs/>
                <w:color w:val="2E5090"/>
                <w:sz w:val="20"/>
                <w:szCs w:val="20"/>
              </w:rPr>
              <w:t>Apply the Janus Factor framework to determine the dominant market feedback mechanism</w:t>
            </w:r>
          </w:p>
        </w:tc>
      </w:tr>
    </w:tbl>
    <w:p w14:paraId="3F800629" w14:textId="77777777" w:rsidR="001C52FC" w:rsidRDefault="001C52FC" w:rsidP="001C52FC">
      <w:pPr>
        <w:spacing w:before="60" w:after="80"/>
      </w:pPr>
      <w:r>
        <w:rPr>
          <w:color w:val="333333"/>
        </w:rPr>
        <w:t>The Janus Factor methodology identifies which fundamental market mechanism—mean reversion or trend persistence—currently dominates price action. Markets operate as complex adaptive systems where trader behavior alternates between positive feedback cycles (trend-following) and negative feedback cycles (contrarian), creating observable regime-dependent statistical properties.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1C52FC" w14:paraId="450366BF" w14:textId="77777777" w:rsidTr="00882A23">
        <w:tc>
          <w:tcPr>
            <w:tcW w:w="8400" w:type="dxa"/>
            <w:tcBorders>
              <w:top w:val="single" w:sz="2" w:space="0" w:color="2E5090"/>
              <w:left w:val="single" w:sz="6" w:space="0" w:color="2E5090"/>
              <w:bottom w:val="single" w:sz="2" w:space="0" w:color="2E5090"/>
              <w:right w:val="single" w:sz="2" w:space="0" w:color="2E5090"/>
            </w:tcBorders>
            <w:shd w:val="clear" w:color="auto" w:fill="EBF3FC"/>
            <w:tcMar>
              <w:top w:w="80" w:type="dxa"/>
              <w:left w:w="160" w:type="dxa"/>
              <w:bottom w:w="80" w:type="dxa"/>
              <w:right w:w="120" w:type="dxa"/>
            </w:tcMar>
          </w:tcPr>
          <w:p w14:paraId="2D79161B" w14:textId="77777777" w:rsidR="001C52FC" w:rsidRDefault="001C52FC" w:rsidP="00882A23">
            <w:pPr>
              <w:spacing w:after="60"/>
            </w:pPr>
            <w:r>
              <w:rPr>
                <w:b/>
                <w:bCs/>
                <w:color w:val="2E5090"/>
                <w:sz w:val="20"/>
                <w:szCs w:val="20"/>
              </w:rPr>
              <w:t>▶ Required Inputs</w:t>
            </w:r>
          </w:p>
          <w:p w14:paraId="1951E107" w14:textId="77777777" w:rsidR="001C52FC" w:rsidRDefault="001C52FC" w:rsidP="00882A23">
            <w:pPr>
              <w:spacing w:before="20" w:after="20"/>
            </w:pPr>
            <w:r>
              <w:rPr>
                <w:color w:val="555555"/>
                <w:sz w:val="18"/>
                <w:szCs w:val="18"/>
              </w:rPr>
              <w:t xml:space="preserve">    •  Constituent security returns (daily) for the investable universe</w:t>
            </w:r>
          </w:p>
          <w:p w14:paraId="75328D80" w14:textId="77777777" w:rsidR="001C52FC" w:rsidRDefault="001C52FC" w:rsidP="00882A23">
            <w:pPr>
              <w:spacing w:before="20" w:after="20"/>
            </w:pPr>
            <w:r>
              <w:rPr>
                <w:color w:val="555555"/>
                <w:sz w:val="18"/>
                <w:szCs w:val="18"/>
              </w:rPr>
              <w:t xml:space="preserve">    •  Benchmark index returns (daily) for the corresponding period</w:t>
            </w:r>
          </w:p>
          <w:p w14:paraId="2F6B5E0A" w14:textId="77777777" w:rsidR="001C52FC" w:rsidRDefault="001C52FC" w:rsidP="00882A23">
            <w:pPr>
              <w:spacing w:before="20" w:after="20"/>
            </w:pPr>
            <w:r>
              <w:rPr>
                <w:color w:val="555555"/>
                <w:sz w:val="18"/>
                <w:szCs w:val="18"/>
              </w:rPr>
              <w:t xml:space="preserve">    •  Phase 2 outputs: Asset class momentum classifications</w:t>
            </w:r>
          </w:p>
        </w:tc>
      </w:tr>
    </w:tbl>
    <w:p w14:paraId="2E89814F" w14:textId="77777777" w:rsidR="001C52FC" w:rsidRDefault="001C52FC" w:rsidP="001C52FC">
      <w:pPr>
        <w:spacing w:before="120"/>
      </w:pPr>
    </w:p>
    <w:p w14:paraId="6C3277F5" w14:textId="77777777" w:rsidR="001C52FC" w:rsidRDefault="001C52FC" w:rsidP="001C52FC">
      <w:pPr>
        <w:pStyle w:val="Heading3"/>
      </w:pPr>
      <w:bookmarkStart w:id="17" w:name="_Toc224818111"/>
      <w:r>
        <w:t>Step 3.1: Construct the Benchmark Equivalence Line (BEL)</w:t>
      </w:r>
      <w:bookmarkEnd w:id="17"/>
    </w:p>
    <w:p w14:paraId="6730DE0C" w14:textId="77777777" w:rsidR="001C52FC" w:rsidRDefault="001C52FC" w:rsidP="001C52FC">
      <w:pPr>
        <w:pStyle w:val="ListParagraph"/>
        <w:numPr>
          <w:ilvl w:val="0"/>
          <w:numId w:val="10"/>
        </w:numPr>
        <w:spacing w:before="40" w:after="40"/>
      </w:pPr>
      <w:r>
        <w:rPr>
          <w:color w:val="333333"/>
        </w:rPr>
        <w:t>Segregate market return data into positive-return and negative-return trading days</w:t>
      </w:r>
    </w:p>
    <w:p w14:paraId="58C36FB7" w14:textId="77777777" w:rsidR="001C52FC" w:rsidRDefault="001C52FC" w:rsidP="001C52FC">
      <w:pPr>
        <w:pStyle w:val="ListParagraph"/>
        <w:numPr>
          <w:ilvl w:val="0"/>
          <w:numId w:val="10"/>
        </w:numPr>
        <w:spacing w:before="40" w:after="40"/>
      </w:pPr>
      <w:r>
        <w:rPr>
          <w:color w:val="333333"/>
        </w:rPr>
        <w:t>Calculate offensive performance for each security: relative performance during positive-return periods</w:t>
      </w:r>
    </w:p>
    <w:p w14:paraId="5CA194E6" w14:textId="77777777" w:rsidR="001C52FC" w:rsidRDefault="001C52FC" w:rsidP="001C52FC">
      <w:pPr>
        <w:pStyle w:val="ListParagraph"/>
        <w:numPr>
          <w:ilvl w:val="0"/>
          <w:numId w:val="10"/>
        </w:numPr>
        <w:spacing w:before="40" w:after="40"/>
      </w:pPr>
      <w:r>
        <w:rPr>
          <w:color w:val="333333"/>
        </w:rPr>
        <w:t>Calculate defensive performance for each security: relative performance during negative-return periods</w:t>
      </w:r>
    </w:p>
    <w:p w14:paraId="3DDA1817" w14:textId="77777777" w:rsidR="001C52FC" w:rsidRDefault="001C52FC" w:rsidP="001C52FC">
      <w:pPr>
        <w:pStyle w:val="ListParagraph"/>
        <w:numPr>
          <w:ilvl w:val="0"/>
          <w:numId w:val="10"/>
        </w:numPr>
        <w:spacing w:before="40" w:after="40"/>
      </w:pPr>
      <w:r>
        <w:rPr>
          <w:color w:val="333333"/>
        </w:rPr>
        <w:t>Plot offensive performance (y-axis) against defensive performance (x-axis) for all constituents</w:t>
      </w:r>
    </w:p>
    <w:p w14:paraId="72DB10B4" w14:textId="77777777" w:rsidR="001C52FC" w:rsidRDefault="001C52FC" w:rsidP="001C52FC">
      <w:pPr>
        <w:pStyle w:val="ListParagraph"/>
        <w:numPr>
          <w:ilvl w:val="0"/>
          <w:numId w:val="10"/>
        </w:numPr>
        <w:spacing w:before="40" w:after="40"/>
      </w:pPr>
      <w:r>
        <w:rPr>
          <w:color w:val="333333"/>
        </w:rPr>
        <w:t>Construct the diagonal BEL representing performance combinations that match benchmark returns</w:t>
      </w:r>
    </w:p>
    <w:p w14:paraId="591CCE3D" w14:textId="77777777" w:rsidR="001C52FC" w:rsidRDefault="001C52FC" w:rsidP="001C52FC">
      <w:pPr>
        <w:pStyle w:val="Heading3"/>
      </w:pPr>
      <w:bookmarkStart w:id="18" w:name="_Toc224818112"/>
      <w:r>
        <w:t>Step 3.2: Calculate The Spread</w:t>
      </w:r>
      <w:bookmarkEnd w:id="18"/>
    </w:p>
    <w:p w14:paraId="4120D5F3" w14:textId="77777777" w:rsidR="001C52FC" w:rsidRDefault="001C52FC" w:rsidP="001C52FC">
      <w:pPr>
        <w:pStyle w:val="ListParagraph"/>
        <w:numPr>
          <w:ilvl w:val="0"/>
          <w:numId w:val="11"/>
        </w:numPr>
        <w:spacing w:before="40" w:after="40"/>
      </w:pPr>
      <w:r>
        <w:rPr>
          <w:color w:val="333333"/>
        </w:rPr>
        <w:t>Identify securities positioned northwest of the BEL (outperformers in both regimes) and southeast (underperformers)</w:t>
      </w:r>
    </w:p>
    <w:p w14:paraId="23BC9250" w14:textId="77777777" w:rsidR="001C52FC" w:rsidRDefault="001C52FC" w:rsidP="001C52FC">
      <w:pPr>
        <w:pStyle w:val="ListParagraph"/>
        <w:numPr>
          <w:ilvl w:val="0"/>
          <w:numId w:val="11"/>
        </w:numPr>
        <w:spacing w:before="40" w:after="40"/>
      </w:pPr>
      <w:r>
        <w:rPr>
          <w:color w:val="333333"/>
        </w:rPr>
        <w:t>Calculate the forward performance differential between the northwest and southeast groups over a defined horizon</w:t>
      </w:r>
    </w:p>
    <w:p w14:paraId="1445C209" w14:textId="77777777" w:rsidR="001C52FC" w:rsidRDefault="001C52FC" w:rsidP="001C52FC">
      <w:pPr>
        <w:pStyle w:val="ListParagraph"/>
        <w:numPr>
          <w:ilvl w:val="0"/>
          <w:numId w:val="11"/>
        </w:numPr>
        <w:spacing w:before="40" w:after="40"/>
      </w:pPr>
      <w:r>
        <w:rPr>
          <w:color w:val="333333"/>
        </w:rPr>
        <w:t>Construct a cumulative Spread series to identify regime transitions and trend direction</w:t>
      </w:r>
    </w:p>
    <w:p w14:paraId="533184DF" w14:textId="77777777" w:rsidR="001C52FC" w:rsidRDefault="001C52FC" w:rsidP="001C52FC">
      <w:pPr>
        <w:pStyle w:val="ListParagraph"/>
        <w:numPr>
          <w:ilvl w:val="0"/>
          <w:numId w:val="11"/>
        </w:numPr>
        <w:spacing w:before="40" w:after="40"/>
      </w:pPr>
      <w:r>
        <w:rPr>
          <w:color w:val="333333"/>
        </w:rPr>
        <w:t>Apply statistical smoothing (moving averages) to minimize noise while preserving inflection points</w:t>
      </w:r>
    </w:p>
    <w:p w14:paraId="2DC3424B" w14:textId="77777777" w:rsidR="001C52FC" w:rsidRDefault="001C52FC" w:rsidP="001C52FC">
      <w:pPr>
        <w:pStyle w:val="Heading3"/>
      </w:pPr>
      <w:bookmarkStart w:id="19" w:name="_Toc224818113"/>
      <w:r>
        <w:t>Step 3.3: Determine Current Regime</w:t>
      </w:r>
      <w:bookmarkEnd w:id="19"/>
    </w:p>
    <w:p w14:paraId="36D30493" w14:textId="77777777" w:rsidR="001C52FC" w:rsidRDefault="001C52FC" w:rsidP="001C52FC">
      <w:pPr>
        <w:pStyle w:val="ListParagraph"/>
        <w:numPr>
          <w:ilvl w:val="0"/>
          <w:numId w:val="12"/>
        </w:numPr>
        <w:spacing w:before="40" w:after="40"/>
      </w:pPr>
      <w:r>
        <w:rPr>
          <w:b/>
          <w:bCs/>
          <w:color w:val="333333"/>
        </w:rPr>
        <w:lastRenderedPageBreak/>
        <w:t>Rising Spread (Expanding Universe): Positive feedback loop in effect. Autoregressive/trend-following strategies are advantageous. Self-reinforcing momentum dominates.</w:t>
      </w:r>
    </w:p>
    <w:p w14:paraId="58634043" w14:textId="77777777" w:rsidR="001C52FC" w:rsidRDefault="001C52FC" w:rsidP="001C52FC">
      <w:pPr>
        <w:pStyle w:val="ListParagraph"/>
        <w:numPr>
          <w:ilvl w:val="0"/>
          <w:numId w:val="12"/>
        </w:numPr>
        <w:spacing w:before="40" w:after="40"/>
      </w:pPr>
      <w:r>
        <w:rPr>
          <w:b/>
          <w:bCs/>
          <w:color w:val="333333"/>
        </w:rPr>
        <w:t>Falling Spread (Contracting Universe): Negative feedback loop in effect. Mean reversion strategies should produce superior results. Contrarian behavior dominates.</w:t>
      </w:r>
    </w:p>
    <w:p w14:paraId="72A52167" w14:textId="77777777" w:rsidR="001C52FC" w:rsidRDefault="001C52FC" w:rsidP="001C52FC">
      <w:pPr>
        <w:pStyle w:val="ListParagraph"/>
        <w:numPr>
          <w:ilvl w:val="0"/>
          <w:numId w:val="12"/>
        </w:numPr>
        <w:spacing w:before="40" w:after="40"/>
      </w:pPr>
      <w:r>
        <w:rPr>
          <w:b/>
          <w:bCs/>
          <w:color w:val="333333"/>
        </w:rPr>
        <w:t>Transitional Period: The Spread is at an inflection point. Reduce exposure, diversify across strategy types, and increase monitoring frequency.</w:t>
      </w:r>
    </w:p>
    <w:p w14:paraId="43FF6F2B" w14:textId="77777777" w:rsidR="001C52FC" w:rsidRDefault="001C52FC" w:rsidP="001C52FC">
      <w:pPr>
        <w:pStyle w:val="Heading3"/>
      </w:pPr>
      <w:bookmarkStart w:id="20" w:name="_Toc224818114"/>
      <w:r>
        <w:t>Step 3.4: Calibrate Strategy Parameters to Regime</w:t>
      </w:r>
      <w:bookmarkEnd w:id="20"/>
    </w:p>
    <w:p w14:paraId="39589D1D" w14:textId="77777777" w:rsidR="001C52FC" w:rsidRDefault="001C52FC" w:rsidP="001C52FC">
      <w:pPr>
        <w:spacing w:before="60" w:after="80"/>
      </w:pPr>
      <w:r>
        <w:rPr>
          <w:color w:val="333333"/>
        </w:rPr>
        <w:t>Based on the regime classification, set the following parameters:</w:t>
      </w:r>
    </w:p>
    <w:p w14:paraId="179028DF" w14:textId="77777777" w:rsidR="001C52FC" w:rsidRDefault="001C52FC" w:rsidP="001C52FC">
      <w:pPr>
        <w:pStyle w:val="ListParagraph"/>
        <w:numPr>
          <w:ilvl w:val="0"/>
          <w:numId w:val="13"/>
        </w:numPr>
        <w:spacing w:before="30" w:after="30"/>
      </w:pPr>
      <w:r>
        <w:rPr>
          <w:color w:val="555555"/>
        </w:rPr>
        <w:t>Expanding Universe: Increase net exposure (+30% to +75%), emphasize trend-following positions, allow greater sector concentration, increase gross exposure to 200–250%</w:t>
      </w:r>
    </w:p>
    <w:p w14:paraId="107CA37E" w14:textId="77777777" w:rsidR="001C52FC" w:rsidRDefault="001C52FC" w:rsidP="001C52FC">
      <w:pPr>
        <w:pStyle w:val="ListParagraph"/>
        <w:numPr>
          <w:ilvl w:val="0"/>
          <w:numId w:val="13"/>
        </w:numPr>
        <w:spacing w:before="30" w:after="30"/>
      </w:pPr>
      <w:r>
        <w:rPr>
          <w:color w:val="555555"/>
        </w:rPr>
        <w:t>Contracting Universe: Reduce net exposure toward neutrality (-10% to +20%), emphasize mean-reversion positions, maintain sector balance, reduce gross exposure to 150–180%</w:t>
      </w:r>
    </w:p>
    <w:p w14:paraId="1898E042" w14:textId="77777777" w:rsidR="001C52FC" w:rsidRDefault="001C52FC" w:rsidP="001C52FC">
      <w:pPr>
        <w:pStyle w:val="ListParagraph"/>
        <w:numPr>
          <w:ilvl w:val="0"/>
          <w:numId w:val="13"/>
        </w:numPr>
        <w:spacing w:before="30" w:after="30"/>
      </w:pPr>
      <w:r>
        <w:rPr>
          <w:color w:val="555555"/>
        </w:rPr>
        <w:t>Transitional: Maintain smaller, balanced exposures to both regime types, reduce leverage and position concentration until the new regime establishes</w:t>
      </w:r>
    </w:p>
    <w:p w14:paraId="3BE00264" w14:textId="77777777" w:rsidR="001C52FC" w:rsidRDefault="001C52FC" w:rsidP="001C52FC">
      <w:r>
        <w:br w:type="page"/>
      </w:r>
    </w:p>
    <w:p w14:paraId="3030F126" w14:textId="77777777" w:rsidR="001C52FC" w:rsidRDefault="001C52FC">
      <w:pPr>
        <w:spacing w:before="60" w:after="80"/>
      </w:pPr>
    </w:p>
    <w:p w14:paraId="53AC366C" w14:textId="77777777" w:rsidR="00EC7F1F" w:rsidRDefault="00000B03">
      <w:pPr>
        <w:pStyle w:val="Heading3"/>
      </w:pPr>
      <w:bookmarkStart w:id="21" w:name="_Toc224818120"/>
      <w:r>
        <w:t>Step 3.9: Integrate Breadth Signals with Janus Factor Regime Classification</w:t>
      </w:r>
      <w:bookmarkEnd w:id="21"/>
    </w:p>
    <w:p w14:paraId="10B0A67A" w14:textId="77777777" w:rsidR="00EC7F1F" w:rsidRDefault="00000B03">
      <w:pPr>
        <w:spacing w:before="60" w:after="80"/>
      </w:pPr>
      <w:r>
        <w:rPr>
          <w:color w:val="333333"/>
        </w:rPr>
        <w:t>The final step in Phase 3 synthesizes the Janus Factor regime classification (Steps 3.1–3.4) with the market breadth analysis (Steps 3.5–3.8) to produce a comprehensive market timing and regime assessment. This integration follows a hierarchy of principles:</w:t>
      </w:r>
    </w:p>
    <w:p w14:paraId="63EF569B" w14:textId="77777777" w:rsidR="00EC7F1F" w:rsidRDefault="00000B03">
      <w:pPr>
        <w:pStyle w:val="ListParagraph"/>
        <w:numPr>
          <w:ilvl w:val="0"/>
          <w:numId w:val="8"/>
        </w:numPr>
        <w:spacing w:before="40" w:after="40"/>
      </w:pPr>
      <w:r>
        <w:rPr>
          <w:color w:val="333333"/>
        </w:rPr>
        <w:t>Confirmatory signals: When breadth confirms the Janus Factor regime classification (e.g., expanding A/D Line + rising Spread), conviction in the regime call increases and full strategy deployment is warranted.</w:t>
      </w:r>
    </w:p>
    <w:p w14:paraId="6FDA72AA" w14:textId="77777777" w:rsidR="00EC7F1F" w:rsidRDefault="00000B03">
      <w:pPr>
        <w:pStyle w:val="ListParagraph"/>
        <w:numPr>
          <w:ilvl w:val="0"/>
          <w:numId w:val="8"/>
        </w:numPr>
        <w:spacing w:before="40" w:after="40"/>
      </w:pPr>
      <w:r>
        <w:rPr>
          <w:color w:val="333333"/>
        </w:rPr>
        <w:t>Contradictory signals: When breadth diverges from the price trend or the Spread direction (e.g., rising index + deteriorating A/D Line + rising Spread), treat the divergence as an early warning. Increase monitoring frequency and begin reducing position concentration.</w:t>
      </w:r>
    </w:p>
    <w:p w14:paraId="2A6DD55A" w14:textId="77777777" w:rsidR="00EC7F1F" w:rsidRDefault="00000B03">
      <w:pPr>
        <w:pStyle w:val="ListParagraph"/>
        <w:numPr>
          <w:ilvl w:val="0"/>
          <w:numId w:val="8"/>
        </w:numPr>
        <w:spacing w:before="40" w:after="40"/>
      </w:pPr>
      <w:r>
        <w:rPr>
          <w:color w:val="333333"/>
        </w:rPr>
        <w:t>Extreme breadth events: Oversold blow-off readings with VIX confirmation override intermediate-term regime signals for short-term tactical positioning. Classify as good or bad oversold to determine response magnitude.</w:t>
      </w:r>
    </w:p>
    <w:p w14:paraId="529E9F42" w14:textId="77777777" w:rsidR="00EC7F1F" w:rsidRDefault="00000B03">
      <w:pPr>
        <w:pStyle w:val="ListParagraph"/>
        <w:numPr>
          <w:ilvl w:val="0"/>
          <w:numId w:val="8"/>
        </w:numPr>
        <w:spacing w:before="40" w:after="40"/>
      </w:pPr>
      <w:r>
        <w:rPr>
          <w:color w:val="333333"/>
        </w:rPr>
        <w:t>Sequential deterioration alerts: When the 10-day, 50-day, and 200-day participation indicators sequentially breach 50% while the index remains elevated, this constitutes a high-priority defensive signal regardless of Spread direction.</w:t>
      </w:r>
    </w:p>
    <w:p w14:paraId="2A507E58" w14:textId="77777777" w:rsidR="00EC7F1F" w:rsidRDefault="00000B03">
      <w:pPr>
        <w:spacing w:before="60" w:after="80"/>
      </w:pPr>
      <w:r>
        <w:rPr>
          <w:color w:val="333333"/>
        </w:rPr>
        <w:t>Document the integrated assessment as a unified regime and breadth status report before proceeding to Tier II security selection.</w:t>
      </w:r>
    </w:p>
    <w:p w14:paraId="6D0BC7DD" w14:textId="77777777" w:rsidR="00EC7F1F" w:rsidRDefault="00EC7F1F">
      <w:pPr>
        <w:spacing w:before="1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6BEDBB6C" w14:textId="77777777">
        <w:tc>
          <w:tcPr>
            <w:tcW w:w="8400" w:type="dxa"/>
            <w:tcBorders>
              <w:top w:val="single" w:sz="2" w:space="0" w:color="2E7D32"/>
              <w:left w:val="single" w:sz="6" w:space="0" w:color="2E7D32"/>
              <w:bottom w:val="single" w:sz="2" w:space="0" w:color="2E7D32"/>
              <w:right w:val="single" w:sz="2" w:space="0" w:color="2E7D32"/>
            </w:tcBorders>
            <w:shd w:val="clear" w:color="auto" w:fill="E8F5E9"/>
            <w:tcMar>
              <w:top w:w="80" w:type="dxa"/>
              <w:left w:w="160" w:type="dxa"/>
              <w:bottom w:w="80" w:type="dxa"/>
              <w:right w:w="120" w:type="dxa"/>
            </w:tcMar>
          </w:tcPr>
          <w:p w14:paraId="77FF5794" w14:textId="77777777" w:rsidR="00EC7F1F" w:rsidRDefault="00000B03">
            <w:pPr>
              <w:spacing w:after="60"/>
            </w:pPr>
            <w:r>
              <w:rPr>
                <w:b/>
                <w:bCs/>
                <w:color w:val="2E7D32"/>
                <w:sz w:val="20"/>
                <w:szCs w:val="20"/>
              </w:rPr>
              <w:t>✓ Phase 3 Outputs</w:t>
            </w:r>
          </w:p>
          <w:p w14:paraId="19CFB0FE" w14:textId="77777777" w:rsidR="00EC7F1F" w:rsidRDefault="00000B03">
            <w:pPr>
              <w:spacing w:before="20" w:after="20"/>
            </w:pPr>
            <w:r>
              <w:rPr>
                <w:color w:val="555555"/>
                <w:sz w:val="18"/>
                <w:szCs w:val="18"/>
              </w:rPr>
              <w:t xml:space="preserve">    •  Current regime classification (Expanding / Contracting / Transitional)</w:t>
            </w:r>
          </w:p>
          <w:p w14:paraId="4FC5CD39" w14:textId="77777777" w:rsidR="00EC7F1F" w:rsidRDefault="00000B03">
            <w:pPr>
              <w:spacing w:before="20" w:after="20"/>
            </w:pPr>
            <w:r>
              <w:rPr>
                <w:color w:val="555555"/>
                <w:sz w:val="18"/>
                <w:szCs w:val="18"/>
              </w:rPr>
              <w:t xml:space="preserve">    •  The Spread direction and magnitude with confidence level</w:t>
            </w:r>
          </w:p>
          <w:p w14:paraId="725EF273" w14:textId="77777777" w:rsidR="00EC7F1F" w:rsidRDefault="00000B03">
            <w:pPr>
              <w:spacing w:before="20" w:after="20"/>
            </w:pPr>
            <w:r>
              <w:rPr>
                <w:color w:val="555555"/>
                <w:sz w:val="18"/>
                <w:szCs w:val="18"/>
              </w:rPr>
              <w:t xml:space="preserve">    •  Target net and gross exposure ranges for the portfolio</w:t>
            </w:r>
          </w:p>
          <w:p w14:paraId="3F881173" w14:textId="77777777" w:rsidR="00EC7F1F" w:rsidRDefault="00000B03">
            <w:pPr>
              <w:spacing w:before="20" w:after="20"/>
            </w:pPr>
            <w:r>
              <w:rPr>
                <w:color w:val="555555"/>
                <w:sz w:val="18"/>
                <w:szCs w:val="18"/>
              </w:rPr>
              <w:t xml:space="preserve">    •  Strategy mix allocation: autoregressive vs. mean reversion weighting</w:t>
            </w:r>
          </w:p>
          <w:p w14:paraId="6212435D" w14:textId="77777777" w:rsidR="00EC7F1F" w:rsidRDefault="00000B03">
            <w:pPr>
              <w:spacing w:before="20" w:after="20"/>
            </w:pPr>
            <w:r>
              <w:rPr>
                <w:color w:val="555555"/>
                <w:sz w:val="18"/>
                <w:szCs w:val="18"/>
              </w:rPr>
              <w:t xml:space="preserve">    •  Regime transition watch signals and monitoring thresholds</w:t>
            </w:r>
          </w:p>
          <w:p w14:paraId="71AF37C6" w14:textId="77777777" w:rsidR="00EC7F1F" w:rsidRDefault="00000B03">
            <w:pPr>
              <w:spacing w:before="20" w:after="20"/>
            </w:pPr>
            <w:r>
              <w:rPr>
                <w:color w:val="555555"/>
                <w:sz w:val="18"/>
                <w:szCs w:val="18"/>
              </w:rPr>
              <w:t xml:space="preserve">    •  A/D Line divergence status: bullish, bearish, or confirming (with multi-timeframe assessment)</w:t>
            </w:r>
          </w:p>
          <w:p w14:paraId="69FBA3D5" w14:textId="77777777" w:rsidR="00EC7F1F" w:rsidRDefault="00000B03">
            <w:pPr>
              <w:spacing w:before="20" w:after="20"/>
            </w:pPr>
            <w:r>
              <w:rPr>
                <w:color w:val="555555"/>
                <w:sz w:val="18"/>
                <w:szCs w:val="18"/>
              </w:rPr>
              <w:t xml:space="preserve">    •  Moving average participation readings: % above 10-day, 50-day, and 200-day for S&amp;P 500 and NYSE</w:t>
            </w:r>
          </w:p>
          <w:p w14:paraId="75C91AC9" w14:textId="77777777" w:rsidR="00EC7F1F" w:rsidRDefault="00000B03">
            <w:pPr>
              <w:spacing w:before="20" w:after="20"/>
            </w:pPr>
            <w:r>
              <w:rPr>
                <w:color w:val="555555"/>
                <w:sz w:val="18"/>
                <w:szCs w:val="18"/>
              </w:rPr>
              <w:t xml:space="preserve">    •  Breadth extreme classification: normal, overbought, oversold, or blow-off event (with duration)</w:t>
            </w:r>
          </w:p>
          <w:p w14:paraId="3F158D40" w14:textId="77777777" w:rsidR="00EC7F1F" w:rsidRDefault="00000B03">
            <w:pPr>
              <w:spacing w:before="20" w:after="20"/>
            </w:pPr>
            <w:r>
              <w:rPr>
                <w:color w:val="555555"/>
                <w:sz w:val="18"/>
                <w:szCs w:val="18"/>
              </w:rPr>
              <w:t xml:space="preserve">    •  Oversold classification (if applicable): Good Oversold or Bad Oversold with supporting evidence</w:t>
            </w:r>
          </w:p>
          <w:p w14:paraId="38D8B03C" w14:textId="77777777" w:rsidR="00EC7F1F" w:rsidRDefault="00000B03">
            <w:pPr>
              <w:spacing w:before="20" w:after="20"/>
            </w:pPr>
            <w:r>
              <w:rPr>
                <w:color w:val="555555"/>
                <w:sz w:val="18"/>
                <w:szCs w:val="18"/>
              </w:rPr>
              <w:t xml:space="preserve">    •  Integrated regime-breadth conviction assessment: High / Medium / Low alignment</w:t>
            </w:r>
          </w:p>
        </w:tc>
      </w:tr>
    </w:tbl>
    <w:p w14:paraId="1A3BFEF8" w14:textId="77777777" w:rsidR="00EC7F1F" w:rsidRDefault="00000B03">
      <w:r>
        <w:br w:type="page"/>
      </w:r>
    </w:p>
    <w:p w14:paraId="0AB136C1" w14:textId="77777777" w:rsidR="00EC7F1F" w:rsidRDefault="00000B03">
      <w:pPr>
        <w:pStyle w:val="Heading1"/>
      </w:pPr>
      <w:bookmarkStart w:id="22" w:name="_Toc224818121"/>
      <w:r>
        <w:lastRenderedPageBreak/>
        <w:t>Tier II: Selection</w:t>
      </w:r>
      <w:bookmarkEnd w:id="22"/>
    </w:p>
    <w:p w14:paraId="4B8E489A" w14:textId="77777777" w:rsidR="00EC7F1F" w:rsidRDefault="00EC7F1F">
      <w:pPr>
        <w:pBdr>
          <w:bottom w:val="single" w:sz="4" w:space="1" w:color="3B7DD8"/>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C7F1F" w14:paraId="7EF80337" w14:textId="77777777">
        <w:tc>
          <w:tcPr>
            <w:tcW w:w="1200" w:type="dxa"/>
            <w:shd w:val="clear" w:color="auto" w:fill="1B2A4A"/>
            <w:tcMar>
              <w:top w:w="120" w:type="dxa"/>
              <w:left w:w="120" w:type="dxa"/>
              <w:bottom w:w="120" w:type="dxa"/>
              <w:right w:w="80" w:type="dxa"/>
            </w:tcMar>
            <w:vAlign w:val="center"/>
          </w:tcPr>
          <w:p w14:paraId="2C842885" w14:textId="77777777" w:rsidR="00EC7F1F" w:rsidRDefault="00000B03">
            <w:pPr>
              <w:jc w:val="center"/>
            </w:pPr>
            <w:r>
              <w:rPr>
                <w:b/>
                <w:bCs/>
                <w:color w:val="FFFFFF"/>
              </w:rPr>
              <w:t>PHASE 4</w:t>
            </w:r>
          </w:p>
        </w:tc>
        <w:tc>
          <w:tcPr>
            <w:tcW w:w="8160" w:type="dxa"/>
            <w:shd w:val="clear" w:color="auto" w:fill="D5E8F8"/>
            <w:tcMar>
              <w:top w:w="120" w:type="dxa"/>
              <w:left w:w="160" w:type="dxa"/>
              <w:bottom w:w="120" w:type="dxa"/>
              <w:right w:w="120" w:type="dxa"/>
            </w:tcMar>
            <w:vAlign w:val="center"/>
          </w:tcPr>
          <w:p w14:paraId="6513315C" w14:textId="77777777" w:rsidR="00EC7F1F" w:rsidRDefault="00000B03">
            <w:pPr>
              <w:spacing w:after="40"/>
            </w:pPr>
            <w:r>
              <w:rPr>
                <w:b/>
                <w:bCs/>
                <w:color w:val="1B2A4A"/>
                <w:sz w:val="26"/>
                <w:szCs w:val="26"/>
              </w:rPr>
              <w:t>Sector &amp; Factor Momentum Analysis</w:t>
            </w:r>
          </w:p>
          <w:p w14:paraId="2C59755C" w14:textId="77777777" w:rsidR="00EC7F1F" w:rsidRDefault="00000B03">
            <w:r>
              <w:rPr>
                <w:i/>
                <w:iCs/>
                <w:color w:val="2E5090"/>
                <w:sz w:val="20"/>
                <w:szCs w:val="20"/>
              </w:rPr>
              <w:t>Identify leadership across sectors, industries, and factors within the equity allocation</w:t>
            </w:r>
          </w:p>
        </w:tc>
      </w:tr>
    </w:tbl>
    <w:p w14:paraId="0BA0490C" w14:textId="77777777" w:rsidR="00EC7F1F" w:rsidRDefault="00000B03">
      <w:pPr>
        <w:spacing w:before="60" w:after="80"/>
      </w:pPr>
      <w:r>
        <w:rPr>
          <w:color w:val="333333"/>
        </w:rPr>
        <w:t>Building upon the asset class momentum framework, sector and factor momentum analysis identifies the specific pockets of strength and weakness within the equity allocation. This analysis combines quantitative momentum scoring with thematic and fundamental overlay for high-conviction positioning.</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6A35D60A" w14:textId="77777777">
        <w:tc>
          <w:tcPr>
            <w:tcW w:w="8400" w:type="dxa"/>
            <w:tcBorders>
              <w:top w:val="single" w:sz="2" w:space="0" w:color="2E5090"/>
              <w:left w:val="single" w:sz="6" w:space="0" w:color="2E5090"/>
              <w:bottom w:val="single" w:sz="2" w:space="0" w:color="2E5090"/>
              <w:right w:val="single" w:sz="2" w:space="0" w:color="2E5090"/>
            </w:tcBorders>
            <w:shd w:val="clear" w:color="auto" w:fill="EBF3FC"/>
            <w:tcMar>
              <w:top w:w="80" w:type="dxa"/>
              <w:left w:w="160" w:type="dxa"/>
              <w:bottom w:w="80" w:type="dxa"/>
              <w:right w:w="120" w:type="dxa"/>
            </w:tcMar>
          </w:tcPr>
          <w:p w14:paraId="1F1F12C6" w14:textId="77777777" w:rsidR="00EC7F1F" w:rsidRDefault="00000B03">
            <w:pPr>
              <w:spacing w:after="60"/>
            </w:pPr>
            <w:r>
              <w:rPr>
                <w:b/>
                <w:bCs/>
                <w:color w:val="2E5090"/>
                <w:sz w:val="20"/>
                <w:szCs w:val="20"/>
              </w:rPr>
              <w:t>▶ Required Inputs</w:t>
            </w:r>
          </w:p>
          <w:p w14:paraId="061FFF5D" w14:textId="77777777" w:rsidR="00EC7F1F" w:rsidRDefault="00000B03">
            <w:pPr>
              <w:spacing w:before="20" w:after="20"/>
            </w:pPr>
            <w:r>
              <w:rPr>
                <w:color w:val="555555"/>
                <w:sz w:val="18"/>
                <w:szCs w:val="18"/>
              </w:rPr>
              <w:t xml:space="preserve">    •  Phase 2 outputs: Approved asset classes and target allocations</w:t>
            </w:r>
          </w:p>
          <w:p w14:paraId="14944690" w14:textId="77777777" w:rsidR="00EC7F1F" w:rsidRDefault="00000B03">
            <w:pPr>
              <w:spacing w:before="20" w:after="20"/>
            </w:pPr>
            <w:r>
              <w:rPr>
                <w:color w:val="555555"/>
                <w:sz w:val="18"/>
                <w:szCs w:val="18"/>
              </w:rPr>
              <w:t xml:space="preserve">    •  Phase 3 outputs: Regime classification and strategy mix targets</w:t>
            </w:r>
          </w:p>
          <w:p w14:paraId="1763C97F" w14:textId="77777777" w:rsidR="00EC7F1F" w:rsidRDefault="00000B03">
            <w:pPr>
              <w:spacing w:before="20" w:after="20"/>
            </w:pPr>
            <w:r>
              <w:rPr>
                <w:color w:val="555555"/>
                <w:sz w:val="18"/>
                <w:szCs w:val="18"/>
              </w:rPr>
              <w:t xml:space="preserve">    •  GICS sector and industry group price data, factor index returns (value, growth, quality, size, momentum)</w:t>
            </w:r>
          </w:p>
        </w:tc>
      </w:tr>
    </w:tbl>
    <w:p w14:paraId="2E6133B9" w14:textId="77777777" w:rsidR="00EC7F1F" w:rsidRDefault="00EC7F1F">
      <w:pPr>
        <w:spacing w:before="120"/>
      </w:pPr>
    </w:p>
    <w:p w14:paraId="6209FDDF" w14:textId="77777777" w:rsidR="00EC7F1F" w:rsidRDefault="00000B03">
      <w:pPr>
        <w:pStyle w:val="Heading3"/>
      </w:pPr>
      <w:bookmarkStart w:id="23" w:name="_Toc224818122"/>
      <w:r>
        <w:t>Step 4.1: Calculate Sector Relative Strength</w:t>
      </w:r>
      <w:bookmarkEnd w:id="23"/>
    </w:p>
    <w:p w14:paraId="345D40A9" w14:textId="77777777" w:rsidR="00EC7F1F" w:rsidRDefault="00000B03">
      <w:pPr>
        <w:pStyle w:val="ListParagraph"/>
        <w:numPr>
          <w:ilvl w:val="0"/>
          <w:numId w:val="18"/>
        </w:numPr>
        <w:spacing w:before="40" w:after="40"/>
      </w:pPr>
      <w:r>
        <w:rPr>
          <w:color w:val="333333"/>
        </w:rPr>
        <w:t>Compute composite RS scores for all 11 GICS sectors using the same multi-timeframe weighted formula from Phase 2</w:t>
      </w:r>
    </w:p>
    <w:p w14:paraId="78865567" w14:textId="77777777" w:rsidR="00EC7F1F" w:rsidRDefault="00000B03">
      <w:pPr>
        <w:pStyle w:val="ListParagraph"/>
        <w:numPr>
          <w:ilvl w:val="0"/>
          <w:numId w:val="18"/>
        </w:numPr>
        <w:spacing w:before="40" w:after="40"/>
      </w:pPr>
      <w:r>
        <w:rPr>
          <w:color w:val="333333"/>
        </w:rPr>
        <w:t>Rank sectors from strongest to weakest and identify the top and bottom quartiles</w:t>
      </w:r>
    </w:p>
    <w:p w14:paraId="54875198" w14:textId="77777777" w:rsidR="00EC7F1F" w:rsidRDefault="00000B03">
      <w:pPr>
        <w:pStyle w:val="ListParagraph"/>
        <w:numPr>
          <w:ilvl w:val="0"/>
          <w:numId w:val="18"/>
        </w:numPr>
        <w:spacing w:before="40" w:after="40"/>
      </w:pPr>
      <w:r>
        <w:rPr>
          <w:color w:val="333333"/>
        </w:rPr>
        <w:t>Drill down within top-ranked sectors to identify leading industry groups and sub-industries</w:t>
      </w:r>
    </w:p>
    <w:p w14:paraId="665213C0" w14:textId="77777777" w:rsidR="00EC7F1F" w:rsidRDefault="00000B03">
      <w:pPr>
        <w:pStyle w:val="ListParagraph"/>
        <w:numPr>
          <w:ilvl w:val="0"/>
          <w:numId w:val="18"/>
        </w:numPr>
        <w:spacing w:before="40" w:after="40"/>
      </w:pPr>
      <w:r>
        <w:rPr>
          <w:color w:val="333333"/>
        </w:rPr>
        <w:t>Verify that sector leadership is consistent with the liquidity regime identified in Phase 1</w:t>
      </w:r>
    </w:p>
    <w:p w14:paraId="75CC9D4A" w14:textId="77777777" w:rsidR="00EC7F1F" w:rsidRDefault="00000B03">
      <w:pPr>
        <w:pStyle w:val="Heading3"/>
      </w:pPr>
      <w:bookmarkStart w:id="24" w:name="_Toc224818123"/>
      <w:r>
        <w:t>Step 4.2: Evaluate Factor Momentum</w:t>
      </w:r>
      <w:bookmarkEnd w:id="24"/>
    </w:p>
    <w:p w14:paraId="45BB1957" w14:textId="77777777" w:rsidR="00EC7F1F" w:rsidRDefault="00000B03">
      <w:pPr>
        <w:pStyle w:val="ListParagraph"/>
        <w:numPr>
          <w:ilvl w:val="0"/>
          <w:numId w:val="19"/>
        </w:numPr>
        <w:spacing w:before="40" w:after="40"/>
      </w:pPr>
      <w:r>
        <w:rPr>
          <w:color w:val="333333"/>
        </w:rPr>
        <w:t>Calculate relative strength for key equity factors: value, growth, momentum, quality, low volatility, size</w:t>
      </w:r>
    </w:p>
    <w:p w14:paraId="35C80961" w14:textId="77777777" w:rsidR="00EC7F1F" w:rsidRDefault="00000B03">
      <w:pPr>
        <w:pStyle w:val="ListParagraph"/>
        <w:numPr>
          <w:ilvl w:val="0"/>
          <w:numId w:val="19"/>
        </w:numPr>
        <w:spacing w:before="40" w:after="40"/>
      </w:pPr>
      <w:r>
        <w:rPr>
          <w:color w:val="333333"/>
        </w:rPr>
        <w:t>Identify which factors are leading and which are lagging over 1-month, 3-month, and 6-month windows</w:t>
      </w:r>
    </w:p>
    <w:p w14:paraId="561CA1DB" w14:textId="77777777" w:rsidR="00EC7F1F" w:rsidRDefault="00000B03">
      <w:pPr>
        <w:pStyle w:val="ListParagraph"/>
        <w:numPr>
          <w:ilvl w:val="0"/>
          <w:numId w:val="19"/>
        </w:numPr>
        <w:spacing w:before="40" w:after="40"/>
      </w:pPr>
      <w:r>
        <w:rPr>
          <w:color w:val="333333"/>
        </w:rPr>
        <w:t>Assess factor-regime alignment: momentum and growth factors typically lead in expanding regimes; value and quality lead in contracting regimes</w:t>
      </w:r>
    </w:p>
    <w:p w14:paraId="237A43AC" w14:textId="77777777" w:rsidR="00EC7F1F" w:rsidRDefault="00000B03">
      <w:pPr>
        <w:pStyle w:val="ListParagraph"/>
        <w:numPr>
          <w:ilvl w:val="0"/>
          <w:numId w:val="19"/>
        </w:numPr>
        <w:spacing w:before="40" w:after="40"/>
      </w:pPr>
      <w:r>
        <w:rPr>
          <w:color w:val="333333"/>
        </w:rPr>
        <w:t>Determine factor tilts for portfolio construction based on regime and factor momentum signals</w:t>
      </w:r>
    </w:p>
    <w:p w14:paraId="2482F3A7" w14:textId="77777777" w:rsidR="00EC7F1F" w:rsidRDefault="00000B03">
      <w:pPr>
        <w:spacing w:before="40" w:after="60"/>
        <w:ind w:left="720"/>
      </w:pPr>
      <w:r>
        <w:rPr>
          <w:i/>
          <w:iCs/>
          <w:color w:val="777777"/>
          <w:sz w:val="18"/>
          <w:szCs w:val="18"/>
        </w:rPr>
        <w:t>Fama &amp; French (1993, 2015); Carhart (1997); Asness et al. (2014), Quality Minus Junk</w:t>
      </w:r>
    </w:p>
    <w:p w14:paraId="4ECA2329" w14:textId="77777777" w:rsidR="00EC7F1F" w:rsidRDefault="00000B03">
      <w:pPr>
        <w:pStyle w:val="Heading3"/>
      </w:pPr>
      <w:bookmarkStart w:id="25" w:name="_Toc224818124"/>
      <w:r>
        <w:t>Step 4.3: Apply Thematic Overlay</w:t>
      </w:r>
      <w:bookmarkEnd w:id="25"/>
    </w:p>
    <w:p w14:paraId="3BB3BF66" w14:textId="77777777" w:rsidR="00EC7F1F" w:rsidRDefault="00000B03">
      <w:pPr>
        <w:pStyle w:val="ListParagraph"/>
        <w:numPr>
          <w:ilvl w:val="0"/>
          <w:numId w:val="20"/>
        </w:numPr>
        <w:spacing w:before="40" w:after="40"/>
      </w:pPr>
      <w:r>
        <w:rPr>
          <w:color w:val="333333"/>
        </w:rPr>
        <w:t>Evaluate macroeconomic drivers supporting identified sector/factor leadership (fiscal policy, technology adoption, demographics)</w:t>
      </w:r>
    </w:p>
    <w:p w14:paraId="79C28E48" w14:textId="77777777" w:rsidR="00EC7F1F" w:rsidRDefault="00000B03">
      <w:pPr>
        <w:pStyle w:val="ListParagraph"/>
        <w:numPr>
          <w:ilvl w:val="0"/>
          <w:numId w:val="20"/>
        </w:numPr>
        <w:spacing w:before="40" w:after="40"/>
      </w:pPr>
      <w:r>
        <w:rPr>
          <w:color w:val="333333"/>
        </w:rPr>
        <w:t>Assess earnings revision momentum and earnings surprise trends within top-ranked sectors</w:t>
      </w:r>
    </w:p>
    <w:p w14:paraId="37D96561" w14:textId="77777777" w:rsidR="00EC7F1F" w:rsidRDefault="00000B03">
      <w:pPr>
        <w:pStyle w:val="ListParagraph"/>
        <w:numPr>
          <w:ilvl w:val="0"/>
          <w:numId w:val="20"/>
        </w:numPr>
        <w:spacing w:before="40" w:after="40"/>
      </w:pPr>
      <w:r>
        <w:rPr>
          <w:color w:val="333333"/>
        </w:rPr>
        <w:t>Validate that momentum signals have fundamental support rather than purely technical drivers</w:t>
      </w:r>
    </w:p>
    <w:p w14:paraId="2A13126E" w14:textId="77777777" w:rsidR="00EC7F1F" w:rsidRDefault="00000B03">
      <w:pPr>
        <w:pStyle w:val="ListParagraph"/>
        <w:numPr>
          <w:ilvl w:val="0"/>
          <w:numId w:val="20"/>
        </w:numPr>
        <w:spacing w:before="40" w:after="40"/>
      </w:pPr>
      <w:r>
        <w:rPr>
          <w:color w:val="333333"/>
        </w:rPr>
        <w:t>Identify potential sector rotation signals that may indicate imminent leadership changes</w:t>
      </w:r>
    </w:p>
    <w:p w14:paraId="38B6D7C9" w14:textId="77777777" w:rsidR="00EC7F1F" w:rsidRDefault="00EC7F1F">
      <w:pPr>
        <w:spacing w:before="1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4DAB51AA" w14:textId="77777777">
        <w:tc>
          <w:tcPr>
            <w:tcW w:w="8400" w:type="dxa"/>
            <w:tcBorders>
              <w:top w:val="single" w:sz="2" w:space="0" w:color="2E7D32"/>
              <w:left w:val="single" w:sz="6" w:space="0" w:color="2E7D32"/>
              <w:bottom w:val="single" w:sz="2" w:space="0" w:color="2E7D32"/>
              <w:right w:val="single" w:sz="2" w:space="0" w:color="2E7D32"/>
            </w:tcBorders>
            <w:shd w:val="clear" w:color="auto" w:fill="E8F5E9"/>
            <w:tcMar>
              <w:top w:w="80" w:type="dxa"/>
              <w:left w:w="160" w:type="dxa"/>
              <w:bottom w:w="80" w:type="dxa"/>
              <w:right w:w="120" w:type="dxa"/>
            </w:tcMar>
          </w:tcPr>
          <w:p w14:paraId="5980FAFB" w14:textId="77777777" w:rsidR="00EC7F1F" w:rsidRDefault="00000B03">
            <w:pPr>
              <w:spacing w:after="60"/>
            </w:pPr>
            <w:r>
              <w:rPr>
                <w:b/>
                <w:bCs/>
                <w:color w:val="2E7D32"/>
                <w:sz w:val="20"/>
                <w:szCs w:val="20"/>
              </w:rPr>
              <w:lastRenderedPageBreak/>
              <w:t>✓ Phase 4 Outputs</w:t>
            </w:r>
          </w:p>
          <w:p w14:paraId="44295B88" w14:textId="77777777" w:rsidR="00EC7F1F" w:rsidRDefault="00000B03">
            <w:pPr>
              <w:spacing w:before="20" w:after="20"/>
            </w:pPr>
            <w:r>
              <w:rPr>
                <w:color w:val="555555"/>
                <w:sz w:val="18"/>
                <w:szCs w:val="18"/>
              </w:rPr>
              <w:t xml:space="preserve">    •  Ranked sector list with composite RS scores and leadership classification</w:t>
            </w:r>
          </w:p>
          <w:p w14:paraId="01A93CEA" w14:textId="77777777" w:rsidR="00EC7F1F" w:rsidRDefault="00000B03">
            <w:pPr>
              <w:spacing w:before="20" w:after="20"/>
            </w:pPr>
            <w:r>
              <w:rPr>
                <w:color w:val="555555"/>
                <w:sz w:val="18"/>
                <w:szCs w:val="18"/>
              </w:rPr>
              <w:t xml:space="preserve">    •  Factor momentum rankings with regime-aligned tilt recommendations</w:t>
            </w:r>
          </w:p>
          <w:p w14:paraId="54927B94" w14:textId="77777777" w:rsidR="00EC7F1F" w:rsidRDefault="00000B03">
            <w:pPr>
              <w:spacing w:before="20" w:after="20"/>
            </w:pPr>
            <w:r>
              <w:rPr>
                <w:color w:val="555555"/>
                <w:sz w:val="18"/>
                <w:szCs w:val="18"/>
              </w:rPr>
              <w:t xml:space="preserve">    •  Approved sectors and industry groups for security selection (Phase 5 universe)</w:t>
            </w:r>
          </w:p>
          <w:p w14:paraId="129BBACE" w14:textId="77777777" w:rsidR="00EC7F1F" w:rsidRDefault="00000B03">
            <w:pPr>
              <w:spacing w:before="20" w:after="20"/>
            </w:pPr>
            <w:r>
              <w:rPr>
                <w:color w:val="555555"/>
                <w:sz w:val="18"/>
                <w:szCs w:val="18"/>
              </w:rPr>
              <w:t xml:space="preserve">    •  Sector/factor-level allocation targets within the equity sleeve</w:t>
            </w:r>
          </w:p>
          <w:p w14:paraId="7B5A2E33" w14:textId="77777777" w:rsidR="00EC7F1F" w:rsidRDefault="00000B03">
            <w:pPr>
              <w:spacing w:before="20" w:after="20"/>
            </w:pPr>
            <w:r>
              <w:rPr>
                <w:color w:val="555555"/>
                <w:sz w:val="18"/>
                <w:szCs w:val="18"/>
              </w:rPr>
              <w:t xml:space="preserve">    •  Thematic conviction assessment for top-ranked sectors</w:t>
            </w:r>
          </w:p>
        </w:tc>
      </w:tr>
    </w:tbl>
    <w:p w14:paraId="4068B941" w14:textId="77777777" w:rsidR="00EC7F1F" w:rsidRDefault="00000B0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C7F1F" w14:paraId="0964A873" w14:textId="77777777">
        <w:tc>
          <w:tcPr>
            <w:tcW w:w="1200" w:type="dxa"/>
            <w:shd w:val="clear" w:color="auto" w:fill="1B2A4A"/>
            <w:tcMar>
              <w:top w:w="120" w:type="dxa"/>
              <w:left w:w="120" w:type="dxa"/>
              <w:bottom w:w="120" w:type="dxa"/>
              <w:right w:w="80" w:type="dxa"/>
            </w:tcMar>
            <w:vAlign w:val="center"/>
          </w:tcPr>
          <w:p w14:paraId="0C97CBEE" w14:textId="77777777" w:rsidR="00EC7F1F" w:rsidRDefault="00000B03">
            <w:pPr>
              <w:jc w:val="center"/>
            </w:pPr>
            <w:r>
              <w:rPr>
                <w:b/>
                <w:bCs/>
                <w:color w:val="FFFFFF"/>
              </w:rPr>
              <w:lastRenderedPageBreak/>
              <w:t>PHASE 5</w:t>
            </w:r>
          </w:p>
        </w:tc>
        <w:tc>
          <w:tcPr>
            <w:tcW w:w="8160" w:type="dxa"/>
            <w:shd w:val="clear" w:color="auto" w:fill="D5E8F8"/>
            <w:tcMar>
              <w:top w:w="120" w:type="dxa"/>
              <w:left w:w="160" w:type="dxa"/>
              <w:bottom w:w="120" w:type="dxa"/>
              <w:right w:w="120" w:type="dxa"/>
            </w:tcMar>
            <w:vAlign w:val="center"/>
          </w:tcPr>
          <w:p w14:paraId="367730B8" w14:textId="77777777" w:rsidR="00EC7F1F" w:rsidRDefault="00000B03">
            <w:pPr>
              <w:spacing w:after="40"/>
            </w:pPr>
            <w:r>
              <w:rPr>
                <w:b/>
                <w:bCs/>
                <w:color w:val="1B2A4A"/>
                <w:sz w:val="26"/>
                <w:szCs w:val="26"/>
              </w:rPr>
              <w:t>Cross-Sectional Momentum: Security Ranking</w:t>
            </w:r>
          </w:p>
          <w:p w14:paraId="1594D2B8" w14:textId="77777777" w:rsidR="00EC7F1F" w:rsidRDefault="00000B03">
            <w:r>
              <w:rPr>
                <w:i/>
                <w:iCs/>
                <w:color w:val="2E5090"/>
                <w:sz w:val="20"/>
                <w:szCs w:val="20"/>
              </w:rPr>
              <w:t>Rank individual securities by relative strength to identify long and short candidates</w:t>
            </w:r>
          </w:p>
        </w:tc>
      </w:tr>
    </w:tbl>
    <w:p w14:paraId="759F01D1" w14:textId="77777777" w:rsidR="00EC7F1F" w:rsidRDefault="00000B03">
      <w:pPr>
        <w:spacing w:before="60" w:after="80"/>
      </w:pPr>
      <w:r>
        <w:rPr>
          <w:color w:val="333333"/>
        </w:rPr>
        <w:t>Cross-sectional momentum represents the final step in the top-down momentum cascade, moving from broad asset classes and sectors to specific individual securities. This phase identifies the strongest and weakest securities within the approved universe, constructing the candidate pools for long and short positions.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602E2C15" w14:textId="77777777">
        <w:tc>
          <w:tcPr>
            <w:tcW w:w="8400" w:type="dxa"/>
            <w:tcBorders>
              <w:top w:val="single" w:sz="2" w:space="0" w:color="2E5090"/>
              <w:left w:val="single" w:sz="6" w:space="0" w:color="2E5090"/>
              <w:bottom w:val="single" w:sz="2" w:space="0" w:color="2E5090"/>
              <w:right w:val="single" w:sz="2" w:space="0" w:color="2E5090"/>
            </w:tcBorders>
            <w:shd w:val="clear" w:color="auto" w:fill="EBF3FC"/>
            <w:tcMar>
              <w:top w:w="80" w:type="dxa"/>
              <w:left w:w="160" w:type="dxa"/>
              <w:bottom w:w="80" w:type="dxa"/>
              <w:right w:w="120" w:type="dxa"/>
            </w:tcMar>
          </w:tcPr>
          <w:p w14:paraId="7015980C" w14:textId="77777777" w:rsidR="00EC7F1F" w:rsidRDefault="00000B03">
            <w:pPr>
              <w:spacing w:after="60"/>
            </w:pPr>
            <w:r>
              <w:rPr>
                <w:b/>
                <w:bCs/>
                <w:color w:val="2E5090"/>
                <w:sz w:val="20"/>
                <w:szCs w:val="20"/>
              </w:rPr>
              <w:t>▶ Required Inputs</w:t>
            </w:r>
          </w:p>
          <w:p w14:paraId="0776FE92" w14:textId="77777777" w:rsidR="00EC7F1F" w:rsidRDefault="00000B03">
            <w:pPr>
              <w:spacing w:before="20" w:after="20"/>
            </w:pPr>
            <w:r>
              <w:rPr>
                <w:color w:val="555555"/>
                <w:sz w:val="18"/>
                <w:szCs w:val="18"/>
              </w:rPr>
              <w:t xml:space="preserve">    •  Phase 4 outputs: Approved sectors, industry groups, and factor tilts</w:t>
            </w:r>
          </w:p>
          <w:p w14:paraId="7B10E467" w14:textId="77777777" w:rsidR="00EC7F1F" w:rsidRDefault="00000B03">
            <w:pPr>
              <w:spacing w:before="20" w:after="20"/>
            </w:pPr>
            <w:r>
              <w:rPr>
                <w:color w:val="555555"/>
                <w:sz w:val="18"/>
                <w:szCs w:val="18"/>
              </w:rPr>
              <w:t xml:space="preserve">    •  Individual security price data for all constituents within the approved universe</w:t>
            </w:r>
          </w:p>
          <w:p w14:paraId="52173A8E" w14:textId="77777777" w:rsidR="00EC7F1F" w:rsidRDefault="00000B03">
            <w:pPr>
              <w:spacing w:before="20" w:after="20"/>
            </w:pPr>
            <w:r>
              <w:rPr>
                <w:color w:val="555555"/>
                <w:sz w:val="18"/>
                <w:szCs w:val="18"/>
              </w:rPr>
              <w:t xml:space="preserve">    •  Benchmark index data for relative strength calculation</w:t>
            </w:r>
          </w:p>
        </w:tc>
      </w:tr>
    </w:tbl>
    <w:p w14:paraId="665DFAF1" w14:textId="77777777" w:rsidR="00EC7F1F" w:rsidRDefault="00EC7F1F">
      <w:pPr>
        <w:spacing w:before="120"/>
      </w:pPr>
    </w:p>
    <w:p w14:paraId="3E70DD2C" w14:textId="77777777" w:rsidR="00EC7F1F" w:rsidRDefault="00000B03">
      <w:pPr>
        <w:pStyle w:val="Heading3"/>
      </w:pPr>
      <w:bookmarkStart w:id="26" w:name="_Toc224818125"/>
      <w:r>
        <w:t>Step 5.1: Define the Security Universe</w:t>
      </w:r>
      <w:bookmarkEnd w:id="26"/>
    </w:p>
    <w:p w14:paraId="0AE1B0DD" w14:textId="77777777" w:rsidR="00EC7F1F" w:rsidRDefault="00000B03">
      <w:pPr>
        <w:pStyle w:val="ListParagraph"/>
        <w:numPr>
          <w:ilvl w:val="0"/>
          <w:numId w:val="2"/>
        </w:numPr>
        <w:spacing w:before="40" w:after="40"/>
      </w:pPr>
      <w:r>
        <w:rPr>
          <w:color w:val="333333"/>
        </w:rPr>
        <w:t>Apply liquidity filters: minimum average daily volume and minimum market capitalization thresholds</w:t>
      </w:r>
    </w:p>
    <w:p w14:paraId="0F4AB387" w14:textId="77777777" w:rsidR="00EC7F1F" w:rsidRDefault="00000B03">
      <w:pPr>
        <w:pStyle w:val="ListParagraph"/>
        <w:numPr>
          <w:ilvl w:val="0"/>
          <w:numId w:val="2"/>
        </w:numPr>
        <w:spacing w:before="40" w:after="40"/>
      </w:pPr>
      <w:r>
        <w:rPr>
          <w:color w:val="333333"/>
        </w:rPr>
        <w:t>Apply data quality filters: require continuous price history for the full lookback period</w:t>
      </w:r>
    </w:p>
    <w:p w14:paraId="3FD60015" w14:textId="77777777" w:rsidR="00EC7F1F" w:rsidRDefault="00000B03">
      <w:pPr>
        <w:pStyle w:val="ListParagraph"/>
        <w:numPr>
          <w:ilvl w:val="0"/>
          <w:numId w:val="2"/>
        </w:numPr>
        <w:spacing w:before="40" w:after="40"/>
      </w:pPr>
      <w:r>
        <w:rPr>
          <w:color w:val="333333"/>
        </w:rPr>
        <w:t>Restrict to securities within approved sectors and industry groups from Phase 4</w:t>
      </w:r>
    </w:p>
    <w:p w14:paraId="0FCE0EC2" w14:textId="77777777" w:rsidR="00EC7F1F" w:rsidRDefault="00000B03">
      <w:pPr>
        <w:pStyle w:val="Heading3"/>
      </w:pPr>
      <w:bookmarkStart w:id="27" w:name="_Toc224818126"/>
      <w:r>
        <w:t>Step 5.2: Calculate Multi-Timeframe Relative Strength</w:t>
      </w:r>
      <w:bookmarkEnd w:id="27"/>
    </w:p>
    <w:p w14:paraId="6F18D5E1" w14:textId="77777777" w:rsidR="00EC7F1F" w:rsidRDefault="00000B03">
      <w:pPr>
        <w:pStyle w:val="ListParagraph"/>
        <w:numPr>
          <w:ilvl w:val="0"/>
          <w:numId w:val="3"/>
        </w:numPr>
        <w:spacing w:before="40" w:after="40"/>
      </w:pPr>
      <w:r>
        <w:rPr>
          <w:color w:val="333333"/>
        </w:rPr>
        <w:t>Calculate relative strength vs. the broad market benchmark (e.g., SPY) across 1-month, 3-month, 6-month, and 12-month windows</w:t>
      </w:r>
    </w:p>
    <w:p w14:paraId="26D21BCA" w14:textId="77777777" w:rsidR="00EC7F1F" w:rsidRDefault="00000B03">
      <w:pPr>
        <w:pStyle w:val="ListParagraph"/>
        <w:numPr>
          <w:ilvl w:val="0"/>
          <w:numId w:val="3"/>
        </w:numPr>
        <w:spacing w:before="40" w:after="40"/>
      </w:pPr>
      <w:r>
        <w:rPr>
          <w:color w:val="333333"/>
        </w:rPr>
        <w:t>Calculate relative strength vs. the sector benchmark for each security</w:t>
      </w:r>
    </w:p>
    <w:p w14:paraId="6580E262" w14:textId="77777777" w:rsidR="00EC7F1F" w:rsidRDefault="00000B03">
      <w:pPr>
        <w:pStyle w:val="ListParagraph"/>
        <w:numPr>
          <w:ilvl w:val="0"/>
          <w:numId w:val="3"/>
        </w:numPr>
        <w:spacing w:before="40" w:after="40"/>
      </w:pPr>
      <w:r>
        <w:rPr>
          <w:color w:val="333333"/>
        </w:rPr>
        <w:t>Calculate relative strength vs. the industry group benchmark for each security</w:t>
      </w:r>
    </w:p>
    <w:p w14:paraId="1C79A6D1" w14:textId="77777777" w:rsidR="00EC7F1F" w:rsidRDefault="00000B03">
      <w:pPr>
        <w:pStyle w:val="ListParagraph"/>
        <w:numPr>
          <w:ilvl w:val="0"/>
          <w:numId w:val="3"/>
        </w:numPr>
        <w:spacing w:before="40" w:after="40"/>
      </w:pPr>
      <w:r>
        <w:rPr>
          <w:color w:val="333333"/>
        </w:rPr>
        <w:t>Compute a composite RS score using the weighted multi-timeframe formula: Composite RS = (0.2 × 3m) + (0.5 × 6m) + (0.3 × 12m)</w:t>
      </w:r>
    </w:p>
    <w:p w14:paraId="020151E8" w14:textId="77777777" w:rsidR="00EC7F1F" w:rsidRDefault="00000B03">
      <w:pPr>
        <w:pStyle w:val="Heading3"/>
      </w:pPr>
      <w:bookmarkStart w:id="28" w:name="_Toc224818127"/>
      <w:r>
        <w:t>Step 5.3: Perform Cross-Sectional Ranking and Decile Selection</w:t>
      </w:r>
      <w:bookmarkEnd w:id="28"/>
    </w:p>
    <w:p w14:paraId="07AFEAAE" w14:textId="77777777" w:rsidR="00EC7F1F" w:rsidRDefault="00000B03">
      <w:pPr>
        <w:pStyle w:val="ListParagraph"/>
        <w:numPr>
          <w:ilvl w:val="0"/>
          <w:numId w:val="4"/>
        </w:numPr>
        <w:spacing w:before="40" w:after="40"/>
      </w:pPr>
      <w:r>
        <w:rPr>
          <w:color w:val="333333"/>
        </w:rPr>
        <w:t>Rank all securities in the universe from highest to lowest composite RS score</w:t>
      </w:r>
    </w:p>
    <w:p w14:paraId="02CACDF0" w14:textId="77777777" w:rsidR="00EC7F1F" w:rsidRDefault="00000B03">
      <w:pPr>
        <w:pStyle w:val="ListParagraph"/>
        <w:numPr>
          <w:ilvl w:val="0"/>
          <w:numId w:val="4"/>
        </w:numPr>
        <w:spacing w:before="40" w:after="40"/>
      </w:pPr>
      <w:r>
        <w:rPr>
          <w:color w:val="333333"/>
        </w:rPr>
        <w:t>Identify the top decile (top 10%) as the long candidate pool</w:t>
      </w:r>
    </w:p>
    <w:p w14:paraId="394B278D" w14:textId="77777777" w:rsidR="00EC7F1F" w:rsidRDefault="00000B03">
      <w:pPr>
        <w:pStyle w:val="ListParagraph"/>
        <w:numPr>
          <w:ilvl w:val="0"/>
          <w:numId w:val="4"/>
        </w:numPr>
        <w:spacing w:before="40" w:after="40"/>
      </w:pPr>
      <w:r>
        <w:rPr>
          <w:color w:val="333333"/>
        </w:rPr>
        <w:t>Identify the bottom decile (bottom 10%) as the short candidate pool</w:t>
      </w:r>
    </w:p>
    <w:p w14:paraId="13391FBA" w14:textId="77777777" w:rsidR="00EC7F1F" w:rsidRDefault="00000B03">
      <w:pPr>
        <w:pStyle w:val="ListParagraph"/>
        <w:numPr>
          <w:ilvl w:val="0"/>
          <w:numId w:val="4"/>
        </w:numPr>
        <w:spacing w:before="40" w:after="40"/>
      </w:pPr>
      <w:r>
        <w:rPr>
          <w:color w:val="333333"/>
        </w:rPr>
        <w:t>Conduct sub-group rankings within each sector and industry group to identify securities that rank in the top/bottom 10% at multiple classification levels</w:t>
      </w:r>
    </w:p>
    <w:p w14:paraId="1182DB72" w14:textId="77777777" w:rsidR="00EC7F1F" w:rsidRDefault="00000B03">
      <w:pPr>
        <w:pStyle w:val="ListParagraph"/>
        <w:numPr>
          <w:ilvl w:val="0"/>
          <w:numId w:val="4"/>
        </w:numPr>
        <w:spacing w:before="40" w:after="40"/>
      </w:pPr>
      <w:r>
        <w:rPr>
          <w:color w:val="333333"/>
        </w:rPr>
        <w:t>Prioritize securities appearing in the top or bottom decile across multiple ranking dimensions (market, sector, and industry)</w:t>
      </w:r>
    </w:p>
    <w:p w14:paraId="642952B8" w14:textId="77777777" w:rsidR="00EC7F1F" w:rsidRDefault="00000B03">
      <w:pPr>
        <w:spacing w:before="40" w:after="60"/>
        <w:ind w:left="720"/>
      </w:pPr>
      <w:r>
        <w:rPr>
          <w:i/>
          <w:iCs/>
          <w:color w:val="777777"/>
          <w:sz w:val="18"/>
          <w:szCs w:val="18"/>
        </w:rPr>
        <w:t>Jegadeesh &amp; Titman (1993), Returns to Buying Winners and Selling Losers; Grundy &amp; Martin (2001)</w:t>
      </w:r>
    </w:p>
    <w:p w14:paraId="2057406D" w14:textId="77777777" w:rsidR="00EC7F1F" w:rsidRDefault="00EC7F1F">
      <w:pPr>
        <w:spacing w:before="1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0E3A236B" w14:textId="77777777">
        <w:tc>
          <w:tcPr>
            <w:tcW w:w="8400" w:type="dxa"/>
            <w:tcBorders>
              <w:top w:val="single" w:sz="2" w:space="0" w:color="2E7D32"/>
              <w:left w:val="single" w:sz="6" w:space="0" w:color="2E7D32"/>
              <w:bottom w:val="single" w:sz="2" w:space="0" w:color="2E7D32"/>
              <w:right w:val="single" w:sz="2" w:space="0" w:color="2E7D32"/>
            </w:tcBorders>
            <w:shd w:val="clear" w:color="auto" w:fill="E8F5E9"/>
            <w:tcMar>
              <w:top w:w="80" w:type="dxa"/>
              <w:left w:w="160" w:type="dxa"/>
              <w:bottom w:w="80" w:type="dxa"/>
              <w:right w:w="120" w:type="dxa"/>
            </w:tcMar>
          </w:tcPr>
          <w:p w14:paraId="4E4F586F" w14:textId="77777777" w:rsidR="00EC7F1F" w:rsidRDefault="00000B03">
            <w:pPr>
              <w:spacing w:after="60"/>
            </w:pPr>
            <w:r>
              <w:rPr>
                <w:b/>
                <w:bCs/>
                <w:color w:val="2E7D32"/>
                <w:sz w:val="20"/>
                <w:szCs w:val="20"/>
              </w:rPr>
              <w:t>✓ Phase 5 Outputs</w:t>
            </w:r>
          </w:p>
          <w:p w14:paraId="55007510" w14:textId="77777777" w:rsidR="00EC7F1F" w:rsidRDefault="00000B03">
            <w:pPr>
              <w:spacing w:before="20" w:after="20"/>
            </w:pPr>
            <w:r>
              <w:rPr>
                <w:color w:val="555555"/>
                <w:sz w:val="18"/>
                <w:szCs w:val="18"/>
              </w:rPr>
              <w:t xml:space="preserve">    •  Complete ranked security list with composite RS scores and percentile rankings</w:t>
            </w:r>
          </w:p>
          <w:p w14:paraId="0D97BF62" w14:textId="77777777" w:rsidR="00EC7F1F" w:rsidRDefault="00000B03">
            <w:pPr>
              <w:spacing w:before="20" w:after="20"/>
            </w:pPr>
            <w:r>
              <w:rPr>
                <w:color w:val="555555"/>
                <w:sz w:val="18"/>
                <w:szCs w:val="18"/>
              </w:rPr>
              <w:t xml:space="preserve">    •  Long candidate pool: top decile securities with multi-level ranking confirmation</w:t>
            </w:r>
          </w:p>
          <w:p w14:paraId="1195BA8B" w14:textId="77777777" w:rsidR="00EC7F1F" w:rsidRDefault="00000B03">
            <w:pPr>
              <w:spacing w:before="20" w:after="20"/>
            </w:pPr>
            <w:r>
              <w:rPr>
                <w:color w:val="555555"/>
                <w:sz w:val="18"/>
                <w:szCs w:val="18"/>
              </w:rPr>
              <w:t xml:space="preserve">    •  Short candidate pool: bottom decile securities with multi-level ranking confirmation</w:t>
            </w:r>
          </w:p>
          <w:p w14:paraId="382212DB" w14:textId="77777777" w:rsidR="00EC7F1F" w:rsidRDefault="00000B03">
            <w:pPr>
              <w:spacing w:before="20" w:after="20"/>
            </w:pPr>
            <w:r>
              <w:rPr>
                <w:color w:val="555555"/>
                <w:sz w:val="18"/>
                <w:szCs w:val="18"/>
              </w:rPr>
              <w:t xml:space="preserve">    •  Securities ranked at multiple classification levels flagged for highest conviction</w:t>
            </w:r>
          </w:p>
        </w:tc>
      </w:tr>
    </w:tbl>
    <w:p w14:paraId="676D7AC3" w14:textId="77777777" w:rsidR="00EC7F1F" w:rsidRDefault="00000B0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C7F1F" w14:paraId="19EB92E4" w14:textId="77777777">
        <w:tc>
          <w:tcPr>
            <w:tcW w:w="1200" w:type="dxa"/>
            <w:shd w:val="clear" w:color="auto" w:fill="1B2A4A"/>
            <w:tcMar>
              <w:top w:w="120" w:type="dxa"/>
              <w:left w:w="120" w:type="dxa"/>
              <w:bottom w:w="120" w:type="dxa"/>
              <w:right w:w="80" w:type="dxa"/>
            </w:tcMar>
            <w:vAlign w:val="center"/>
          </w:tcPr>
          <w:p w14:paraId="6E0B8233" w14:textId="77777777" w:rsidR="00EC7F1F" w:rsidRDefault="00000B03">
            <w:pPr>
              <w:jc w:val="center"/>
            </w:pPr>
            <w:r>
              <w:rPr>
                <w:b/>
                <w:bCs/>
                <w:color w:val="FFFFFF"/>
              </w:rPr>
              <w:lastRenderedPageBreak/>
              <w:t>PHASE 6</w:t>
            </w:r>
          </w:p>
        </w:tc>
        <w:tc>
          <w:tcPr>
            <w:tcW w:w="8160" w:type="dxa"/>
            <w:shd w:val="clear" w:color="auto" w:fill="D5E8F8"/>
            <w:tcMar>
              <w:top w:w="120" w:type="dxa"/>
              <w:left w:w="160" w:type="dxa"/>
              <w:bottom w:w="120" w:type="dxa"/>
              <w:right w:w="120" w:type="dxa"/>
            </w:tcMar>
            <w:vAlign w:val="center"/>
          </w:tcPr>
          <w:p w14:paraId="4A8EC5EE" w14:textId="77777777" w:rsidR="00EC7F1F" w:rsidRDefault="00000B03">
            <w:pPr>
              <w:spacing w:after="40"/>
            </w:pPr>
            <w:r>
              <w:rPr>
                <w:b/>
                <w:bCs/>
                <w:color w:val="1B2A4A"/>
                <w:sz w:val="26"/>
                <w:szCs w:val="26"/>
              </w:rPr>
              <w:t>Absolute Momentum Confirmation</w:t>
            </w:r>
          </w:p>
          <w:p w14:paraId="624C0869" w14:textId="77777777" w:rsidR="00EC7F1F" w:rsidRDefault="00000B03">
            <w:r>
              <w:rPr>
                <w:i/>
                <w:iCs/>
                <w:color w:val="2E5090"/>
                <w:sz w:val="20"/>
                <w:szCs w:val="20"/>
              </w:rPr>
              <w:t>Confirm trend status for each candidate security using time-series momentum indicators</w:t>
            </w:r>
          </w:p>
        </w:tc>
      </w:tr>
    </w:tbl>
    <w:p w14:paraId="7D6EFA22" w14:textId="77777777" w:rsidR="00EC7F1F" w:rsidRDefault="00000B03">
      <w:pPr>
        <w:spacing w:before="60" w:after="80"/>
      </w:pPr>
      <w:r>
        <w:rPr>
          <w:color w:val="333333"/>
        </w:rPr>
        <w:t>Absolute momentum serves as a critical confirmation filter that ensures selected securities are in established trends consistent with their cross-sectional ranking. This phase eliminates candidates where relative strength diverges from underlying trend health, a common pre-reversal signal.</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71B880F2" w14:textId="77777777">
        <w:tc>
          <w:tcPr>
            <w:tcW w:w="8400" w:type="dxa"/>
            <w:tcBorders>
              <w:top w:val="single" w:sz="2" w:space="0" w:color="2E5090"/>
              <w:left w:val="single" w:sz="6" w:space="0" w:color="2E5090"/>
              <w:bottom w:val="single" w:sz="2" w:space="0" w:color="2E5090"/>
              <w:right w:val="single" w:sz="2" w:space="0" w:color="2E5090"/>
            </w:tcBorders>
            <w:shd w:val="clear" w:color="auto" w:fill="EBF3FC"/>
            <w:tcMar>
              <w:top w:w="80" w:type="dxa"/>
              <w:left w:w="160" w:type="dxa"/>
              <w:bottom w:w="80" w:type="dxa"/>
              <w:right w:w="120" w:type="dxa"/>
            </w:tcMar>
          </w:tcPr>
          <w:p w14:paraId="257EEB3B" w14:textId="77777777" w:rsidR="00EC7F1F" w:rsidRDefault="00000B03">
            <w:pPr>
              <w:spacing w:after="60"/>
            </w:pPr>
            <w:r>
              <w:rPr>
                <w:b/>
                <w:bCs/>
                <w:color w:val="2E5090"/>
                <w:sz w:val="20"/>
                <w:szCs w:val="20"/>
              </w:rPr>
              <w:t>▶ Required Inputs</w:t>
            </w:r>
          </w:p>
          <w:p w14:paraId="1112FA19" w14:textId="77777777" w:rsidR="00EC7F1F" w:rsidRDefault="00000B03">
            <w:pPr>
              <w:spacing w:before="20" w:after="20"/>
            </w:pPr>
            <w:r>
              <w:rPr>
                <w:color w:val="555555"/>
                <w:sz w:val="18"/>
                <w:szCs w:val="18"/>
              </w:rPr>
              <w:t xml:space="preserve">    •  Phase 5 outputs: Long and short candidate pools with RS rankings</w:t>
            </w:r>
          </w:p>
          <w:p w14:paraId="20114562" w14:textId="77777777" w:rsidR="00EC7F1F" w:rsidRDefault="00000B03">
            <w:pPr>
              <w:spacing w:before="20" w:after="20"/>
            </w:pPr>
            <w:r>
              <w:rPr>
                <w:color w:val="555555"/>
                <w:sz w:val="18"/>
                <w:szCs w:val="18"/>
              </w:rPr>
              <w:t xml:space="preserve">    •  Daily price and volume data for each candidate security</w:t>
            </w:r>
          </w:p>
          <w:p w14:paraId="519F9233" w14:textId="77777777" w:rsidR="00EC7F1F" w:rsidRDefault="00000B03">
            <w:pPr>
              <w:spacing w:before="20" w:after="20"/>
            </w:pPr>
            <w:r>
              <w:rPr>
                <w:color w:val="555555"/>
                <w:sz w:val="18"/>
                <w:szCs w:val="18"/>
              </w:rPr>
              <w:t xml:space="preserve">    •  200-day, 100-day, and 50-day moving averages; RSI, MACD, rate of change indicators</w:t>
            </w:r>
          </w:p>
        </w:tc>
      </w:tr>
    </w:tbl>
    <w:p w14:paraId="4E37BC9F" w14:textId="77777777" w:rsidR="00EC7F1F" w:rsidRDefault="00EC7F1F">
      <w:pPr>
        <w:spacing w:before="120"/>
      </w:pPr>
    </w:p>
    <w:p w14:paraId="4B4C1194" w14:textId="77777777" w:rsidR="00EC7F1F" w:rsidRDefault="00000B03">
      <w:pPr>
        <w:pStyle w:val="Heading3"/>
      </w:pPr>
      <w:bookmarkStart w:id="29" w:name="_Toc224818128"/>
      <w:r>
        <w:t>Step 6.1: Calculate the 8-Point Absolute Momentum Score</w:t>
      </w:r>
      <w:bookmarkEnd w:id="29"/>
    </w:p>
    <w:p w14:paraId="404B313C" w14:textId="77777777" w:rsidR="00EC7F1F" w:rsidRDefault="00000B03">
      <w:pPr>
        <w:spacing w:before="60" w:after="80"/>
      </w:pPr>
      <w:r>
        <w:rPr>
          <w:b/>
          <w:bCs/>
          <w:color w:val="333333"/>
        </w:rPr>
        <w:t>Award one point for each condition met. Maximum score = 8.</w:t>
      </w:r>
    </w:p>
    <w:p w14:paraId="1FAC95CD" w14:textId="77777777" w:rsidR="00EC7F1F" w:rsidRDefault="00000B03">
      <w:pPr>
        <w:pStyle w:val="ListParagraph"/>
        <w:numPr>
          <w:ilvl w:val="0"/>
          <w:numId w:val="5"/>
        </w:numPr>
        <w:spacing w:before="40" w:after="40"/>
      </w:pPr>
      <w:r>
        <w:rPr>
          <w:color w:val="333333"/>
        </w:rPr>
        <w:t>Price &gt; 200-day moving average (+1 point)</w:t>
      </w:r>
    </w:p>
    <w:p w14:paraId="3AFBAC7E" w14:textId="77777777" w:rsidR="00EC7F1F" w:rsidRDefault="00000B03">
      <w:pPr>
        <w:pStyle w:val="ListParagraph"/>
        <w:numPr>
          <w:ilvl w:val="0"/>
          <w:numId w:val="5"/>
        </w:numPr>
        <w:spacing w:before="40" w:after="40"/>
      </w:pPr>
      <w:r>
        <w:rPr>
          <w:color w:val="333333"/>
        </w:rPr>
        <w:t>Price &gt; 100-day moving average (+1 point)</w:t>
      </w:r>
    </w:p>
    <w:p w14:paraId="64154180" w14:textId="77777777" w:rsidR="00EC7F1F" w:rsidRDefault="00000B03">
      <w:pPr>
        <w:pStyle w:val="ListParagraph"/>
        <w:numPr>
          <w:ilvl w:val="0"/>
          <w:numId w:val="5"/>
        </w:numPr>
        <w:spacing w:before="40" w:after="40"/>
      </w:pPr>
      <w:r>
        <w:rPr>
          <w:color w:val="333333"/>
        </w:rPr>
        <w:t>Price &gt; 50-day moving average (+1 point)</w:t>
      </w:r>
    </w:p>
    <w:p w14:paraId="1E7EC2A3" w14:textId="77777777" w:rsidR="00EC7F1F" w:rsidRDefault="00000B03">
      <w:pPr>
        <w:pStyle w:val="ListParagraph"/>
        <w:numPr>
          <w:ilvl w:val="0"/>
          <w:numId w:val="5"/>
        </w:numPr>
        <w:spacing w:before="40" w:after="40"/>
      </w:pPr>
      <w:r>
        <w:rPr>
          <w:color w:val="333333"/>
        </w:rPr>
        <w:t>50-day MA &gt; 100-day MA (+1 point)</w:t>
      </w:r>
    </w:p>
    <w:p w14:paraId="7FFDB9B5" w14:textId="77777777" w:rsidR="00EC7F1F" w:rsidRDefault="00000B03">
      <w:pPr>
        <w:pStyle w:val="ListParagraph"/>
        <w:numPr>
          <w:ilvl w:val="0"/>
          <w:numId w:val="5"/>
        </w:numPr>
        <w:spacing w:before="40" w:after="40"/>
      </w:pPr>
      <w:r>
        <w:rPr>
          <w:color w:val="333333"/>
        </w:rPr>
        <w:t>100-day MA &gt; 200-day MA (+1 point)</w:t>
      </w:r>
    </w:p>
    <w:p w14:paraId="43CA546F" w14:textId="77777777" w:rsidR="00EC7F1F" w:rsidRDefault="00000B03">
      <w:pPr>
        <w:pStyle w:val="ListParagraph"/>
        <w:numPr>
          <w:ilvl w:val="0"/>
          <w:numId w:val="5"/>
        </w:numPr>
        <w:spacing w:before="40" w:after="40"/>
      </w:pPr>
      <w:r>
        <w:rPr>
          <w:color w:val="333333"/>
        </w:rPr>
        <w:t>Rising 200-day MA (positive slope) (+1 point)</w:t>
      </w:r>
    </w:p>
    <w:p w14:paraId="4415ED95" w14:textId="77777777" w:rsidR="00EC7F1F" w:rsidRDefault="00000B03">
      <w:pPr>
        <w:pStyle w:val="ListParagraph"/>
        <w:numPr>
          <w:ilvl w:val="0"/>
          <w:numId w:val="5"/>
        </w:numPr>
        <w:spacing w:before="40" w:after="40"/>
      </w:pPr>
      <w:r>
        <w:rPr>
          <w:color w:val="333333"/>
        </w:rPr>
        <w:t>Rising 100-day MA (positive slope) (+1 point)</w:t>
      </w:r>
    </w:p>
    <w:p w14:paraId="18483D01" w14:textId="77777777" w:rsidR="00EC7F1F" w:rsidRDefault="00000B03">
      <w:pPr>
        <w:pStyle w:val="ListParagraph"/>
        <w:numPr>
          <w:ilvl w:val="0"/>
          <w:numId w:val="5"/>
        </w:numPr>
        <w:spacing w:before="40" w:after="40"/>
      </w:pPr>
      <w:r>
        <w:rPr>
          <w:color w:val="333333"/>
        </w:rPr>
        <w:t>Rising 50-day MA (positive slope) (+1 point)</w:t>
      </w:r>
    </w:p>
    <w:p w14:paraId="26591AF8" w14:textId="77777777" w:rsidR="00EC7F1F" w:rsidRDefault="00000B03">
      <w:pPr>
        <w:pStyle w:val="Heading3"/>
      </w:pPr>
      <w:bookmarkStart w:id="30" w:name="_Toc224818129"/>
      <w:r>
        <w:t>Step 6.2: Verify Price Structure</w:t>
      </w:r>
      <w:bookmarkEnd w:id="30"/>
    </w:p>
    <w:p w14:paraId="436C5A22" w14:textId="77777777" w:rsidR="00EC7F1F" w:rsidRDefault="00000B03">
      <w:pPr>
        <w:pStyle w:val="ListParagraph"/>
        <w:numPr>
          <w:ilvl w:val="0"/>
          <w:numId w:val="6"/>
        </w:numPr>
        <w:spacing w:before="40" w:after="40"/>
      </w:pPr>
      <w:r>
        <w:rPr>
          <w:color w:val="333333"/>
        </w:rPr>
        <w:t>For long candidates: Confirm a pattern of higher highs and higher lows on the daily and weekly timeframes</w:t>
      </w:r>
    </w:p>
    <w:p w14:paraId="2ECAB37A" w14:textId="77777777" w:rsidR="00EC7F1F" w:rsidRDefault="00000B03">
      <w:pPr>
        <w:pStyle w:val="ListParagraph"/>
        <w:numPr>
          <w:ilvl w:val="0"/>
          <w:numId w:val="6"/>
        </w:numPr>
        <w:spacing w:before="40" w:after="40"/>
      </w:pPr>
      <w:r>
        <w:rPr>
          <w:color w:val="333333"/>
        </w:rPr>
        <w:t>For short candidates: Confirm a pattern of lower highs and lower lows on the daily and weekly timeframes</w:t>
      </w:r>
    </w:p>
    <w:p w14:paraId="31542317" w14:textId="77777777" w:rsidR="00EC7F1F" w:rsidRDefault="00000B03">
      <w:pPr>
        <w:pStyle w:val="ListParagraph"/>
        <w:numPr>
          <w:ilvl w:val="0"/>
          <w:numId w:val="6"/>
        </w:numPr>
        <w:spacing w:before="40" w:after="40"/>
      </w:pPr>
      <w:r>
        <w:rPr>
          <w:color w:val="333333"/>
        </w:rPr>
        <w:t>Assess key support and resistance interactions to verify structural integrity</w:t>
      </w:r>
    </w:p>
    <w:p w14:paraId="03D3060C" w14:textId="77777777" w:rsidR="00EC7F1F" w:rsidRDefault="00000B03">
      <w:pPr>
        <w:pStyle w:val="ListParagraph"/>
        <w:numPr>
          <w:ilvl w:val="0"/>
          <w:numId w:val="6"/>
        </w:numPr>
        <w:spacing w:before="40" w:after="40"/>
      </w:pPr>
      <w:r>
        <w:rPr>
          <w:color w:val="333333"/>
        </w:rPr>
        <w:t>Evaluate volume patterns for confirmation of trend health (expanding volume on impulse moves, contracting on corrections)</w:t>
      </w:r>
    </w:p>
    <w:p w14:paraId="519BA1EC" w14:textId="77777777" w:rsidR="00EC7F1F" w:rsidRDefault="00000B03">
      <w:pPr>
        <w:pStyle w:val="Heading3"/>
      </w:pPr>
      <w:bookmarkStart w:id="31" w:name="_Toc224818130"/>
      <w:r>
        <w:t>Step 6.3: Assess Momentum Oscillators</w:t>
      </w:r>
      <w:bookmarkEnd w:id="31"/>
    </w:p>
    <w:p w14:paraId="5A9FB0FA" w14:textId="77777777" w:rsidR="00EC7F1F" w:rsidRDefault="00000B03">
      <w:pPr>
        <w:pStyle w:val="ListParagraph"/>
        <w:numPr>
          <w:ilvl w:val="0"/>
          <w:numId w:val="7"/>
        </w:numPr>
        <w:spacing w:before="40" w:after="40"/>
      </w:pPr>
      <w:r>
        <w:rPr>
          <w:color w:val="333333"/>
        </w:rPr>
        <w:t>For longs: RSI &gt; 50 with positive slope; MACD &gt; 0 with MACD above signal line; positive rate of change</w:t>
      </w:r>
    </w:p>
    <w:p w14:paraId="3B554348" w14:textId="77777777" w:rsidR="00EC7F1F" w:rsidRDefault="00000B03">
      <w:pPr>
        <w:pStyle w:val="ListParagraph"/>
        <w:numPr>
          <w:ilvl w:val="0"/>
          <w:numId w:val="7"/>
        </w:numPr>
        <w:spacing w:before="40" w:after="40"/>
      </w:pPr>
      <w:r>
        <w:rPr>
          <w:color w:val="333333"/>
        </w:rPr>
        <w:t>For shorts: RSI &lt; 50 with negative slope; MACD &lt; 0 with MACD below signal line; negative rate of change</w:t>
      </w:r>
    </w:p>
    <w:p w14:paraId="5103008A" w14:textId="77777777" w:rsidR="00EC7F1F" w:rsidRDefault="00000B03">
      <w:pPr>
        <w:pStyle w:val="ListParagraph"/>
        <w:numPr>
          <w:ilvl w:val="0"/>
          <w:numId w:val="7"/>
        </w:numPr>
        <w:spacing w:before="40" w:after="40"/>
      </w:pPr>
      <w:r>
        <w:rPr>
          <w:color w:val="333333"/>
        </w:rPr>
        <w:t>Check for bearish or bullish divergences between price and oscillators that may indicate weakening momentum</w:t>
      </w:r>
    </w:p>
    <w:p w14:paraId="7B3890BC" w14:textId="77777777" w:rsidR="00EC7F1F" w:rsidRDefault="00000B03">
      <w:pPr>
        <w:pStyle w:val="Heading3"/>
      </w:pPr>
      <w:bookmarkStart w:id="32" w:name="_Toc224818131"/>
      <w:r>
        <w:t>Step 6.4: Finalize Security Selection</w:t>
      </w:r>
      <w:bookmarkEnd w:id="32"/>
    </w:p>
    <w:p w14:paraId="44157DFF" w14:textId="77777777" w:rsidR="00EC7F1F" w:rsidRDefault="00000B03">
      <w:pPr>
        <w:spacing w:before="60" w:after="80"/>
      </w:pPr>
      <w:r>
        <w:rPr>
          <w:b/>
          <w:bCs/>
          <w:color w:val="333333"/>
        </w:rPr>
        <w:t>Apply the following minimum thresholds:</w:t>
      </w:r>
    </w:p>
    <w:p w14:paraId="078F89AA" w14:textId="77777777" w:rsidR="00EC7F1F" w:rsidRDefault="00000B03">
      <w:pPr>
        <w:pStyle w:val="ListParagraph"/>
        <w:numPr>
          <w:ilvl w:val="0"/>
          <w:numId w:val="21"/>
        </w:numPr>
        <w:spacing w:before="30" w:after="30"/>
      </w:pPr>
      <w:r>
        <w:rPr>
          <w:color w:val="555555"/>
        </w:rPr>
        <w:t>Long positions: Top 10% cross-sectional RS + absolute momentum score of 6/8 or higher + belonging to top-ranked sectors + top 10% within industry groups</w:t>
      </w:r>
    </w:p>
    <w:p w14:paraId="28A0F30F" w14:textId="77777777" w:rsidR="00EC7F1F" w:rsidRDefault="00000B03">
      <w:pPr>
        <w:pStyle w:val="ListParagraph"/>
        <w:numPr>
          <w:ilvl w:val="0"/>
          <w:numId w:val="21"/>
        </w:numPr>
        <w:spacing w:before="30" w:after="30"/>
      </w:pPr>
      <w:r>
        <w:rPr>
          <w:color w:val="555555"/>
        </w:rPr>
        <w:lastRenderedPageBreak/>
        <w:t>Short positions: Bottom 10% cross-sectional RS + absolute momentum score of 2/8 or lower + belonging to bottom-ranked sectors + bottom 10% within industry groups</w:t>
      </w:r>
    </w:p>
    <w:p w14:paraId="4199580C" w14:textId="77777777" w:rsidR="00EC7F1F" w:rsidRDefault="00000B03">
      <w:pPr>
        <w:spacing w:before="60" w:after="80"/>
      </w:pPr>
      <w:r>
        <w:rPr>
          <w:color w:val="333333"/>
        </w:rPr>
        <w:t>Securities failing to meet these combined thresholds are removed from the candidate pools.</w:t>
      </w:r>
    </w:p>
    <w:p w14:paraId="32D396C8" w14:textId="77777777" w:rsidR="00EC7F1F" w:rsidRDefault="00EC7F1F">
      <w:pPr>
        <w:spacing w:before="1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4E7F9BEF" w14:textId="77777777">
        <w:tc>
          <w:tcPr>
            <w:tcW w:w="8400" w:type="dxa"/>
            <w:tcBorders>
              <w:top w:val="single" w:sz="2" w:space="0" w:color="2E7D32"/>
              <w:left w:val="single" w:sz="6" w:space="0" w:color="2E7D32"/>
              <w:bottom w:val="single" w:sz="2" w:space="0" w:color="2E7D32"/>
              <w:right w:val="single" w:sz="2" w:space="0" w:color="2E7D32"/>
            </w:tcBorders>
            <w:shd w:val="clear" w:color="auto" w:fill="E8F5E9"/>
            <w:tcMar>
              <w:top w:w="80" w:type="dxa"/>
              <w:left w:w="160" w:type="dxa"/>
              <w:bottom w:w="80" w:type="dxa"/>
              <w:right w:w="120" w:type="dxa"/>
            </w:tcMar>
          </w:tcPr>
          <w:p w14:paraId="7A4C4900" w14:textId="77777777" w:rsidR="00EC7F1F" w:rsidRDefault="00000B03">
            <w:pPr>
              <w:spacing w:after="60"/>
            </w:pPr>
            <w:r>
              <w:rPr>
                <w:b/>
                <w:bCs/>
                <w:color w:val="2E7D32"/>
                <w:sz w:val="20"/>
                <w:szCs w:val="20"/>
              </w:rPr>
              <w:t>✓ Phase 6 Outputs</w:t>
            </w:r>
          </w:p>
          <w:p w14:paraId="5B9976BD" w14:textId="77777777" w:rsidR="00EC7F1F" w:rsidRDefault="00000B03">
            <w:pPr>
              <w:spacing w:before="20" w:after="20"/>
            </w:pPr>
            <w:r>
              <w:rPr>
                <w:color w:val="555555"/>
                <w:sz w:val="18"/>
                <w:szCs w:val="18"/>
              </w:rPr>
              <w:t xml:space="preserve">    •  Confirmed long candidate list with RS rankings and absolute momentum scores</w:t>
            </w:r>
          </w:p>
          <w:p w14:paraId="296D2686" w14:textId="77777777" w:rsidR="00EC7F1F" w:rsidRDefault="00000B03">
            <w:pPr>
              <w:spacing w:before="20" w:after="20"/>
            </w:pPr>
            <w:r>
              <w:rPr>
                <w:color w:val="555555"/>
                <w:sz w:val="18"/>
                <w:szCs w:val="18"/>
              </w:rPr>
              <w:t xml:space="preserve">    •  Confirmed short candidate list with RS rankings and absolute momentum scores</w:t>
            </w:r>
          </w:p>
          <w:p w14:paraId="5B6BB1CD" w14:textId="77777777" w:rsidR="00EC7F1F" w:rsidRDefault="00000B03">
            <w:pPr>
              <w:spacing w:before="20" w:after="20"/>
            </w:pPr>
            <w:r>
              <w:rPr>
                <w:color w:val="555555"/>
                <w:sz w:val="18"/>
                <w:szCs w:val="18"/>
              </w:rPr>
              <w:t xml:space="preserve">    •  Securities removed from consideration with documented reasons</w:t>
            </w:r>
          </w:p>
          <w:p w14:paraId="4D90FE7B" w14:textId="77777777" w:rsidR="00EC7F1F" w:rsidRDefault="00000B03">
            <w:pPr>
              <w:spacing w:before="20" w:after="20"/>
            </w:pPr>
            <w:r>
              <w:rPr>
                <w:color w:val="555555"/>
                <w:sz w:val="18"/>
                <w:szCs w:val="18"/>
              </w:rPr>
              <w:t xml:space="preserve">    •  Momentum oscillator readings and divergence alerts for each confirmed candidate</w:t>
            </w:r>
          </w:p>
        </w:tc>
      </w:tr>
    </w:tbl>
    <w:p w14:paraId="108E0535" w14:textId="77777777" w:rsidR="00EC7F1F" w:rsidRDefault="00000B03">
      <w:r>
        <w:br w:type="page"/>
      </w:r>
    </w:p>
    <w:p w14:paraId="336A6C84" w14:textId="77777777" w:rsidR="00EC7F1F" w:rsidRDefault="00000B03">
      <w:pPr>
        <w:pStyle w:val="Heading1"/>
      </w:pPr>
      <w:bookmarkStart w:id="33" w:name="_Toc224818132"/>
      <w:r>
        <w:lastRenderedPageBreak/>
        <w:t>Tier III: Execution</w:t>
      </w:r>
      <w:bookmarkEnd w:id="33"/>
    </w:p>
    <w:p w14:paraId="14D1C884" w14:textId="77777777" w:rsidR="00EC7F1F" w:rsidRDefault="00EC7F1F">
      <w:pPr>
        <w:pBdr>
          <w:bottom w:val="single" w:sz="4" w:space="1" w:color="3B7DD8"/>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C7F1F" w14:paraId="5C5821A2" w14:textId="77777777">
        <w:tc>
          <w:tcPr>
            <w:tcW w:w="1200" w:type="dxa"/>
            <w:shd w:val="clear" w:color="auto" w:fill="1B2A4A"/>
            <w:tcMar>
              <w:top w:w="120" w:type="dxa"/>
              <w:left w:w="120" w:type="dxa"/>
              <w:bottom w:w="120" w:type="dxa"/>
              <w:right w:w="80" w:type="dxa"/>
            </w:tcMar>
            <w:vAlign w:val="center"/>
          </w:tcPr>
          <w:p w14:paraId="4F062B25" w14:textId="77777777" w:rsidR="00EC7F1F" w:rsidRDefault="00000B03">
            <w:pPr>
              <w:jc w:val="center"/>
            </w:pPr>
            <w:r>
              <w:rPr>
                <w:b/>
                <w:bCs/>
                <w:color w:val="FFFFFF"/>
              </w:rPr>
              <w:t>PHASE 7</w:t>
            </w:r>
          </w:p>
        </w:tc>
        <w:tc>
          <w:tcPr>
            <w:tcW w:w="8160" w:type="dxa"/>
            <w:shd w:val="clear" w:color="auto" w:fill="D5E8F8"/>
            <w:tcMar>
              <w:top w:w="120" w:type="dxa"/>
              <w:left w:w="160" w:type="dxa"/>
              <w:bottom w:w="120" w:type="dxa"/>
              <w:right w:w="120" w:type="dxa"/>
            </w:tcMar>
            <w:vAlign w:val="center"/>
          </w:tcPr>
          <w:p w14:paraId="3AB21750" w14:textId="77777777" w:rsidR="00EC7F1F" w:rsidRDefault="00000B03">
            <w:pPr>
              <w:spacing w:after="40"/>
            </w:pPr>
            <w:r>
              <w:rPr>
                <w:b/>
                <w:bCs/>
                <w:color w:val="1B2A4A"/>
                <w:sz w:val="26"/>
                <w:szCs w:val="26"/>
              </w:rPr>
              <w:t>Trade Structure &amp; Technical Analysis</w:t>
            </w:r>
          </w:p>
          <w:p w14:paraId="5D352EFA" w14:textId="77777777" w:rsidR="00EC7F1F" w:rsidRDefault="00000B03">
            <w:r>
              <w:rPr>
                <w:i/>
                <w:iCs/>
                <w:color w:val="2E5090"/>
                <w:sz w:val="20"/>
                <w:szCs w:val="20"/>
              </w:rPr>
              <w:t>Identify precise entry zones, risk points, and trade management parameters</w:t>
            </w:r>
          </w:p>
        </w:tc>
      </w:tr>
    </w:tbl>
    <w:p w14:paraId="3C0F2482" w14:textId="77777777" w:rsidR="00EC7F1F" w:rsidRDefault="00000B03">
      <w:pPr>
        <w:spacing w:before="60" w:after="80"/>
      </w:pPr>
      <w:r>
        <w:rPr>
          <w:color w:val="333333"/>
        </w:rPr>
        <w:t>The trade structure analysis phase translates confirmed momentum candidates into actionable trade setups with defined entry zones, stop-loss levels, and profit targets. This phase applies the Core Strategy framework, recognizing that markets move in fractal patterns of impulse and corrective waves that create identifiable high-probability entry zones.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6CD31639" w14:textId="77777777">
        <w:tc>
          <w:tcPr>
            <w:tcW w:w="8400" w:type="dxa"/>
            <w:tcBorders>
              <w:top w:val="single" w:sz="2" w:space="0" w:color="2E5090"/>
              <w:left w:val="single" w:sz="6" w:space="0" w:color="2E5090"/>
              <w:bottom w:val="single" w:sz="2" w:space="0" w:color="2E5090"/>
              <w:right w:val="single" w:sz="2" w:space="0" w:color="2E5090"/>
            </w:tcBorders>
            <w:shd w:val="clear" w:color="auto" w:fill="EBF3FC"/>
            <w:tcMar>
              <w:top w:w="80" w:type="dxa"/>
              <w:left w:w="160" w:type="dxa"/>
              <w:bottom w:w="80" w:type="dxa"/>
              <w:right w:w="120" w:type="dxa"/>
            </w:tcMar>
          </w:tcPr>
          <w:p w14:paraId="2BF87535" w14:textId="77777777" w:rsidR="00EC7F1F" w:rsidRDefault="00000B03">
            <w:pPr>
              <w:spacing w:after="60"/>
            </w:pPr>
            <w:r>
              <w:rPr>
                <w:b/>
                <w:bCs/>
                <w:color w:val="2E5090"/>
                <w:sz w:val="20"/>
                <w:szCs w:val="20"/>
              </w:rPr>
              <w:t>▶ Required Inputs</w:t>
            </w:r>
          </w:p>
          <w:p w14:paraId="75B52DE5" w14:textId="77777777" w:rsidR="00EC7F1F" w:rsidRDefault="00000B03">
            <w:pPr>
              <w:spacing w:before="20" w:after="20"/>
            </w:pPr>
            <w:r>
              <w:rPr>
                <w:color w:val="555555"/>
                <w:sz w:val="18"/>
                <w:szCs w:val="18"/>
              </w:rPr>
              <w:t xml:space="preserve">    •  Phase 6 outputs: Confirmed long and short candidate lists</w:t>
            </w:r>
          </w:p>
          <w:p w14:paraId="42AE9A82" w14:textId="77777777" w:rsidR="00EC7F1F" w:rsidRDefault="00000B03">
            <w:pPr>
              <w:spacing w:before="20" w:after="20"/>
            </w:pPr>
            <w:r>
              <w:rPr>
                <w:color w:val="555555"/>
                <w:sz w:val="18"/>
                <w:szCs w:val="18"/>
              </w:rPr>
              <w:t xml:space="preserve">    •  Detailed price charts (daily and weekly) for each candidate security</w:t>
            </w:r>
          </w:p>
          <w:p w14:paraId="3F6A51DB" w14:textId="77777777" w:rsidR="00EC7F1F" w:rsidRDefault="00000B03">
            <w:pPr>
              <w:spacing w:before="20" w:after="20"/>
            </w:pPr>
            <w:r>
              <w:rPr>
                <w:color w:val="555555"/>
                <w:sz w:val="18"/>
                <w:szCs w:val="18"/>
              </w:rPr>
              <w:t xml:space="preserve">    •  Volume profile data and anchored VWAP calculations</w:t>
            </w:r>
          </w:p>
        </w:tc>
      </w:tr>
    </w:tbl>
    <w:p w14:paraId="79087679" w14:textId="77777777" w:rsidR="00EC7F1F" w:rsidRDefault="00EC7F1F">
      <w:pPr>
        <w:spacing w:before="120"/>
      </w:pPr>
    </w:p>
    <w:p w14:paraId="54B60434" w14:textId="77777777" w:rsidR="00EC7F1F" w:rsidRDefault="00000B03">
      <w:pPr>
        <w:pStyle w:val="Heading3"/>
      </w:pPr>
      <w:bookmarkStart w:id="34" w:name="_Toc224818133"/>
      <w:r>
        <w:t>Step 7.1: Identify Trend Structure</w:t>
      </w:r>
      <w:bookmarkEnd w:id="34"/>
    </w:p>
    <w:p w14:paraId="65CC2FA8" w14:textId="77777777" w:rsidR="00EC7F1F" w:rsidRDefault="00000B03">
      <w:pPr>
        <w:spacing w:before="60" w:after="80"/>
      </w:pPr>
      <w:r>
        <w:rPr>
          <w:b/>
          <w:bCs/>
          <w:color w:val="333333"/>
        </w:rPr>
        <w:t>For uptrends (long candidates):</w:t>
      </w:r>
    </w:p>
    <w:p w14:paraId="654D2808" w14:textId="77777777" w:rsidR="00EC7F1F" w:rsidRDefault="00000B03">
      <w:pPr>
        <w:pStyle w:val="ListParagraph"/>
        <w:numPr>
          <w:ilvl w:val="0"/>
          <w:numId w:val="8"/>
        </w:numPr>
        <w:spacing w:before="40" w:after="40"/>
      </w:pPr>
      <w:r>
        <w:rPr>
          <w:color w:val="333333"/>
        </w:rPr>
        <w:t>Locate the most recent highest high on the daily chart</w:t>
      </w:r>
    </w:p>
    <w:p w14:paraId="5C05993D" w14:textId="77777777" w:rsidR="00EC7F1F" w:rsidRDefault="00000B03">
      <w:pPr>
        <w:pStyle w:val="ListParagraph"/>
        <w:numPr>
          <w:ilvl w:val="0"/>
          <w:numId w:val="8"/>
        </w:numPr>
        <w:spacing w:before="40" w:after="40"/>
      </w:pPr>
      <w:r>
        <w:rPr>
          <w:color w:val="333333"/>
        </w:rPr>
        <w:t>Identify the most recent swing low</w:t>
      </w:r>
    </w:p>
    <w:p w14:paraId="5DD4AD4C" w14:textId="77777777" w:rsidR="00EC7F1F" w:rsidRDefault="00000B03">
      <w:pPr>
        <w:pStyle w:val="ListParagraph"/>
        <w:numPr>
          <w:ilvl w:val="0"/>
          <w:numId w:val="8"/>
        </w:numPr>
        <w:spacing w:before="40" w:after="40"/>
      </w:pPr>
      <w:r>
        <w:rPr>
          <w:color w:val="333333"/>
        </w:rPr>
        <w:t>Find the previous swing low</w:t>
      </w:r>
    </w:p>
    <w:p w14:paraId="43092B47" w14:textId="77777777" w:rsidR="00EC7F1F" w:rsidRDefault="00000B03">
      <w:pPr>
        <w:pStyle w:val="ListParagraph"/>
        <w:numPr>
          <w:ilvl w:val="0"/>
          <w:numId w:val="8"/>
        </w:numPr>
        <w:spacing w:before="40" w:after="40"/>
      </w:pPr>
      <w:r>
        <w:rPr>
          <w:color w:val="333333"/>
        </w:rPr>
        <w:t>Identify the swing high between the two swing lows</w:t>
      </w:r>
    </w:p>
    <w:p w14:paraId="51CE277F" w14:textId="77777777" w:rsidR="00EC7F1F" w:rsidRDefault="00000B03">
      <w:pPr>
        <w:pStyle w:val="ListParagraph"/>
        <w:numPr>
          <w:ilvl w:val="0"/>
          <w:numId w:val="8"/>
        </w:numPr>
        <w:spacing w:before="40" w:after="40"/>
      </w:pPr>
      <w:r>
        <w:rPr>
          <w:color w:val="333333"/>
        </w:rPr>
        <w:t>Confirm that price is trading above the intervening swing high (establishing the structured uptrend)</w:t>
      </w:r>
    </w:p>
    <w:p w14:paraId="6CCE11C5" w14:textId="77777777" w:rsidR="00EC7F1F" w:rsidRDefault="00000B03">
      <w:pPr>
        <w:spacing w:before="60" w:after="80"/>
      </w:pPr>
      <w:r>
        <w:rPr>
          <w:i/>
          <w:iCs/>
          <w:color w:val="333333"/>
        </w:rPr>
        <w:t>For downtrends (short candidates): Apply the mirror-image approach using swing highs as the controlling structure.</w:t>
      </w:r>
    </w:p>
    <w:p w14:paraId="388C9C37" w14:textId="77777777" w:rsidR="00EC7F1F" w:rsidRDefault="00000B03">
      <w:pPr>
        <w:pStyle w:val="Heading3"/>
      </w:pPr>
      <w:bookmarkStart w:id="35" w:name="_Toc224818134"/>
      <w:r>
        <w:t>Step 7.2: Identify Controlling Swing Points and Risk Levels</w:t>
      </w:r>
      <w:bookmarkEnd w:id="35"/>
    </w:p>
    <w:p w14:paraId="0551C82B" w14:textId="77777777" w:rsidR="00EC7F1F" w:rsidRDefault="00000B03">
      <w:pPr>
        <w:pStyle w:val="ListParagraph"/>
        <w:numPr>
          <w:ilvl w:val="0"/>
          <w:numId w:val="9"/>
        </w:numPr>
        <w:spacing w:before="40" w:after="40"/>
      </w:pPr>
      <w:r>
        <w:rPr>
          <w:color w:val="333333"/>
        </w:rPr>
        <w:t>For longs: The most recent swing low establishes the primary risk point (initial stop-loss level)</w:t>
      </w:r>
    </w:p>
    <w:p w14:paraId="2D78D976" w14:textId="77777777" w:rsidR="00EC7F1F" w:rsidRDefault="00000B03">
      <w:pPr>
        <w:pStyle w:val="ListParagraph"/>
        <w:numPr>
          <w:ilvl w:val="0"/>
          <w:numId w:val="9"/>
        </w:numPr>
        <w:spacing w:before="40" w:after="40"/>
      </w:pPr>
      <w:r>
        <w:rPr>
          <w:color w:val="333333"/>
        </w:rPr>
        <w:t>For shorts: The most recent swing high establishes the primary risk point (initial stop-loss level)</w:t>
      </w:r>
    </w:p>
    <w:p w14:paraId="103B546B" w14:textId="77777777" w:rsidR="00EC7F1F" w:rsidRDefault="00000B03">
      <w:pPr>
        <w:pStyle w:val="ListParagraph"/>
        <w:numPr>
          <w:ilvl w:val="0"/>
          <w:numId w:val="9"/>
        </w:numPr>
        <w:spacing w:before="40" w:after="40"/>
      </w:pPr>
      <w:r>
        <w:rPr>
          <w:color w:val="333333"/>
        </w:rPr>
        <w:t>Verify the validity of the trend pattern; reject setups where the controlling swing point has been violated</w:t>
      </w:r>
    </w:p>
    <w:p w14:paraId="4F224A76" w14:textId="77777777" w:rsidR="00EC7F1F" w:rsidRDefault="00000B03">
      <w:pPr>
        <w:pStyle w:val="Heading3"/>
      </w:pPr>
      <w:bookmarkStart w:id="36" w:name="_Toc224818135"/>
      <w:r>
        <w:t>Step 7.3: Apply the Breakout Box Method for Entry Zone Identification</w:t>
      </w:r>
      <w:bookmarkEnd w:id="36"/>
    </w:p>
    <w:p w14:paraId="718F768B" w14:textId="77777777" w:rsidR="00EC7F1F" w:rsidRDefault="00000B03">
      <w:pPr>
        <w:pStyle w:val="ListParagraph"/>
        <w:numPr>
          <w:ilvl w:val="0"/>
          <w:numId w:val="10"/>
        </w:numPr>
        <w:spacing w:before="40" w:after="40"/>
      </w:pPr>
      <w:r>
        <w:rPr>
          <w:color w:val="333333"/>
        </w:rPr>
        <w:t>Identify the leg-in momentum move: a series of bars with continuous directional motion (the impulse)</w:t>
      </w:r>
    </w:p>
    <w:p w14:paraId="27C39EFE" w14:textId="77777777" w:rsidR="00EC7F1F" w:rsidRDefault="00000B03">
      <w:pPr>
        <w:pStyle w:val="ListParagraph"/>
        <w:numPr>
          <w:ilvl w:val="0"/>
          <w:numId w:val="10"/>
        </w:numPr>
        <w:spacing w:before="40" w:after="40"/>
      </w:pPr>
      <w:r>
        <w:rPr>
          <w:color w:val="333333"/>
        </w:rPr>
        <w:t>Recognize the consolidation/equilibrium zone that follows the impulse move</w:t>
      </w:r>
    </w:p>
    <w:p w14:paraId="16B750B7" w14:textId="77777777" w:rsidR="00EC7F1F" w:rsidRDefault="00000B03">
      <w:pPr>
        <w:pStyle w:val="ListParagraph"/>
        <w:numPr>
          <w:ilvl w:val="0"/>
          <w:numId w:val="10"/>
        </w:numPr>
        <w:spacing w:before="40" w:after="40"/>
      </w:pPr>
      <w:r>
        <w:rPr>
          <w:color w:val="333333"/>
        </w:rPr>
        <w:t>Define the entry zone between the end of the impulse and the start of the next directional move (the breakout box)</w:t>
      </w:r>
    </w:p>
    <w:p w14:paraId="11A0392D" w14:textId="77777777" w:rsidR="00EC7F1F" w:rsidRDefault="00000B03">
      <w:pPr>
        <w:pStyle w:val="ListParagraph"/>
        <w:numPr>
          <w:ilvl w:val="0"/>
          <w:numId w:val="10"/>
        </w:numPr>
        <w:spacing w:before="40" w:after="40"/>
      </w:pPr>
      <w:r>
        <w:rPr>
          <w:color w:val="333333"/>
        </w:rPr>
        <w:t>Look for the leg-out trigger: resumption of directional movement out of the consolidation zone</w:t>
      </w:r>
    </w:p>
    <w:p w14:paraId="4ABE2BC5" w14:textId="77777777" w:rsidR="00EC7F1F" w:rsidRDefault="00000B03">
      <w:pPr>
        <w:pStyle w:val="Heading3"/>
      </w:pPr>
      <w:bookmarkStart w:id="37" w:name="_Toc224818136"/>
      <w:r>
        <w:t>Step 7.4: Integrate Volume Analysis</w:t>
      </w:r>
      <w:bookmarkEnd w:id="37"/>
    </w:p>
    <w:p w14:paraId="7CA1F5C9" w14:textId="77777777" w:rsidR="00EC7F1F" w:rsidRDefault="00000B03">
      <w:pPr>
        <w:pStyle w:val="ListParagraph"/>
        <w:numPr>
          <w:ilvl w:val="0"/>
          <w:numId w:val="11"/>
        </w:numPr>
        <w:spacing w:before="40" w:after="40"/>
      </w:pPr>
      <w:r>
        <w:rPr>
          <w:color w:val="333333"/>
        </w:rPr>
        <w:lastRenderedPageBreak/>
        <w:t>Apply Anchored Volume Weighted Average Price (AVWAP) from the most recent significant swing point</w:t>
      </w:r>
    </w:p>
    <w:p w14:paraId="6C5F1C53" w14:textId="77777777" w:rsidR="00EC7F1F" w:rsidRDefault="00000B03">
      <w:pPr>
        <w:pStyle w:val="ListParagraph"/>
        <w:numPr>
          <w:ilvl w:val="0"/>
          <w:numId w:val="11"/>
        </w:numPr>
        <w:spacing w:before="40" w:after="40"/>
      </w:pPr>
      <w:r>
        <w:rPr>
          <w:color w:val="333333"/>
        </w:rPr>
        <w:t>Analyze Fixed Range Volume Profile to identify high-volume nodes (support/resistance) and low-volume areas (potential acceleration zones)</w:t>
      </w:r>
    </w:p>
    <w:p w14:paraId="17CE832E" w14:textId="77777777" w:rsidR="00EC7F1F" w:rsidRDefault="00000B03">
      <w:pPr>
        <w:pStyle w:val="ListParagraph"/>
        <w:numPr>
          <w:ilvl w:val="0"/>
          <w:numId w:val="11"/>
        </w:numPr>
        <w:spacing w:before="40" w:after="40"/>
      </w:pPr>
      <w:r>
        <w:rPr>
          <w:color w:val="333333"/>
        </w:rPr>
        <w:t>Confirm entry zones overlap with volume-based support/resistance for added confluence</w:t>
      </w:r>
    </w:p>
    <w:p w14:paraId="688B4C42" w14:textId="77777777" w:rsidR="00EC7F1F" w:rsidRDefault="00000B03">
      <w:pPr>
        <w:pStyle w:val="Heading3"/>
      </w:pPr>
      <w:bookmarkStart w:id="38" w:name="_Toc224818137"/>
      <w:r>
        <w:t>Step 7.5: Classify Trade Type</w:t>
      </w:r>
      <w:bookmarkEnd w:id="38"/>
    </w:p>
    <w:p w14:paraId="42F963EE" w14:textId="77777777" w:rsidR="00EC7F1F" w:rsidRDefault="00000B03">
      <w:pPr>
        <w:pStyle w:val="ListParagraph"/>
        <w:numPr>
          <w:ilvl w:val="0"/>
          <w:numId w:val="12"/>
        </w:numPr>
        <w:spacing w:before="40" w:after="40"/>
      </w:pPr>
      <w:r>
        <w:rPr>
          <w:b/>
          <w:bCs/>
          <w:color w:val="333333"/>
        </w:rPr>
        <w:t>Autoregressive (Trend-Following) Setup: Impulse-correction-impulse structure in a trending market. Use trailing stops and wider targets. Preferred in expanding regimes.</w:t>
      </w:r>
    </w:p>
    <w:p w14:paraId="747B8723" w14:textId="77777777" w:rsidR="00EC7F1F" w:rsidRDefault="00000B03">
      <w:pPr>
        <w:pStyle w:val="ListParagraph"/>
        <w:numPr>
          <w:ilvl w:val="0"/>
          <w:numId w:val="12"/>
        </w:numPr>
        <w:spacing w:before="40" w:after="40"/>
      </w:pPr>
      <w:r>
        <w:rPr>
          <w:b/>
          <w:bCs/>
          <w:color w:val="333333"/>
        </w:rPr>
        <w:t>Mean Reversion Setup: Extended price at statistical extremes within a range-bound or corrective market. Use fixed targets and tighter stops. Preferred in contracting regimes.</w:t>
      </w:r>
    </w:p>
    <w:p w14:paraId="41FC3636" w14:textId="77777777" w:rsidR="00EC7F1F" w:rsidRDefault="00000B03">
      <w:pPr>
        <w:spacing w:before="60" w:after="80"/>
      </w:pPr>
      <w:r>
        <w:rPr>
          <w:color w:val="333333"/>
        </w:rPr>
        <w:t>Select the trade management approach (Step 9) based on this classification and the regime identified in Phase 3.</w:t>
      </w:r>
    </w:p>
    <w:p w14:paraId="03B8900F" w14:textId="77777777" w:rsidR="00EC7F1F" w:rsidRDefault="00EC7F1F">
      <w:pPr>
        <w:spacing w:before="1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5A9CDE47" w14:textId="77777777">
        <w:tc>
          <w:tcPr>
            <w:tcW w:w="8400" w:type="dxa"/>
            <w:tcBorders>
              <w:top w:val="single" w:sz="2" w:space="0" w:color="2E7D32"/>
              <w:left w:val="single" w:sz="6" w:space="0" w:color="2E7D32"/>
              <w:bottom w:val="single" w:sz="2" w:space="0" w:color="2E7D32"/>
              <w:right w:val="single" w:sz="2" w:space="0" w:color="2E7D32"/>
            </w:tcBorders>
            <w:shd w:val="clear" w:color="auto" w:fill="E8F5E9"/>
            <w:tcMar>
              <w:top w:w="80" w:type="dxa"/>
              <w:left w:w="160" w:type="dxa"/>
              <w:bottom w:w="80" w:type="dxa"/>
              <w:right w:w="120" w:type="dxa"/>
            </w:tcMar>
          </w:tcPr>
          <w:p w14:paraId="5A7B4C24" w14:textId="77777777" w:rsidR="00EC7F1F" w:rsidRDefault="00000B03">
            <w:pPr>
              <w:spacing w:after="60"/>
            </w:pPr>
            <w:r>
              <w:rPr>
                <w:b/>
                <w:bCs/>
                <w:color w:val="2E7D32"/>
                <w:sz w:val="20"/>
                <w:szCs w:val="20"/>
              </w:rPr>
              <w:t>✓ Phase 7 Outputs</w:t>
            </w:r>
          </w:p>
          <w:p w14:paraId="4724DFDD" w14:textId="77777777" w:rsidR="00EC7F1F" w:rsidRDefault="00000B03">
            <w:pPr>
              <w:spacing w:before="20" w:after="20"/>
            </w:pPr>
            <w:r>
              <w:rPr>
                <w:color w:val="555555"/>
                <w:sz w:val="18"/>
                <w:szCs w:val="18"/>
              </w:rPr>
              <w:t xml:space="preserve">    •  Trade setup sheets for each candidate: entry zone, stop-loss level, initial target</w:t>
            </w:r>
          </w:p>
          <w:p w14:paraId="6CACF281" w14:textId="77777777" w:rsidR="00EC7F1F" w:rsidRDefault="00000B03">
            <w:pPr>
              <w:spacing w:before="20" w:after="20"/>
            </w:pPr>
            <w:r>
              <w:rPr>
                <w:color w:val="555555"/>
                <w:sz w:val="18"/>
                <w:szCs w:val="18"/>
              </w:rPr>
              <w:t xml:space="preserve">    •  Trade type classification: Autoregressive or Mean Reversion</w:t>
            </w:r>
          </w:p>
          <w:p w14:paraId="41E03B2B" w14:textId="77777777" w:rsidR="00EC7F1F" w:rsidRDefault="00000B03">
            <w:pPr>
              <w:spacing w:before="20" w:after="20"/>
            </w:pPr>
            <w:r>
              <w:rPr>
                <w:color w:val="555555"/>
                <w:sz w:val="18"/>
                <w:szCs w:val="18"/>
              </w:rPr>
              <w:t xml:space="preserve">    •  Risk per share calculated: Entry Price minus Stop-Loss Price</w:t>
            </w:r>
          </w:p>
          <w:p w14:paraId="524AC7A6" w14:textId="77777777" w:rsidR="00EC7F1F" w:rsidRDefault="00000B03">
            <w:pPr>
              <w:spacing w:before="20" w:after="20"/>
            </w:pPr>
            <w:r>
              <w:rPr>
                <w:color w:val="555555"/>
                <w:sz w:val="18"/>
                <w:szCs w:val="18"/>
              </w:rPr>
              <w:t xml:space="preserve">    •  Volume profile confluence zones marked on charts</w:t>
            </w:r>
          </w:p>
          <w:p w14:paraId="19D9FBC8" w14:textId="77777777" w:rsidR="00EC7F1F" w:rsidRDefault="00000B03">
            <w:pPr>
              <w:spacing w:before="20" w:after="20"/>
            </w:pPr>
            <w:r>
              <w:rPr>
                <w:color w:val="555555"/>
                <w:sz w:val="18"/>
                <w:szCs w:val="18"/>
              </w:rPr>
              <w:t xml:space="preserve">    •  Rejected setups documented with reasons</w:t>
            </w:r>
          </w:p>
        </w:tc>
      </w:tr>
    </w:tbl>
    <w:p w14:paraId="4F083397" w14:textId="77777777" w:rsidR="00EC7F1F" w:rsidRDefault="00000B0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C7F1F" w14:paraId="6562C58D" w14:textId="77777777">
        <w:tc>
          <w:tcPr>
            <w:tcW w:w="1200" w:type="dxa"/>
            <w:shd w:val="clear" w:color="auto" w:fill="1B2A4A"/>
            <w:tcMar>
              <w:top w:w="120" w:type="dxa"/>
              <w:left w:w="120" w:type="dxa"/>
              <w:bottom w:w="120" w:type="dxa"/>
              <w:right w:w="80" w:type="dxa"/>
            </w:tcMar>
            <w:vAlign w:val="center"/>
          </w:tcPr>
          <w:p w14:paraId="08B013FB" w14:textId="77777777" w:rsidR="00EC7F1F" w:rsidRDefault="00000B03">
            <w:pPr>
              <w:jc w:val="center"/>
            </w:pPr>
            <w:r>
              <w:rPr>
                <w:b/>
                <w:bCs/>
                <w:color w:val="FFFFFF"/>
              </w:rPr>
              <w:lastRenderedPageBreak/>
              <w:t>PHASE 8</w:t>
            </w:r>
          </w:p>
        </w:tc>
        <w:tc>
          <w:tcPr>
            <w:tcW w:w="8160" w:type="dxa"/>
            <w:shd w:val="clear" w:color="auto" w:fill="D5E8F8"/>
            <w:tcMar>
              <w:top w:w="120" w:type="dxa"/>
              <w:left w:w="160" w:type="dxa"/>
              <w:bottom w:w="120" w:type="dxa"/>
              <w:right w:w="120" w:type="dxa"/>
            </w:tcMar>
            <w:vAlign w:val="center"/>
          </w:tcPr>
          <w:p w14:paraId="65FB3BC7" w14:textId="77777777" w:rsidR="00EC7F1F" w:rsidRDefault="00000B03">
            <w:pPr>
              <w:spacing w:after="40"/>
            </w:pPr>
            <w:r>
              <w:rPr>
                <w:b/>
                <w:bCs/>
                <w:color w:val="1B2A4A"/>
                <w:sz w:val="26"/>
                <w:szCs w:val="26"/>
              </w:rPr>
              <w:t>Position Sizing &amp; Risk Parameterization</w:t>
            </w:r>
          </w:p>
          <w:p w14:paraId="723138F3" w14:textId="77777777" w:rsidR="00EC7F1F" w:rsidRDefault="00000B03">
            <w:r>
              <w:rPr>
                <w:i/>
                <w:iCs/>
                <w:color w:val="2E5090"/>
                <w:sz w:val="20"/>
                <w:szCs w:val="20"/>
              </w:rPr>
              <w:t>Determine capital allocation per trade using fixed-fractional and volatility-adjusted methods</w:t>
            </w:r>
          </w:p>
        </w:tc>
      </w:tr>
    </w:tbl>
    <w:p w14:paraId="1941950E" w14:textId="77777777" w:rsidR="00EC7F1F" w:rsidRDefault="00000B03">
      <w:pPr>
        <w:spacing w:before="60" w:after="80"/>
      </w:pPr>
      <w:r>
        <w:rPr>
          <w:color w:val="333333"/>
        </w:rPr>
        <w:t>Position sizing is the critical bridge between signal generation and portfolio construction. The fixed-fractional method ensures that each position risks a consistent percentage of portfolio equity, creating anti-martingale properties that naturally reduce size after losses and increase after gains.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1B10C858" w14:textId="77777777">
        <w:tc>
          <w:tcPr>
            <w:tcW w:w="8400" w:type="dxa"/>
            <w:tcBorders>
              <w:top w:val="single" w:sz="2" w:space="0" w:color="2E5090"/>
              <w:left w:val="single" w:sz="6" w:space="0" w:color="2E5090"/>
              <w:bottom w:val="single" w:sz="2" w:space="0" w:color="2E5090"/>
              <w:right w:val="single" w:sz="2" w:space="0" w:color="2E5090"/>
            </w:tcBorders>
            <w:shd w:val="clear" w:color="auto" w:fill="EBF3FC"/>
            <w:tcMar>
              <w:top w:w="80" w:type="dxa"/>
              <w:left w:w="160" w:type="dxa"/>
              <w:bottom w:w="80" w:type="dxa"/>
              <w:right w:w="120" w:type="dxa"/>
            </w:tcMar>
          </w:tcPr>
          <w:p w14:paraId="040003F8" w14:textId="77777777" w:rsidR="00EC7F1F" w:rsidRDefault="00000B03">
            <w:pPr>
              <w:spacing w:after="60"/>
            </w:pPr>
            <w:r>
              <w:rPr>
                <w:b/>
                <w:bCs/>
                <w:color w:val="2E5090"/>
                <w:sz w:val="20"/>
                <w:szCs w:val="20"/>
              </w:rPr>
              <w:t>▶ Required Inputs</w:t>
            </w:r>
          </w:p>
          <w:p w14:paraId="0FA4F852" w14:textId="77777777" w:rsidR="00EC7F1F" w:rsidRDefault="00000B03">
            <w:pPr>
              <w:spacing w:before="20" w:after="20"/>
            </w:pPr>
            <w:r>
              <w:rPr>
                <w:color w:val="555555"/>
                <w:sz w:val="18"/>
                <w:szCs w:val="18"/>
              </w:rPr>
              <w:t xml:space="preserve">    •  Phase 7 outputs: Entry zones, stop-loss levels, and risk per share for each trade</w:t>
            </w:r>
          </w:p>
          <w:p w14:paraId="46D7103F" w14:textId="77777777" w:rsidR="00EC7F1F" w:rsidRDefault="00000B03">
            <w:pPr>
              <w:spacing w:before="20" w:after="20"/>
            </w:pPr>
            <w:r>
              <w:rPr>
                <w:color w:val="555555"/>
                <w:sz w:val="18"/>
                <w:szCs w:val="18"/>
              </w:rPr>
              <w:t xml:space="preserve">    •  Current portfolio equity (net liquidation value)</w:t>
            </w:r>
          </w:p>
          <w:p w14:paraId="43970C0A" w14:textId="77777777" w:rsidR="00EC7F1F" w:rsidRDefault="00000B03">
            <w:pPr>
              <w:spacing w:before="20" w:after="20"/>
            </w:pPr>
            <w:r>
              <w:rPr>
                <w:color w:val="555555"/>
                <w:sz w:val="18"/>
                <w:szCs w:val="18"/>
              </w:rPr>
              <w:t xml:space="preserve">    •  Phase 3 outputs: Regime classification and target exposure ranges</w:t>
            </w:r>
          </w:p>
          <w:p w14:paraId="14B5BC98" w14:textId="77777777" w:rsidR="00EC7F1F" w:rsidRDefault="00000B03">
            <w:pPr>
              <w:spacing w:before="20" w:after="20"/>
            </w:pPr>
            <w:r>
              <w:rPr>
                <w:color w:val="555555"/>
                <w:sz w:val="18"/>
                <w:szCs w:val="18"/>
              </w:rPr>
              <w:t xml:space="preserve">    •  Current portfolio positions, correlations, and sector exposures</w:t>
            </w:r>
          </w:p>
        </w:tc>
      </w:tr>
    </w:tbl>
    <w:p w14:paraId="6DE2A97D" w14:textId="77777777" w:rsidR="00EC7F1F" w:rsidRDefault="00EC7F1F">
      <w:pPr>
        <w:spacing w:before="120"/>
      </w:pPr>
    </w:p>
    <w:p w14:paraId="2B8D123A" w14:textId="77777777" w:rsidR="00EC7F1F" w:rsidRDefault="00000B03">
      <w:pPr>
        <w:pStyle w:val="Heading3"/>
      </w:pPr>
      <w:bookmarkStart w:id="39" w:name="_Toc224818138"/>
      <w:r>
        <w:t>Step 8.1: Calculate Fixed-Fractional Position Size</w:t>
      </w:r>
      <w:bookmarkEnd w:id="39"/>
    </w:p>
    <w:p w14:paraId="5E01119C" w14:textId="77777777" w:rsidR="00EC7F1F" w:rsidRDefault="00000B03">
      <w:pPr>
        <w:spacing w:before="60" w:after="80"/>
      </w:pPr>
      <w:r>
        <w:rPr>
          <w:b/>
          <w:bCs/>
          <w:color w:val="333333"/>
        </w:rPr>
        <w:t>Apply the core position sizing formula:</w:t>
      </w:r>
    </w:p>
    <w:p w14:paraId="6A0D8601" w14:textId="77777777" w:rsidR="00EC7F1F" w:rsidRDefault="00000B03">
      <w:pPr>
        <w:spacing w:before="60" w:after="80"/>
        <w:ind w:left="720"/>
      </w:pPr>
      <w:r>
        <w:rPr>
          <w:b/>
          <w:bCs/>
          <w:color w:val="333333"/>
        </w:rPr>
        <w:t>Position Size (shares) = (Account Equity × Risk Percentage) ÷ (Entry Price – Stop Price)</w:t>
      </w:r>
    </w:p>
    <w:p w14:paraId="23DAC9A1" w14:textId="77777777" w:rsidR="00EC7F1F" w:rsidRDefault="00000B03">
      <w:pPr>
        <w:spacing w:before="60" w:after="80"/>
      </w:pPr>
      <w:r>
        <w:rPr>
          <w:color w:val="333333"/>
        </w:rPr>
        <w:t>Standard risk parameters range from 0.25% to 1.0% per trade depending on:</w:t>
      </w:r>
    </w:p>
    <w:p w14:paraId="1B75E33B" w14:textId="77777777" w:rsidR="00EC7F1F" w:rsidRDefault="00000B03">
      <w:pPr>
        <w:pStyle w:val="ListParagraph"/>
        <w:numPr>
          <w:ilvl w:val="0"/>
          <w:numId w:val="22"/>
        </w:numPr>
        <w:spacing w:before="30" w:after="30"/>
      </w:pPr>
      <w:r>
        <w:rPr>
          <w:color w:val="555555"/>
        </w:rPr>
        <w:t>Signal strength and conviction level (RS ranking, absolute momentum score)</w:t>
      </w:r>
    </w:p>
    <w:p w14:paraId="149B1BB0" w14:textId="77777777" w:rsidR="00EC7F1F" w:rsidRDefault="00000B03">
      <w:pPr>
        <w:pStyle w:val="ListParagraph"/>
        <w:numPr>
          <w:ilvl w:val="0"/>
          <w:numId w:val="22"/>
        </w:numPr>
        <w:spacing w:before="30" w:after="30"/>
      </w:pPr>
      <w:r>
        <w:rPr>
          <w:color w:val="555555"/>
        </w:rPr>
        <w:t>Current market regime (lower risk per trade in transitional/contracting regimes)</w:t>
      </w:r>
    </w:p>
    <w:p w14:paraId="1D81ECD5" w14:textId="77777777" w:rsidR="00EC7F1F" w:rsidRDefault="00000B03">
      <w:pPr>
        <w:pStyle w:val="ListParagraph"/>
        <w:numPr>
          <w:ilvl w:val="0"/>
          <w:numId w:val="22"/>
        </w:numPr>
        <w:spacing w:before="30" w:after="30"/>
      </w:pPr>
      <w:r>
        <w:rPr>
          <w:color w:val="555555"/>
        </w:rPr>
        <w:t>Portfolio concentration considerations (reduce size when correlated positions exist)</w:t>
      </w:r>
    </w:p>
    <w:p w14:paraId="1C675C35" w14:textId="77777777" w:rsidR="00EC7F1F" w:rsidRDefault="00000B03">
      <w:pPr>
        <w:pStyle w:val="ListParagraph"/>
        <w:numPr>
          <w:ilvl w:val="0"/>
          <w:numId w:val="22"/>
        </w:numPr>
        <w:spacing w:before="30" w:after="30"/>
      </w:pPr>
      <w:r>
        <w:rPr>
          <w:color w:val="555555"/>
        </w:rPr>
        <w:t>Strategy type: mean reversion setups typically use smaller risk parameters than autoregressive setups</w:t>
      </w:r>
    </w:p>
    <w:p w14:paraId="444912E7" w14:textId="77777777" w:rsidR="00EC7F1F" w:rsidRDefault="00000B03">
      <w:pPr>
        <w:spacing w:before="40" w:after="60"/>
        <w:ind w:left="720"/>
      </w:pPr>
      <w:r>
        <w:rPr>
          <w:i/>
          <w:iCs/>
          <w:color w:val="777777"/>
          <w:sz w:val="18"/>
          <w:szCs w:val="18"/>
        </w:rPr>
        <w:t>Vince (1992), The Mathematics of Money Management; Tharp (2006), Trade Your Way to Financial Freedom</w:t>
      </w:r>
    </w:p>
    <w:p w14:paraId="426703DB" w14:textId="77777777" w:rsidR="00EC7F1F" w:rsidRDefault="00000B03">
      <w:pPr>
        <w:pStyle w:val="Heading3"/>
      </w:pPr>
      <w:bookmarkStart w:id="40" w:name="_Toc224818139"/>
      <w:r>
        <w:t>Step 8.2: Apply Signal-Adjusted Sizing</w:t>
      </w:r>
      <w:bookmarkEnd w:id="40"/>
    </w:p>
    <w:p w14:paraId="050BBD88" w14:textId="77777777" w:rsidR="00EC7F1F" w:rsidRDefault="00000B03">
      <w:pPr>
        <w:pStyle w:val="ListParagraph"/>
        <w:numPr>
          <w:ilvl w:val="0"/>
          <w:numId w:val="18"/>
        </w:numPr>
        <w:spacing w:before="40" w:after="40"/>
      </w:pPr>
      <w:r>
        <w:rPr>
          <w:color w:val="333333"/>
        </w:rPr>
        <w:t>Tier 1 (Highest Conviction): Top 5% RS, absolute momentum 8/8, multiple-level ranking confirmation. Use full risk parameter (e.g., 1.0%).</w:t>
      </w:r>
    </w:p>
    <w:p w14:paraId="2E72BD22" w14:textId="77777777" w:rsidR="00EC7F1F" w:rsidRDefault="00000B03">
      <w:pPr>
        <w:pStyle w:val="ListParagraph"/>
        <w:numPr>
          <w:ilvl w:val="0"/>
          <w:numId w:val="18"/>
        </w:numPr>
        <w:spacing w:before="40" w:after="40"/>
      </w:pPr>
      <w:r>
        <w:rPr>
          <w:color w:val="333333"/>
        </w:rPr>
        <w:t>Tier 2 (High Conviction): Top 10% RS, absolute momentum 7/8, sector and industry confirmation. Use 75% of full risk parameter.</w:t>
      </w:r>
    </w:p>
    <w:p w14:paraId="02CE9A12" w14:textId="77777777" w:rsidR="00EC7F1F" w:rsidRDefault="00000B03">
      <w:pPr>
        <w:pStyle w:val="ListParagraph"/>
        <w:numPr>
          <w:ilvl w:val="0"/>
          <w:numId w:val="18"/>
        </w:numPr>
        <w:spacing w:before="40" w:after="40"/>
      </w:pPr>
      <w:r>
        <w:rPr>
          <w:color w:val="333333"/>
        </w:rPr>
        <w:t>Tier 3 (Standard Conviction): Top 10% RS, absolute momentum 6/8, sector confirmation only. Use 50% of full risk parameter.</w:t>
      </w:r>
    </w:p>
    <w:p w14:paraId="4AF95A6A" w14:textId="77777777" w:rsidR="00EC7F1F" w:rsidRDefault="00000B03">
      <w:pPr>
        <w:pStyle w:val="Heading3"/>
      </w:pPr>
      <w:bookmarkStart w:id="41" w:name="_Toc224818140"/>
      <w:r>
        <w:t>Step 8.3: Verify Portfolio Heat Constraints</w:t>
      </w:r>
      <w:bookmarkEnd w:id="41"/>
    </w:p>
    <w:p w14:paraId="5B0E5EFD" w14:textId="77777777" w:rsidR="00EC7F1F" w:rsidRDefault="00000B03">
      <w:pPr>
        <w:pStyle w:val="ListParagraph"/>
        <w:numPr>
          <w:ilvl w:val="0"/>
          <w:numId w:val="19"/>
        </w:numPr>
        <w:spacing w:before="40" w:after="40"/>
      </w:pPr>
      <w:r>
        <w:rPr>
          <w:color w:val="333333"/>
        </w:rPr>
        <w:t>Calculate total portfolio heat: sum of all individual position risk amounts as a percentage of equity</w:t>
      </w:r>
    </w:p>
    <w:p w14:paraId="515EEF85" w14:textId="77777777" w:rsidR="00EC7F1F" w:rsidRDefault="00000B03">
      <w:pPr>
        <w:pStyle w:val="ListParagraph"/>
        <w:numPr>
          <w:ilvl w:val="0"/>
          <w:numId w:val="19"/>
        </w:numPr>
        <w:spacing w:before="40" w:after="40"/>
      </w:pPr>
      <w:r>
        <w:rPr>
          <w:color w:val="333333"/>
        </w:rPr>
        <w:t>Verify that total portfolio heat does not exceed the regime-appropriate maximum (typically 5–10% of equity)</w:t>
      </w:r>
    </w:p>
    <w:p w14:paraId="42179277" w14:textId="77777777" w:rsidR="00EC7F1F" w:rsidRDefault="00000B03">
      <w:pPr>
        <w:pStyle w:val="ListParagraph"/>
        <w:numPr>
          <w:ilvl w:val="0"/>
          <w:numId w:val="19"/>
        </w:numPr>
        <w:spacing w:before="40" w:after="40"/>
      </w:pPr>
      <w:r>
        <w:rPr>
          <w:color w:val="333333"/>
        </w:rPr>
        <w:t>Check sector concentration limits: no single sector exceeding 30% of portfolio</w:t>
      </w:r>
    </w:p>
    <w:p w14:paraId="1D5AAE35" w14:textId="77777777" w:rsidR="00EC7F1F" w:rsidRDefault="00000B03">
      <w:pPr>
        <w:pStyle w:val="ListParagraph"/>
        <w:numPr>
          <w:ilvl w:val="0"/>
          <w:numId w:val="19"/>
        </w:numPr>
        <w:spacing w:before="40" w:after="40"/>
      </w:pPr>
      <w:r>
        <w:rPr>
          <w:color w:val="333333"/>
        </w:rPr>
        <w:t>Check individual position maximum: no single position exceeding 5% of portfolio at entry</w:t>
      </w:r>
    </w:p>
    <w:p w14:paraId="3AD9EBF7" w14:textId="77777777" w:rsidR="00EC7F1F" w:rsidRDefault="00000B03">
      <w:pPr>
        <w:pStyle w:val="ListParagraph"/>
        <w:numPr>
          <w:ilvl w:val="0"/>
          <w:numId w:val="19"/>
        </w:numPr>
        <w:spacing w:before="40" w:after="40"/>
      </w:pPr>
      <w:r>
        <w:rPr>
          <w:color w:val="333333"/>
        </w:rPr>
        <w:t>Check correlation risk: reduce position size when adding securities highly correlated (r &gt; 0.7) with existing positions</w:t>
      </w:r>
    </w:p>
    <w:p w14:paraId="553E2BDC" w14:textId="77777777" w:rsidR="00EC7F1F" w:rsidRDefault="00EC7F1F">
      <w:pPr>
        <w:spacing w:before="1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55149188" w14:textId="77777777">
        <w:tc>
          <w:tcPr>
            <w:tcW w:w="8400" w:type="dxa"/>
            <w:tcBorders>
              <w:top w:val="single" w:sz="2" w:space="0" w:color="2E7D32"/>
              <w:left w:val="single" w:sz="6" w:space="0" w:color="2E7D32"/>
              <w:bottom w:val="single" w:sz="2" w:space="0" w:color="2E7D32"/>
              <w:right w:val="single" w:sz="2" w:space="0" w:color="2E7D32"/>
            </w:tcBorders>
            <w:shd w:val="clear" w:color="auto" w:fill="E8F5E9"/>
            <w:tcMar>
              <w:top w:w="80" w:type="dxa"/>
              <w:left w:w="160" w:type="dxa"/>
              <w:bottom w:w="80" w:type="dxa"/>
              <w:right w:w="120" w:type="dxa"/>
            </w:tcMar>
          </w:tcPr>
          <w:p w14:paraId="4D257B8D" w14:textId="77777777" w:rsidR="00EC7F1F" w:rsidRDefault="00000B03">
            <w:pPr>
              <w:spacing w:after="60"/>
            </w:pPr>
            <w:r>
              <w:rPr>
                <w:b/>
                <w:bCs/>
                <w:color w:val="2E7D32"/>
                <w:sz w:val="20"/>
                <w:szCs w:val="20"/>
              </w:rPr>
              <w:lastRenderedPageBreak/>
              <w:t>✓ Phase 8 Outputs</w:t>
            </w:r>
          </w:p>
          <w:p w14:paraId="3201A7E4" w14:textId="77777777" w:rsidR="00EC7F1F" w:rsidRDefault="00000B03">
            <w:pPr>
              <w:spacing w:before="20" w:after="20"/>
            </w:pPr>
            <w:r>
              <w:rPr>
                <w:color w:val="555555"/>
                <w:sz w:val="18"/>
                <w:szCs w:val="18"/>
              </w:rPr>
              <w:t xml:space="preserve">    •  Position size (shares) for each trade with the supporting calculation</w:t>
            </w:r>
          </w:p>
          <w:p w14:paraId="04929D3D" w14:textId="77777777" w:rsidR="00EC7F1F" w:rsidRDefault="00000B03">
            <w:pPr>
              <w:spacing w:before="20" w:after="20"/>
            </w:pPr>
            <w:r>
              <w:rPr>
                <w:color w:val="555555"/>
                <w:sz w:val="18"/>
                <w:szCs w:val="18"/>
              </w:rPr>
              <w:t xml:space="preserve">    •  Position value and percentage of portfolio for each trade</w:t>
            </w:r>
          </w:p>
          <w:p w14:paraId="07A6E49C" w14:textId="77777777" w:rsidR="00EC7F1F" w:rsidRDefault="00000B03">
            <w:pPr>
              <w:spacing w:before="20" w:after="20"/>
            </w:pPr>
            <w:r>
              <w:rPr>
                <w:color w:val="555555"/>
                <w:sz w:val="18"/>
                <w:szCs w:val="18"/>
              </w:rPr>
              <w:t xml:space="preserve">    •  Dollar risk per position and total portfolio heat assessment</w:t>
            </w:r>
          </w:p>
          <w:p w14:paraId="289CF809" w14:textId="77777777" w:rsidR="00EC7F1F" w:rsidRDefault="00000B03">
            <w:pPr>
              <w:spacing w:before="20" w:after="20"/>
            </w:pPr>
            <w:r>
              <w:rPr>
                <w:color w:val="555555"/>
                <w:sz w:val="18"/>
                <w:szCs w:val="18"/>
              </w:rPr>
              <w:t xml:space="preserve">    •  Conviction tier classification for each position</w:t>
            </w:r>
          </w:p>
          <w:p w14:paraId="28E43010" w14:textId="77777777" w:rsidR="00EC7F1F" w:rsidRDefault="00000B03">
            <w:pPr>
              <w:spacing w:before="20" w:after="20"/>
            </w:pPr>
            <w:r>
              <w:rPr>
                <w:color w:val="555555"/>
                <w:sz w:val="18"/>
                <w:szCs w:val="18"/>
              </w:rPr>
              <w:t xml:space="preserve">    •  Pass/fail status on all concentration and correlation constraints</w:t>
            </w:r>
          </w:p>
        </w:tc>
      </w:tr>
    </w:tbl>
    <w:p w14:paraId="111FDF55" w14:textId="77777777" w:rsidR="00EC7F1F" w:rsidRDefault="00000B03">
      <w:r>
        <w:br w:type="page"/>
      </w:r>
    </w:p>
    <w:p w14:paraId="0A000001" w14:textId="77777777" w:rsidR="00EC7F1F" w:rsidRDefault="00000B03">
      <w:r>
        <w:lastRenderedPageBreak/>
        <w:br w:type="page"/>
      </w:r>
    </w:p>
    <w:tbl>
      <w:tblPr>
        <w:tblW w:w="9360" w:type="dxa"/>
        <w:tblCellMar>
          <w:left w:w="10" w:type="dxa"/>
          <w:right w:w="10" w:type="dxa"/>
        </w:tblCellMar>
        <w:tblLook w:val="04A0" w:firstRow="1" w:lastRow="0" w:firstColumn="1" w:lastColumn="0" w:noHBand="0" w:noVBand="1"/>
      </w:tblPr>
      <w:tblGrid>
        <w:gridCol w:w="1200"/>
        <w:gridCol w:w="8160"/>
      </w:tblGrid>
      <w:tr w:rsidR="00EC7F1F" w14:paraId="0A000002" w14:textId="77777777">
        <w:tc>
          <w:tcPr>
            <w:tcW w:w="1200" w:type="dxa"/>
            <w:shd w:val="clear" w:color="auto" w:fill="1B2A4A"/>
            <w:tcMar>
              <w:top w:w="120" w:type="dxa"/>
              <w:left w:w="120" w:type="dxa"/>
              <w:bottom w:w="120" w:type="dxa"/>
              <w:right w:w="80" w:type="dxa"/>
            </w:tcMar>
            <w:vAlign w:val="center"/>
          </w:tcPr>
          <w:p w14:paraId="0A000003" w14:textId="77777777" w:rsidR="00EC7F1F" w:rsidRDefault="00000B03">
            <w:pPr>
              <w:jc w:val="center"/>
            </w:pPr>
            <w:r>
              <w:rPr>
                <w:b/>
                <w:bCs/>
                <w:color w:val="FFFFFF"/>
              </w:rPr>
              <w:lastRenderedPageBreak/>
              <w:t>PHASE 8B</w:t>
            </w:r>
          </w:p>
        </w:tc>
        <w:tc>
          <w:tcPr>
            <w:tcW w:w="8160" w:type="dxa"/>
            <w:shd w:val="clear" w:color="auto" w:fill="D5E8F8"/>
            <w:tcMar>
              <w:top w:w="120" w:type="dxa"/>
              <w:left w:w="160" w:type="dxa"/>
              <w:bottom w:w="120" w:type="dxa"/>
              <w:right w:w="120" w:type="dxa"/>
            </w:tcMar>
            <w:vAlign w:val="center"/>
          </w:tcPr>
          <w:p w14:paraId="0A000004" w14:textId="77777777" w:rsidR="00EC7F1F" w:rsidRDefault="00000B03">
            <w:pPr>
              <w:spacing w:after="40"/>
            </w:pPr>
            <w:r>
              <w:rPr>
                <w:b/>
                <w:bCs/>
                <w:color w:val="1B2A4A"/>
                <w:sz w:val="26"/>
                <w:szCs w:val="26"/>
              </w:rPr>
              <w:t>Trade Rationalization &amp; Investment Thesis Documentation</w:t>
            </w:r>
          </w:p>
          <w:p w14:paraId="0A000005" w14:textId="77777777" w:rsidR="00EC7F1F" w:rsidRDefault="00000B03">
            <w:r>
              <w:rPr>
                <w:i/>
                <w:iCs/>
                <w:color w:val="2E5090"/>
                <w:sz w:val="20"/>
                <w:szCs w:val="20"/>
              </w:rPr>
              <w:t>Document the formal investment thesis, fundamental overlay, scenario analysis, and invalidation criteria before execution</w:t>
            </w:r>
          </w:p>
        </w:tc>
      </w:tr>
    </w:tbl>
    <w:p w14:paraId="0A000006" w14:textId="77777777" w:rsidR="00EC7F1F" w:rsidRDefault="00000B03">
      <w:pPr>
        <w:spacing w:before="120" w:after="80"/>
      </w:pPr>
      <w:r>
        <w:rPr>
          <w:color w:val="333333"/>
        </w:rPr>
        <w:t>Before any capital is deployed, the portfolio manager must complete a formal Trade Rationalization document for each position. This is the institutional practice of producing a written investment thesis that serves as prospective justification for the trade—not a retrospective explanation. The trade rationalization forces the integration of quantitative signals (Phases 1–8) with fundamental analysis, pre-commits to specific invalidation criteria, and creates the auditable paper trail required by investment committees, compliance departments, and external investors.</w:t>
      </w:r>
    </w:p>
    <w:p w14:paraId="0A000007" w14:textId="77777777" w:rsidR="00EC7F1F" w:rsidRDefault="00000B03">
      <w:pPr>
        <w:spacing w:before="40" w:after="60"/>
      </w:pPr>
      <w:r>
        <w:rPr>
          <w:color w:val="333333"/>
        </w:rPr>
        <w:t>As Bridgewater Associates demonstrates with their “decision journals” and T. Rowe Price implements through their “red team” protocol, the act of writing a structured thesis exposes weak reasoning before it becomes a realized loss. The trade rationalization document creates psychological distance between the portfolio manager and the position, reducing the emotional attachment that leads to holding losers and cutting winners—the disposition effect that behavioral finance research has thoroughly documented (Shefrin &amp; Statman, 1985).</w:t>
      </w:r>
    </w:p>
    <w:p w14:paraId="0A000008" w14:textId="77777777" w:rsidR="00EC7F1F" w:rsidRDefault="00000B03">
      <w:pPr>
        <w:spacing w:before="40" w:after="60"/>
        <w:ind w:left="720"/>
      </w:pPr>
      <w:r>
        <w:rPr>
          <w:i/>
          <w:iCs/>
          <w:color w:val="777777"/>
          <w:sz w:val="18"/>
          <w:szCs w:val="18"/>
        </w:rPr>
        <w:t>Kahneman &amp; Tversky (1979), Prospect Theory; Shefrin &amp; Statman (1985), The Disposition Effect; Dalio (2017), Principles</w:t>
      </w:r>
    </w:p>
    <w:p w14:paraId="0A000010" w14:textId="77777777" w:rsidR="00EC7F1F" w:rsidRDefault="00000B03">
      <w:pPr>
        <w:pStyle w:val="Heading3"/>
        <w:spacing w:after="100"/>
      </w:pPr>
      <w:r>
        <w:t>Step 8B.1: Complete the Investment Thesis Statement</w:t>
      </w:r>
    </w:p>
    <w:p w14:paraId="0A000011" w14:textId="77777777" w:rsidR="00EC7F1F" w:rsidRDefault="00000B03">
      <w:pPr>
        <w:pStyle w:val="ListParagraph"/>
        <w:numPr>
          <w:ilvl w:val="0"/>
          <w:numId w:val="1"/>
        </w:numPr>
        <w:spacing w:before="40" w:after="40"/>
      </w:pPr>
      <w:r>
        <w:rPr>
          <w:color w:val="333333"/>
        </w:rPr>
        <w:t>State the core thesis in 2–3 sentences: what is the trade, why does it exist (connecting the quantitative signal to its economic rationale), and what is the expected outcome</w:t>
      </w:r>
    </w:p>
    <w:p w14:paraId="0A000012" w14:textId="77777777" w:rsidR="00EC7F1F" w:rsidRDefault="00000B03">
      <w:pPr>
        <w:pStyle w:val="ListParagraph"/>
        <w:numPr>
          <w:ilvl w:val="0"/>
          <w:numId w:val="1"/>
        </w:numPr>
        <w:spacing w:before="40" w:after="40"/>
      </w:pPr>
      <w:r>
        <w:rPr>
          <w:color w:val="333333"/>
        </w:rPr>
        <w:t>Document the complete signal chain from the twelve-phase process: regime classification (Phase 3), sector/factor context (Phase 4), CRS ranking and percentile (Phase 5), absolute momentum score (Phase 6), trade structure (Phase 7), and position size with conviction tier (Phase 8)</w:t>
      </w:r>
    </w:p>
    <w:p w14:paraId="0A000013" w14:textId="77777777" w:rsidR="00EC7F1F" w:rsidRDefault="00000B03">
      <w:pPr>
        <w:pStyle w:val="ListParagraph"/>
        <w:numPr>
          <w:ilvl w:val="0"/>
          <w:numId w:val="1"/>
        </w:numPr>
        <w:spacing w:before="40" w:after="40"/>
      </w:pPr>
      <w:r>
        <w:rPr>
          <w:color w:val="333333"/>
        </w:rPr>
        <w:t>Summarize all key metrics on a single page: entry zone, stop-loss level, risk per share, R-multiple target, position size, portfolio weight, and portfolio heat contribution</w:t>
      </w:r>
    </w:p>
    <w:p w14:paraId="0A000020" w14:textId="77777777" w:rsidR="00EC7F1F" w:rsidRDefault="00000B03">
      <w:pPr>
        <w:pStyle w:val="Heading3"/>
        <w:spacing w:after="100"/>
      </w:pPr>
      <w:r>
        <w:t>Step 8B.2: Produce the Fundamental Overlay</w:t>
      </w:r>
    </w:p>
    <w:p w14:paraId="0A000021" w14:textId="77777777" w:rsidR="00EC7F1F" w:rsidRDefault="00000B03">
      <w:pPr>
        <w:spacing w:before="40" w:after="60"/>
      </w:pPr>
      <w:r>
        <w:rPr>
          <w:color w:val="333333"/>
        </w:rPr>
        <w:t>Even in a systematic momentum framework, understanding the economic rationale behind the quantitative signal improves conviction calibration and early exit identification. The fundamental overlay does not override the quantitative signal—it provides context for why momentum exists and whether it has structural support.</w:t>
      </w:r>
    </w:p>
    <w:p w14:paraId="0A000022" w14:textId="77777777" w:rsidR="00EC7F1F" w:rsidRDefault="00000B03">
      <w:pPr>
        <w:pStyle w:val="ListParagraph"/>
        <w:numPr>
          <w:ilvl w:val="0"/>
          <w:numId w:val="1"/>
        </w:numPr>
        <w:spacing w:before="40" w:after="40"/>
      </w:pPr>
      <w:r>
        <w:rPr>
          <w:color w:val="333333"/>
        </w:rPr>
        <w:t>Business Quality Assessment: Identify the company’s competitive moat (wide/narrow/none), its source, and the structural advantages that sustain market position. Document market capitalization and GICS classification.</w:t>
      </w:r>
    </w:p>
    <w:p w14:paraId="0A000023" w14:textId="77777777" w:rsidR="00EC7F1F" w:rsidRDefault="00000B03">
      <w:pPr>
        <w:pStyle w:val="ListParagraph"/>
        <w:numPr>
          <w:ilvl w:val="0"/>
          <w:numId w:val="1"/>
        </w:numPr>
        <w:spacing w:before="40" w:after="40"/>
      </w:pPr>
      <w:r>
        <w:rPr>
          <w:color w:val="333333"/>
        </w:rPr>
        <w:t>Earnings and Revenue Trajectory: Document trailing 12-month revenue and EPS growth, forward EPS consensus, earnings revision direction (90-day), earnings surprise history (last 4 quarters), revenue acceleration/deceleration status, and gross/operating margin trends. Assess whether the earnings trajectory supports or conflicts with the momentum signal.</w:t>
      </w:r>
    </w:p>
    <w:p w14:paraId="0A000024" w14:textId="77777777" w:rsidR="00EC7F1F" w:rsidRDefault="00000B03">
      <w:pPr>
        <w:pStyle w:val="ListParagraph"/>
        <w:numPr>
          <w:ilvl w:val="0"/>
          <w:numId w:val="1"/>
        </w:numPr>
        <w:spacing w:before="40" w:after="40"/>
      </w:pPr>
      <w:r>
        <w:rPr>
          <w:color w:val="333333"/>
        </w:rPr>
        <w:t>Valuation Context: Record current trailing and forward P/E, P/E relative to 5-year average and sector median, Price/Sales, PEG ratio, free cash flow yield, and Graham Number or intrinsic value estimate. Assess whether valuation is justified by growth or priced for perfection.</w:t>
      </w:r>
    </w:p>
    <w:p w14:paraId="0A000025" w14:textId="77777777" w:rsidR="00EC7F1F" w:rsidRDefault="00000B03">
      <w:pPr>
        <w:pStyle w:val="ListParagraph"/>
        <w:numPr>
          <w:ilvl w:val="0"/>
          <w:numId w:val="1"/>
        </w:numPr>
        <w:spacing w:before="40" w:after="40"/>
      </w:pPr>
      <w:r>
        <w:rPr>
          <w:color w:val="333333"/>
        </w:rPr>
        <w:lastRenderedPageBreak/>
        <w:t>Balance Sheet and Financial Health: Evaluate current ratio, debt-to-equity, interest coverage, free cash flow, Piotroski F-Score, and Altman Z-Score where applicable. Classify financial health as strong, adequate, or weak.</w:t>
      </w:r>
    </w:p>
    <w:p w14:paraId="0A000026" w14:textId="77777777" w:rsidR="00EC7F1F" w:rsidRDefault="00000B03">
      <w:pPr>
        <w:pStyle w:val="ListParagraph"/>
        <w:numPr>
          <w:ilvl w:val="0"/>
          <w:numId w:val="1"/>
        </w:numPr>
        <w:spacing w:before="40" w:after="40"/>
      </w:pPr>
      <w:r>
        <w:rPr>
          <w:color w:val="333333"/>
        </w:rPr>
        <w:t>Catalyst Assessment: Identify known and potential catalysts (earnings dates, product launches, regulatory events, sector tailwinds) that could accelerate or invalidate the momentum thesis.</w:t>
      </w:r>
    </w:p>
    <w:p w14:paraId="0A000027" w14:textId="77777777" w:rsidR="00EC7F1F" w:rsidRDefault="00000B03">
      <w:pPr>
        <w:spacing w:before="40" w:after="60"/>
        <w:ind w:left="720"/>
      </w:pPr>
      <w:r>
        <w:rPr>
          <w:i/>
          <w:iCs/>
          <w:color w:val="777777"/>
          <w:sz w:val="18"/>
          <w:szCs w:val="18"/>
        </w:rPr>
        <w:t>Graham (1949), The Intelligent Investor; Greenwald et al. (2001), Value Investing; Piotroski (2000), Value Investing: The Use of Historical Financial Statement Information</w:t>
      </w:r>
    </w:p>
    <w:p w14:paraId="0A000030" w14:textId="77777777" w:rsidR="00EC7F1F" w:rsidRDefault="00000B03">
      <w:pPr>
        <w:pStyle w:val="Heading3"/>
        <w:spacing w:after="100"/>
      </w:pPr>
      <w:r>
        <w:t>Step 8B.3: Conduct Scenario Analysis</w:t>
      </w:r>
    </w:p>
    <w:p w14:paraId="0A000031" w14:textId="77777777" w:rsidR="00EC7F1F" w:rsidRDefault="00000B03">
      <w:pPr>
        <w:spacing w:before="40" w:after="60"/>
      </w:pPr>
      <w:r>
        <w:rPr>
          <w:color w:val="333333"/>
        </w:rPr>
        <w:t>Document expected outcomes under three scenarios before capital is deployed. This forces consideration of adverse cases and pre-commits to probability-weighted expectations.</w:t>
      </w:r>
    </w:p>
    <w:p w14:paraId="0A000032" w14:textId="77777777" w:rsidR="00EC7F1F" w:rsidRDefault="00000B03">
      <w:pPr>
        <w:pStyle w:val="ListParagraph"/>
        <w:numPr>
          <w:ilvl w:val="0"/>
          <w:numId w:val="1"/>
        </w:numPr>
        <w:spacing w:before="40" w:after="40"/>
      </w:pPr>
      <w:r>
        <w:rPr>
          <w:b/>
          <w:bCs/>
          <w:color w:val="333333"/>
        </w:rPr>
        <w:t xml:space="preserve">Base Case: </w:t>
      </w:r>
      <w:r>
        <w:rPr>
          <w:color w:val="333333"/>
        </w:rPr>
        <w:t>Describe the expected outcome if the thesis plays out as anticipated. Assign a probability estimate, target price, and expected R-multiple.</w:t>
      </w:r>
    </w:p>
    <w:p w14:paraId="0A000033" w14:textId="77777777" w:rsidR="00EC7F1F" w:rsidRDefault="00000B03">
      <w:pPr>
        <w:pStyle w:val="ListParagraph"/>
        <w:numPr>
          <w:ilvl w:val="0"/>
          <w:numId w:val="1"/>
        </w:numPr>
        <w:spacing w:before="40" w:after="40"/>
      </w:pPr>
      <w:r>
        <w:rPr>
          <w:b/>
          <w:bCs/>
          <w:color w:val="333333"/>
        </w:rPr>
        <w:t xml:space="preserve">Bull Case: </w:t>
      </w:r>
      <w:r>
        <w:rPr>
          <w:color w:val="333333"/>
        </w:rPr>
        <w:t>Describe what would cause the position to significantly exceed the base case. Assign a probability, target price, and R-multiple for the upside scenario.</w:t>
      </w:r>
    </w:p>
    <w:p w14:paraId="0A000034" w14:textId="77777777" w:rsidR="00EC7F1F" w:rsidRDefault="00000B03">
      <w:pPr>
        <w:pStyle w:val="ListParagraph"/>
        <w:numPr>
          <w:ilvl w:val="0"/>
          <w:numId w:val="1"/>
        </w:numPr>
        <w:spacing w:before="40" w:after="40"/>
      </w:pPr>
      <w:r>
        <w:rPr>
          <w:b/>
          <w:bCs/>
          <w:color w:val="333333"/>
        </w:rPr>
        <w:t xml:space="preserve">Bear Case: </w:t>
      </w:r>
      <w:r>
        <w:rPr>
          <w:color w:val="333333"/>
        </w:rPr>
        <w:t>Describe what would cause the trade to fail. Document the maximum expected loss, the exit plan under the adverse scenario, and the maximum R-multiple loss.</w:t>
      </w:r>
    </w:p>
    <w:p w14:paraId="0A000040" w14:textId="77777777" w:rsidR="00EC7F1F" w:rsidRDefault="00000B03">
      <w:pPr>
        <w:pStyle w:val="Heading3"/>
        <w:spacing w:after="100"/>
      </w:pPr>
      <w:r>
        <w:t>Step 8B.4: Pre-Commit to Thesis Invalidation Criteria</w:t>
      </w:r>
    </w:p>
    <w:p w14:paraId="0A000041" w14:textId="77777777" w:rsidR="00EC7F1F" w:rsidRDefault="00000B03">
      <w:pPr>
        <w:spacing w:before="40" w:after="60"/>
      </w:pPr>
      <w:r>
        <w:rPr>
          <w:b/>
          <w:bCs/>
          <w:color w:val="333333"/>
        </w:rPr>
        <w:t xml:space="preserve">Before execution, document the specific, objective conditions under which the thesis is WRONG and the position MUST be closed, regardless of emotional state or narrative justification. </w:t>
      </w:r>
      <w:r>
        <w:rPr>
          <w:color w:val="333333"/>
        </w:rPr>
        <w:t>These pre-committed invalidation criteria serve as behavioral guardrails against loss aversion, the disposition effect, and confirmation bias.</w:t>
      </w:r>
    </w:p>
    <w:p w14:paraId="0A000042" w14:textId="77777777" w:rsidR="00EC7F1F" w:rsidRDefault="00000B03">
      <w:pPr>
        <w:pStyle w:val="ListParagraph"/>
        <w:numPr>
          <w:ilvl w:val="0"/>
          <w:numId w:val="1"/>
        </w:numPr>
        <w:spacing w:before="40" w:after="40"/>
      </w:pPr>
      <w:r>
        <w:rPr>
          <w:color w:val="333333"/>
        </w:rPr>
        <w:t>Price violates the controlling swing point (structural stop from Phase 7) → Close entire position</w:t>
      </w:r>
    </w:p>
    <w:p w14:paraId="0A000043" w14:textId="77777777" w:rsidR="00EC7F1F" w:rsidRDefault="00000B03">
      <w:pPr>
        <w:pStyle w:val="ListParagraph"/>
        <w:numPr>
          <w:ilvl w:val="0"/>
          <w:numId w:val="1"/>
        </w:numPr>
        <w:spacing w:before="40" w:after="40"/>
      </w:pPr>
      <w:r>
        <w:rPr>
          <w:color w:val="333333"/>
        </w:rPr>
        <w:t>Absolute momentum score drops below threshold (&lt; 6/8 for longs, &gt; 2/8 for shorts) → Review; close if no recovery within defined timeframe</w:t>
      </w:r>
    </w:p>
    <w:p w14:paraId="0A000044" w14:textId="77777777" w:rsidR="00EC7F1F" w:rsidRDefault="00000B03">
      <w:pPr>
        <w:pStyle w:val="ListParagraph"/>
        <w:numPr>
          <w:ilvl w:val="0"/>
          <w:numId w:val="1"/>
        </w:numPr>
        <w:spacing w:before="40" w:after="40"/>
      </w:pPr>
      <w:r>
        <w:rPr>
          <w:color w:val="333333"/>
        </w:rPr>
        <w:t>Janus Factor regime transitions from expanding to contracting → Reduce to half position; reassess within one week</w:t>
      </w:r>
    </w:p>
    <w:p w14:paraId="0A000045" w14:textId="77777777" w:rsidR="00EC7F1F" w:rsidRDefault="00000B03">
      <w:pPr>
        <w:pStyle w:val="ListParagraph"/>
        <w:numPr>
          <w:ilvl w:val="0"/>
          <w:numId w:val="1"/>
        </w:numPr>
        <w:spacing w:before="40" w:after="40"/>
      </w:pPr>
      <w:r>
        <w:rPr>
          <w:color w:val="333333"/>
        </w:rPr>
        <w:t>Sector RS ranking drops below 50th percentile → Close position</w:t>
      </w:r>
    </w:p>
    <w:p w14:paraId="0A000046" w14:textId="77777777" w:rsidR="00EC7F1F" w:rsidRDefault="00000B03">
      <w:pPr>
        <w:pStyle w:val="ListParagraph"/>
        <w:numPr>
          <w:ilvl w:val="0"/>
          <w:numId w:val="1"/>
        </w:numPr>
        <w:spacing w:before="40" w:after="40"/>
      </w:pPr>
      <w:r>
        <w:rPr>
          <w:color w:val="333333"/>
        </w:rPr>
        <w:t>Bearish breadth divergence confirmed (A/D Line + MA participation sequential deterioration) → Tighten stop to breakeven minimum</w:t>
      </w:r>
    </w:p>
    <w:p w14:paraId="0A000047" w14:textId="77777777" w:rsidR="00EC7F1F" w:rsidRDefault="00000B03">
      <w:pPr>
        <w:pStyle w:val="ListParagraph"/>
        <w:numPr>
          <w:ilvl w:val="0"/>
          <w:numId w:val="1"/>
        </w:numPr>
        <w:spacing w:before="40" w:after="40"/>
      </w:pPr>
      <w:r>
        <w:rPr>
          <w:color w:val="333333"/>
        </w:rPr>
        <w:t>Fundamental deterioration: earnings miss with material downward revision, loss of competitive moat, or balance sheet degradation → Close position on next open</w:t>
      </w:r>
    </w:p>
    <w:p w14:paraId="0A000048" w14:textId="77777777" w:rsidR="00EC7F1F" w:rsidRDefault="00000B03">
      <w:pPr>
        <w:pStyle w:val="ListParagraph"/>
        <w:numPr>
          <w:ilvl w:val="0"/>
          <w:numId w:val="1"/>
        </w:numPr>
        <w:spacing w:before="40" w:after="40"/>
      </w:pPr>
      <w:r>
        <w:rPr>
          <w:color w:val="333333"/>
        </w:rPr>
        <w:t>Maximum holding period exceeded without reaching target → Review and close if trade management protocol conditions are not met</w:t>
      </w:r>
    </w:p>
    <w:p w14:paraId="0A000050" w14:textId="77777777" w:rsidR="00EC7F1F" w:rsidRDefault="00000B03">
      <w:pPr>
        <w:pStyle w:val="Heading3"/>
        <w:spacing w:after="100"/>
      </w:pPr>
      <w:r>
        <w:t>Step 8B.5: Red Team Challenge and Investment Committee Approval</w:t>
      </w:r>
    </w:p>
    <w:p w14:paraId="0A000051" w14:textId="77777777" w:rsidR="00EC7F1F" w:rsidRDefault="00000B03">
      <w:pPr>
        <w:pStyle w:val="ListParagraph"/>
        <w:numPr>
          <w:ilvl w:val="0"/>
          <w:numId w:val="1"/>
        </w:numPr>
        <w:spacing w:before="40" w:after="40"/>
      </w:pPr>
      <w:r>
        <w:rPr>
          <w:color w:val="333333"/>
        </w:rPr>
        <w:t>Articulate the single strongest argument AGAINST the trade. What is the bear case that a skeptical investment committee member would raise? This red team requirement (per T. Rowe Price protocol) must be completed before the document is submitted for approval.</w:t>
      </w:r>
    </w:p>
    <w:p w14:paraId="0A000052" w14:textId="77777777" w:rsidR="00EC7F1F" w:rsidRDefault="00000B03">
      <w:pPr>
        <w:pStyle w:val="ListParagraph"/>
        <w:numPr>
          <w:ilvl w:val="0"/>
          <w:numId w:val="1"/>
        </w:numPr>
        <w:spacing w:before="40" w:after="40"/>
      </w:pPr>
      <w:r>
        <w:rPr>
          <w:color w:val="333333"/>
        </w:rPr>
        <w:t xml:space="preserve">Submit the completed trade rationalization to the appropriate authority based on the Decision Authority Framework: tactical adjustments (Level 1–2) require Portfolio Management Team approval with internal memo; component modifications (Level 3) </w:t>
      </w:r>
      <w:r>
        <w:rPr>
          <w:color w:val="333333"/>
        </w:rPr>
        <w:lastRenderedPageBreak/>
        <w:t>require Investment Committee approval with formal proposal; strategic revisions (Level 4) require Investment Committee with Risk Oversight.</w:t>
      </w:r>
    </w:p>
    <w:p w14:paraId="0A000053" w14:textId="77777777" w:rsidR="00EC7F1F" w:rsidRDefault="00000B03">
      <w:pPr>
        <w:pStyle w:val="ListParagraph"/>
        <w:numPr>
          <w:ilvl w:val="0"/>
          <w:numId w:val="1"/>
        </w:numPr>
        <w:spacing w:before="40" w:after="40"/>
      </w:pPr>
      <w:r>
        <w:rPr>
          <w:color w:val="333333"/>
        </w:rPr>
        <w:t>Complete the pre-trade compliance checklist: verify no earnings conflict, no ex-dividend date conflict, acceptable bid/ask spreads, all portfolio constraints passed, no MNPI conflict, and document filing confirmed.</w:t>
      </w:r>
    </w:p>
    <w:p w14:paraId="0A000054" w14:textId="77777777" w:rsidR="00EC7F1F" w:rsidRDefault="00000B03">
      <w:pPr>
        <w:pStyle w:val="ListParagraph"/>
        <w:numPr>
          <w:ilvl w:val="0"/>
          <w:numId w:val="1"/>
        </w:numPr>
        <w:spacing w:before="40" w:after="40"/>
      </w:pPr>
      <w:r>
        <w:rPr>
          <w:color w:val="333333"/>
        </w:rPr>
        <w:t>Obtain formal sign-off from Portfolio Manager, Senior Analyst, Risk Manager, and (for Level 3+ decisions) Chief Investment Officer. Record approval status: Approved, Approved with Conditions, or Rejected.</w:t>
      </w:r>
    </w:p>
    <w:p w14:paraId="0A000055" w14:textId="77777777" w:rsidR="00EC7F1F" w:rsidRDefault="00000B03">
      <w:pPr>
        <w:spacing w:before="40" w:after="60"/>
      </w:pPr>
      <w:r>
        <w:rPr>
          <w:b/>
          <w:bCs/>
          <w:color w:val="333333"/>
        </w:rPr>
        <w:t>No trade proceeds to Phase 9 (Execution) until the trade rationalization document is complete, the red team challenge is documented, and the appropriate approval authority has signed off.</w:t>
      </w:r>
    </w:p>
    <w:p w14:paraId="0A000056" w14:textId="77777777" w:rsidR="00EC7F1F" w:rsidRDefault="00000B03">
      <w:pPr>
        <w:spacing w:before="40" w:after="60"/>
        <w:ind w:left="720"/>
      </w:pPr>
      <w:r>
        <w:rPr>
          <w:i/>
          <w:iCs/>
          <w:color w:val="777777"/>
          <w:sz w:val="18"/>
          <w:szCs w:val="18"/>
        </w:rPr>
        <w:t>Dalio (2017), Principles; Kahneman (2011), Thinking, Fast and Slow; Lo &amp; Repin (2002), The Psychophysiology of Real-Time Financial Risk Processing</w:t>
      </w:r>
    </w:p>
    <w:p w14:paraId="0A000057" w14:textId="77777777" w:rsidR="00EC7F1F" w:rsidRDefault="00EC7F1F">
      <w:pPr>
        <w:spacing w:before="120"/>
      </w:pPr>
    </w:p>
    <w:tbl>
      <w:tblPr>
        <w:tblW w:w="8400" w:type="dxa"/>
        <w:tblBorders>
          <w:top w:val="single" w:sz="2" w:space="0" w:color="2E7D32"/>
          <w:left w:val="single" w:sz="6" w:space="0" w:color="2E7D32"/>
          <w:bottom w:val="single" w:sz="2" w:space="0" w:color="2E7D32"/>
          <w:right w:val="single" w:sz="2" w:space="0" w:color="2E7D32"/>
        </w:tblBorders>
        <w:shd w:val="clear" w:color="auto" w:fill="E8F5E9"/>
        <w:tblCellMar>
          <w:top w:w="80" w:type="dxa"/>
          <w:left w:w="160" w:type="dxa"/>
          <w:bottom w:w="80" w:type="dxa"/>
          <w:right w:w="120" w:type="dxa"/>
        </w:tblCellMar>
        <w:tblLook w:val="04A0" w:firstRow="1" w:lastRow="0" w:firstColumn="1" w:lastColumn="0" w:noHBand="0" w:noVBand="1"/>
      </w:tblPr>
      <w:tblGrid>
        <w:gridCol w:w="1190"/>
        <w:gridCol w:w="6380"/>
        <w:gridCol w:w="830"/>
      </w:tblGrid>
      <w:tr w:rsidR="00EC7F1F" w14:paraId="0A000058" w14:textId="77777777">
        <w:trPr>
          <w:gridAfter w:val="1"/>
          <w:wAfter w:w="957" w:type="dxa"/>
        </w:trPr>
        <w:tc>
          <w:tcPr>
            <w:tcW w:w="8400" w:type="dxa"/>
            <w:gridSpan w:val="2"/>
            <w:shd w:val="clear" w:color="auto" w:fill="E8F5E9"/>
          </w:tcPr>
          <w:p w14:paraId="0A000059" w14:textId="77777777" w:rsidR="00EC7F1F" w:rsidRDefault="00000B03">
            <w:pPr>
              <w:spacing w:after="60"/>
            </w:pPr>
            <w:r>
              <w:rPr>
                <w:b/>
                <w:bCs/>
                <w:color w:val="2E7D32"/>
                <w:sz w:val="20"/>
                <w:szCs w:val="20"/>
              </w:rPr>
              <w:t>✓ Phase 8B Outputs</w:t>
            </w:r>
          </w:p>
          <w:p w14:paraId="0A000060" w14:textId="77777777" w:rsidR="00EC7F1F" w:rsidRDefault="00000B03">
            <w:pPr>
              <w:spacing w:before="20" w:after="20"/>
            </w:pPr>
            <w:r>
              <w:rPr>
                <w:color w:val="555555"/>
                <w:sz w:val="18"/>
                <w:szCs w:val="18"/>
              </w:rPr>
              <w:t xml:space="preserve">    •  Completed trade rationalization document with investment thesis, signal chain summary, and key metrics</w:t>
            </w:r>
          </w:p>
          <w:p w14:paraId="0A000061" w14:textId="77777777" w:rsidR="00EC7F1F" w:rsidRDefault="00000B03">
            <w:pPr>
              <w:spacing w:before="20" w:after="20"/>
            </w:pPr>
            <w:r>
              <w:rPr>
                <w:color w:val="555555"/>
                <w:sz w:val="18"/>
                <w:szCs w:val="18"/>
              </w:rPr>
              <w:t xml:space="preserve">    •  Fundamental overlay report: business quality, earnings trajectory, valuation, balance sheet, and catalyst assessment</w:t>
            </w:r>
          </w:p>
          <w:p w14:paraId="0A000062" w14:textId="77777777" w:rsidR="00EC7F1F" w:rsidRDefault="00000B03">
            <w:pPr>
              <w:spacing w:before="20" w:after="20"/>
            </w:pPr>
            <w:r>
              <w:rPr>
                <w:color w:val="555555"/>
                <w:sz w:val="18"/>
                <w:szCs w:val="18"/>
              </w:rPr>
              <w:t xml:space="preserve">    •  Three-scenario analysis (base/bull/bear) with probability weights, target prices, and R-multiple expectations</w:t>
            </w:r>
          </w:p>
          <w:p w14:paraId="0A000063" w14:textId="77777777" w:rsidR="00EC7F1F" w:rsidRDefault="00000B03">
            <w:pPr>
              <w:spacing w:before="20" w:after="20"/>
            </w:pPr>
            <w:r>
              <w:rPr>
                <w:color w:val="555555"/>
                <w:sz w:val="18"/>
                <w:szCs w:val="18"/>
              </w:rPr>
              <w:t xml:space="preserve">    •  Pre-committed invalidation criteria with specific trigger conditions and prescribed actions</w:t>
            </w:r>
          </w:p>
          <w:p w14:paraId="0A000064" w14:textId="77777777" w:rsidR="00EC7F1F" w:rsidRDefault="00000B03">
            <w:pPr>
              <w:spacing w:before="20" w:after="20"/>
            </w:pPr>
            <w:r>
              <w:rPr>
                <w:color w:val="555555"/>
                <w:sz w:val="18"/>
                <w:szCs w:val="18"/>
              </w:rPr>
              <w:t xml:space="preserve">    •  Documented red team challenge: strongest argument against the trade</w:t>
            </w:r>
          </w:p>
          <w:p w14:paraId="0A000065" w14:textId="77777777" w:rsidR="00EC7F1F" w:rsidRDefault="00000B03">
            <w:pPr>
              <w:spacing w:before="20" w:after="20"/>
            </w:pPr>
            <w:r>
              <w:rPr>
                <w:color w:val="555555"/>
                <w:sz w:val="18"/>
                <w:szCs w:val="18"/>
              </w:rPr>
              <w:t xml:space="preserve">    •  Investment committee approval with sign-off from appropriate authority level</w:t>
            </w:r>
          </w:p>
          <w:p w14:paraId="0A000066" w14:textId="77777777" w:rsidR="00EC7F1F" w:rsidRDefault="00000B03">
            <w:pPr>
              <w:spacing w:before="20" w:after="20"/>
            </w:pPr>
            <w:r>
              <w:rPr>
                <w:color w:val="555555"/>
                <w:sz w:val="18"/>
                <w:szCs w:val="18"/>
              </w:rPr>
              <w:t xml:space="preserve">    •  Pre-trade compliance checklist: all items verified and filed</w:t>
            </w:r>
          </w:p>
        </w:tc>
      </w:tr>
      <w:tr w:rsidR="00EC7F1F" w14:paraId="6C6E263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0" w:type="dxa"/>
            <w:left w:w="10" w:type="dxa"/>
            <w:bottom w:w="0" w:type="dxa"/>
            <w:right w:w="10" w:type="dxa"/>
          </w:tblCellMar>
          <w:tblLook w:val="0000" w:firstRow="0" w:lastRow="0" w:firstColumn="0" w:lastColumn="0" w:noHBand="0" w:noVBand="0"/>
        </w:tblPrEx>
        <w:tc>
          <w:tcPr>
            <w:tcW w:w="1200" w:type="dxa"/>
            <w:shd w:val="clear" w:color="auto" w:fill="1B2A4A"/>
            <w:tcMar>
              <w:top w:w="120" w:type="dxa"/>
              <w:left w:w="120" w:type="dxa"/>
              <w:bottom w:w="120" w:type="dxa"/>
              <w:right w:w="80" w:type="dxa"/>
            </w:tcMar>
            <w:vAlign w:val="center"/>
          </w:tcPr>
          <w:p w14:paraId="0EC779F4" w14:textId="77777777" w:rsidR="00EC7F1F" w:rsidRDefault="00000B03">
            <w:pPr>
              <w:jc w:val="center"/>
            </w:pPr>
            <w:r>
              <w:rPr>
                <w:b/>
                <w:bCs/>
                <w:color w:val="FFFFFF"/>
              </w:rPr>
              <w:t>PHASE 9</w:t>
            </w:r>
          </w:p>
        </w:tc>
        <w:tc>
          <w:tcPr>
            <w:tcW w:w="8160" w:type="dxa"/>
            <w:gridSpan w:val="2"/>
            <w:shd w:val="clear" w:color="auto" w:fill="D5E8F8"/>
            <w:tcMar>
              <w:top w:w="120" w:type="dxa"/>
              <w:left w:w="160" w:type="dxa"/>
              <w:bottom w:w="120" w:type="dxa"/>
              <w:right w:w="120" w:type="dxa"/>
            </w:tcMar>
            <w:vAlign w:val="center"/>
          </w:tcPr>
          <w:p w14:paraId="159E305A" w14:textId="77777777" w:rsidR="00EC7F1F" w:rsidRDefault="00000B03">
            <w:pPr>
              <w:spacing w:after="40"/>
            </w:pPr>
            <w:r>
              <w:rPr>
                <w:b/>
                <w:bCs/>
                <w:color w:val="1B2A4A"/>
                <w:sz w:val="26"/>
                <w:szCs w:val="26"/>
              </w:rPr>
              <w:t>Trade Execution &amp; Order Management</w:t>
            </w:r>
          </w:p>
          <w:p w14:paraId="70B1B4B3" w14:textId="77777777" w:rsidR="00EC7F1F" w:rsidRDefault="00000B03">
            <w:r>
              <w:rPr>
                <w:i/>
                <w:iCs/>
                <w:color w:val="2E5090"/>
                <w:sz w:val="20"/>
                <w:szCs w:val="20"/>
              </w:rPr>
              <w:t>Execute trades with defined entry protocols, stop-loss placement, and management rules</w:t>
            </w:r>
          </w:p>
        </w:tc>
      </w:tr>
      <w:tr w:rsidR="00EC7F1F" w14:paraId="05AD6725"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CellMar>
            <w:top w:w="0" w:type="dxa"/>
            <w:left w:w="10" w:type="dxa"/>
            <w:bottom w:w="0" w:type="dxa"/>
            <w:right w:w="10" w:type="dxa"/>
          </w:tblCellMar>
          <w:tblLook w:val="0000" w:firstRow="0" w:lastRow="0" w:firstColumn="0" w:lastColumn="0" w:noHBand="0" w:noVBand="0"/>
        </w:tblPrEx>
        <w:trPr>
          <w:gridAfter w:val="1"/>
          <w:wAfter w:w="957" w:type="dxa"/>
        </w:trPr>
        <w:tc>
          <w:tcPr>
            <w:tcW w:w="8400" w:type="dxa"/>
            <w:gridSpan w:val="2"/>
            <w:tcBorders>
              <w:top w:val="single" w:sz="2" w:space="0" w:color="2E5090"/>
              <w:left w:val="single" w:sz="6" w:space="0" w:color="2E5090"/>
              <w:bottom w:val="single" w:sz="2" w:space="0" w:color="2E5090"/>
              <w:right w:val="single" w:sz="2" w:space="0" w:color="2E5090"/>
            </w:tcBorders>
            <w:shd w:val="clear" w:color="auto" w:fill="EBF3FC"/>
            <w:tcMar>
              <w:top w:w="80" w:type="dxa"/>
              <w:left w:w="160" w:type="dxa"/>
              <w:bottom w:w="80" w:type="dxa"/>
              <w:right w:w="120" w:type="dxa"/>
            </w:tcMar>
          </w:tcPr>
          <w:p w14:paraId="58BD2176" w14:textId="77777777" w:rsidR="00EC7F1F" w:rsidRDefault="00000B03">
            <w:pPr>
              <w:spacing w:after="60"/>
            </w:pPr>
            <w:r>
              <w:rPr>
                <w:b/>
                <w:bCs/>
                <w:color w:val="2E5090"/>
                <w:sz w:val="20"/>
                <w:szCs w:val="20"/>
              </w:rPr>
              <w:t>▶ Required Inputs</w:t>
            </w:r>
          </w:p>
          <w:p w14:paraId="6AB99417" w14:textId="77777777" w:rsidR="00EC7F1F" w:rsidRDefault="00000B03">
            <w:pPr>
              <w:spacing w:before="20" w:after="20"/>
            </w:pPr>
            <w:r>
              <w:rPr>
                <w:color w:val="555555"/>
                <w:sz w:val="18"/>
                <w:szCs w:val="18"/>
              </w:rPr>
              <w:t xml:space="preserve">    •  Phase 7 outputs: Entry zones, stop levels, trade type classifications</w:t>
            </w:r>
          </w:p>
          <w:p w14:paraId="6C732998" w14:textId="77777777" w:rsidR="00EC7F1F" w:rsidRDefault="00000B03">
            <w:pPr>
              <w:spacing w:before="20" w:after="20"/>
            </w:pPr>
            <w:r>
              <w:rPr>
                <w:color w:val="555555"/>
                <w:sz w:val="18"/>
                <w:szCs w:val="18"/>
              </w:rPr>
              <w:t xml:space="preserve">    •  Phase 8 outputs: Position sizes, conviction tiers, constraint verification</w:t>
            </w:r>
          </w:p>
          <w:p w14:paraId="190F93FF" w14:textId="77777777" w:rsidR="00EC7F1F" w:rsidRDefault="00000B03">
            <w:pPr>
              <w:spacing w:before="20" w:after="20"/>
            </w:pPr>
            <w:r>
              <w:rPr>
                <w:color w:val="555555"/>
                <w:sz w:val="18"/>
                <w:szCs w:val="18"/>
              </w:rPr>
              <w:t xml:space="preserve">    •  Real-time market data, Level II order book, and current bid/ask spreads</w:t>
            </w:r>
          </w:p>
        </w:tc>
      </w:tr>
    </w:tbl>
    <w:p w14:paraId="685AB12F" w14:textId="77777777" w:rsidR="00EC7F1F" w:rsidRDefault="00EC7F1F">
      <w:pPr>
        <w:spacing w:before="120"/>
      </w:pPr>
    </w:p>
    <w:p w14:paraId="7A4C417F" w14:textId="77777777" w:rsidR="00EC7F1F" w:rsidRDefault="00000B03">
      <w:pPr>
        <w:pStyle w:val="Heading3"/>
      </w:pPr>
      <w:bookmarkStart w:id="42" w:name="_Toc224818141"/>
      <w:r>
        <w:t>Step 9.1: Pre-Trade Checklist</w:t>
      </w:r>
      <w:bookmarkEnd w:id="42"/>
    </w:p>
    <w:p w14:paraId="5A7994C7" w14:textId="77777777" w:rsidR="00EC7F1F" w:rsidRDefault="00000B03">
      <w:pPr>
        <w:pStyle w:val="ListParagraph"/>
        <w:numPr>
          <w:ilvl w:val="0"/>
          <w:numId w:val="20"/>
        </w:numPr>
        <w:spacing w:before="40" w:after="40"/>
      </w:pPr>
      <w:r>
        <w:rPr>
          <w:color w:val="333333"/>
        </w:rPr>
        <w:t>Confirm the trade setup remains valid: price has not moved beyond the entry zone or violated the controlling swing point</w:t>
      </w:r>
    </w:p>
    <w:p w14:paraId="054D88DD" w14:textId="77777777" w:rsidR="00EC7F1F" w:rsidRDefault="00000B03">
      <w:pPr>
        <w:pStyle w:val="ListParagraph"/>
        <w:numPr>
          <w:ilvl w:val="0"/>
          <w:numId w:val="20"/>
        </w:numPr>
        <w:spacing w:before="40" w:after="40"/>
      </w:pPr>
      <w:r>
        <w:rPr>
          <w:color w:val="333333"/>
        </w:rPr>
        <w:t>Verify no pending earnings announcements, ex-dividend dates, or other known catalysts within the initial holding period</w:t>
      </w:r>
    </w:p>
    <w:p w14:paraId="0A882F59" w14:textId="77777777" w:rsidR="00EC7F1F" w:rsidRDefault="00000B03">
      <w:pPr>
        <w:pStyle w:val="ListParagraph"/>
        <w:numPr>
          <w:ilvl w:val="0"/>
          <w:numId w:val="20"/>
        </w:numPr>
        <w:spacing w:before="40" w:after="40"/>
      </w:pPr>
      <w:r>
        <w:rPr>
          <w:color w:val="333333"/>
        </w:rPr>
        <w:t>Confirm that bid/ask spreads are within acceptable parameters for the position size (slippage budget)</w:t>
      </w:r>
    </w:p>
    <w:p w14:paraId="258D317D" w14:textId="77777777" w:rsidR="00EC7F1F" w:rsidRDefault="00000B03">
      <w:pPr>
        <w:pStyle w:val="ListParagraph"/>
        <w:numPr>
          <w:ilvl w:val="0"/>
          <w:numId w:val="20"/>
        </w:numPr>
        <w:spacing w:before="40" w:after="40"/>
      </w:pPr>
      <w:r>
        <w:rPr>
          <w:color w:val="333333"/>
        </w:rPr>
        <w:t>Verify that the addition of this position does not breach any portfolio-level constraints (heat, concentration, margin)</w:t>
      </w:r>
    </w:p>
    <w:p w14:paraId="34B05F2E" w14:textId="77777777" w:rsidR="00EC7F1F" w:rsidRDefault="00000B03">
      <w:pPr>
        <w:pStyle w:val="Heading3"/>
      </w:pPr>
      <w:bookmarkStart w:id="43" w:name="_Toc224818142"/>
      <w:r>
        <w:t>Step 9.2: Execute Entry Orders</w:t>
      </w:r>
      <w:bookmarkEnd w:id="43"/>
    </w:p>
    <w:p w14:paraId="6D402839" w14:textId="77777777" w:rsidR="00EC7F1F" w:rsidRDefault="00000B03">
      <w:pPr>
        <w:pStyle w:val="ListParagraph"/>
        <w:numPr>
          <w:ilvl w:val="0"/>
          <w:numId w:val="23"/>
        </w:numPr>
        <w:spacing w:before="40" w:after="40"/>
      </w:pPr>
      <w:r>
        <w:rPr>
          <w:color w:val="333333"/>
        </w:rPr>
        <w:lastRenderedPageBreak/>
        <w:t>For limit orders: Place at or within the defined entry zone. Use the mid-point of the breakout box as the target entry.</w:t>
      </w:r>
    </w:p>
    <w:p w14:paraId="5153FB9B" w14:textId="77777777" w:rsidR="00EC7F1F" w:rsidRDefault="00000B03">
      <w:pPr>
        <w:pStyle w:val="ListParagraph"/>
        <w:numPr>
          <w:ilvl w:val="0"/>
          <w:numId w:val="23"/>
        </w:numPr>
        <w:spacing w:before="40" w:after="40"/>
      </w:pPr>
      <w:r>
        <w:rPr>
          <w:color w:val="333333"/>
        </w:rPr>
        <w:t>For multi-day entries on larger positions: Build the position over 2–3 trading days to minimize market impact.</w:t>
      </w:r>
    </w:p>
    <w:p w14:paraId="1DE84E8A" w14:textId="77777777" w:rsidR="00EC7F1F" w:rsidRDefault="00000B03">
      <w:pPr>
        <w:pStyle w:val="ListParagraph"/>
        <w:numPr>
          <w:ilvl w:val="0"/>
          <w:numId w:val="23"/>
        </w:numPr>
        <w:spacing w:before="40" w:after="40"/>
      </w:pPr>
      <w:r>
        <w:rPr>
          <w:color w:val="333333"/>
        </w:rPr>
        <w:t>Document the actual fill price and any slippage relative to the planned entry.</w:t>
      </w:r>
    </w:p>
    <w:p w14:paraId="7419C6D1" w14:textId="77777777" w:rsidR="00EC7F1F" w:rsidRDefault="00000B03">
      <w:pPr>
        <w:pStyle w:val="Heading3"/>
      </w:pPr>
      <w:bookmarkStart w:id="44" w:name="_Toc224818143"/>
      <w:r>
        <w:t>Step 9.3: Place Initial Stop-Loss Orders</w:t>
      </w:r>
      <w:bookmarkEnd w:id="44"/>
    </w:p>
    <w:p w14:paraId="1BED3318" w14:textId="77777777" w:rsidR="00EC7F1F" w:rsidRDefault="00000B03">
      <w:pPr>
        <w:pStyle w:val="ListParagraph"/>
        <w:numPr>
          <w:ilvl w:val="0"/>
          <w:numId w:val="2"/>
        </w:numPr>
        <w:spacing w:before="40" w:after="40"/>
      </w:pPr>
      <w:r>
        <w:rPr>
          <w:color w:val="333333"/>
        </w:rPr>
        <w:t>Immediately upon fill, place a protective stop-loss order at the predetermined structural level (swing point from Step 7.2)</w:t>
      </w:r>
    </w:p>
    <w:p w14:paraId="75CDDA3C" w14:textId="77777777" w:rsidR="00EC7F1F" w:rsidRDefault="00000B03">
      <w:pPr>
        <w:pStyle w:val="ListParagraph"/>
        <w:numPr>
          <w:ilvl w:val="0"/>
          <w:numId w:val="2"/>
        </w:numPr>
        <w:spacing w:before="40" w:after="40"/>
      </w:pPr>
      <w:r>
        <w:rPr>
          <w:color w:val="333333"/>
        </w:rPr>
        <w:t>For autoregressive trades: Use structural stops based on the controlling swing point. Wider stops to accommodate normal volatility.</w:t>
      </w:r>
    </w:p>
    <w:p w14:paraId="753A2AAD" w14:textId="77777777" w:rsidR="00EC7F1F" w:rsidRDefault="00000B03">
      <w:pPr>
        <w:pStyle w:val="ListParagraph"/>
        <w:numPr>
          <w:ilvl w:val="0"/>
          <w:numId w:val="2"/>
        </w:numPr>
        <w:spacing w:before="40" w:after="40"/>
      </w:pPr>
      <w:r>
        <w:rPr>
          <w:color w:val="333333"/>
        </w:rPr>
        <w:t>For mean reversion trades: Use tighter, ATR-based stops (typically 1.5–2.0 × ATR below entry for longs, above for shorts)</w:t>
      </w:r>
    </w:p>
    <w:p w14:paraId="53842ADA" w14:textId="77777777" w:rsidR="00EC7F1F" w:rsidRDefault="00000B03">
      <w:pPr>
        <w:pStyle w:val="Heading3"/>
      </w:pPr>
      <w:bookmarkStart w:id="45" w:name="_Toc224818144"/>
      <w:r>
        <w:t>Step 9.4: Define Trade Management Protocol</w:t>
      </w:r>
      <w:bookmarkEnd w:id="45"/>
    </w:p>
    <w:p w14:paraId="106CDEB7" w14:textId="77777777" w:rsidR="00EC7F1F" w:rsidRDefault="00000B03">
      <w:pPr>
        <w:spacing w:before="60" w:after="80"/>
      </w:pPr>
      <w:r>
        <w:rPr>
          <w:b/>
          <w:bCs/>
          <w:color w:val="333333"/>
        </w:rPr>
        <w:t>For autoregressive (trend-following) trades:</w:t>
      </w:r>
    </w:p>
    <w:p w14:paraId="3BA8CD13" w14:textId="77777777" w:rsidR="00EC7F1F" w:rsidRDefault="00000B03">
      <w:pPr>
        <w:pStyle w:val="ListParagraph"/>
        <w:numPr>
          <w:ilvl w:val="0"/>
          <w:numId w:val="14"/>
        </w:numPr>
        <w:spacing w:before="30" w:after="30"/>
      </w:pPr>
      <w:r>
        <w:rPr>
          <w:color w:val="555555"/>
        </w:rPr>
        <w:t>Trailing stop methodology: Move stop to breakeven when position reaches 1R profit, then trail using the most recent swing point</w:t>
      </w:r>
    </w:p>
    <w:p w14:paraId="55D02D64" w14:textId="77777777" w:rsidR="00EC7F1F" w:rsidRDefault="00000B03">
      <w:pPr>
        <w:pStyle w:val="ListParagraph"/>
        <w:numPr>
          <w:ilvl w:val="0"/>
          <w:numId w:val="14"/>
        </w:numPr>
        <w:spacing w:before="30" w:after="30"/>
      </w:pPr>
      <w:r>
        <w:rPr>
          <w:color w:val="555555"/>
        </w:rPr>
        <w:t>Partial profit taking: Consider scaling out 25–33% at initial technical targets</w:t>
      </w:r>
    </w:p>
    <w:p w14:paraId="2E6A26DA" w14:textId="77777777" w:rsidR="00EC7F1F" w:rsidRDefault="00000B03">
      <w:pPr>
        <w:pStyle w:val="ListParagraph"/>
        <w:numPr>
          <w:ilvl w:val="0"/>
          <w:numId w:val="14"/>
        </w:numPr>
        <w:spacing w:before="30" w:after="30"/>
      </w:pPr>
      <w:r>
        <w:rPr>
          <w:color w:val="555555"/>
        </w:rPr>
        <w:t>Pyramiding criteria: Add to winners at new breakout box entries if absolute momentum score remains at 6+ and portfolio heat allows</w:t>
      </w:r>
    </w:p>
    <w:p w14:paraId="396144A6" w14:textId="77777777" w:rsidR="00EC7F1F" w:rsidRDefault="00000B03">
      <w:pPr>
        <w:spacing w:before="60" w:after="80"/>
      </w:pPr>
      <w:r>
        <w:rPr>
          <w:b/>
          <w:bCs/>
          <w:color w:val="333333"/>
        </w:rPr>
        <w:t>For mean reversion trades:</w:t>
      </w:r>
    </w:p>
    <w:p w14:paraId="63936AC5" w14:textId="77777777" w:rsidR="00EC7F1F" w:rsidRDefault="00000B03">
      <w:pPr>
        <w:pStyle w:val="ListParagraph"/>
        <w:numPr>
          <w:ilvl w:val="0"/>
          <w:numId w:val="15"/>
        </w:numPr>
        <w:spacing w:before="30" w:after="30"/>
      </w:pPr>
      <w:r>
        <w:rPr>
          <w:color w:val="555555"/>
        </w:rPr>
        <w:t>Fixed target management: Set profit targets based on prior range measurements (mean or median of recent price range)</w:t>
      </w:r>
    </w:p>
    <w:p w14:paraId="2973F8EF" w14:textId="77777777" w:rsidR="00EC7F1F" w:rsidRDefault="00000B03">
      <w:pPr>
        <w:pStyle w:val="ListParagraph"/>
        <w:numPr>
          <w:ilvl w:val="0"/>
          <w:numId w:val="15"/>
        </w:numPr>
        <w:spacing w:before="30" w:after="30"/>
      </w:pPr>
      <w:r>
        <w:rPr>
          <w:color w:val="555555"/>
        </w:rPr>
        <w:t>ATR-based targets: Typically 2.0–3.0 × ATR from entry</w:t>
      </w:r>
    </w:p>
    <w:p w14:paraId="6121BBD8" w14:textId="77777777" w:rsidR="00EC7F1F" w:rsidRDefault="00000B03">
      <w:pPr>
        <w:pStyle w:val="ListParagraph"/>
        <w:numPr>
          <w:ilvl w:val="0"/>
          <w:numId w:val="15"/>
        </w:numPr>
        <w:spacing w:before="30" w:after="30"/>
      </w:pPr>
      <w:r>
        <w:rPr>
          <w:color w:val="555555"/>
        </w:rPr>
        <w:t>Time-based exit: If the trade has not reached its target within a defined window, reassess and close if momentum conditions have deteriorated</w:t>
      </w:r>
    </w:p>
    <w:p w14:paraId="66303132" w14:textId="77777777" w:rsidR="00EC7F1F" w:rsidRDefault="00EC7F1F">
      <w:pPr>
        <w:spacing w:before="1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1D35235A" w14:textId="77777777">
        <w:tc>
          <w:tcPr>
            <w:tcW w:w="8400" w:type="dxa"/>
            <w:tcBorders>
              <w:top w:val="single" w:sz="2" w:space="0" w:color="2E7D32"/>
              <w:left w:val="single" w:sz="6" w:space="0" w:color="2E7D32"/>
              <w:bottom w:val="single" w:sz="2" w:space="0" w:color="2E7D32"/>
              <w:right w:val="single" w:sz="2" w:space="0" w:color="2E7D32"/>
            </w:tcBorders>
            <w:shd w:val="clear" w:color="auto" w:fill="E8F5E9"/>
            <w:tcMar>
              <w:top w:w="80" w:type="dxa"/>
              <w:left w:w="160" w:type="dxa"/>
              <w:bottom w:w="80" w:type="dxa"/>
              <w:right w:w="120" w:type="dxa"/>
            </w:tcMar>
          </w:tcPr>
          <w:p w14:paraId="61DC424C" w14:textId="77777777" w:rsidR="00EC7F1F" w:rsidRDefault="00000B03">
            <w:pPr>
              <w:spacing w:after="60"/>
            </w:pPr>
            <w:r>
              <w:rPr>
                <w:b/>
                <w:bCs/>
                <w:color w:val="2E7D32"/>
                <w:sz w:val="20"/>
                <w:szCs w:val="20"/>
              </w:rPr>
              <w:t>✓ Phase 9 Outputs</w:t>
            </w:r>
          </w:p>
          <w:p w14:paraId="59E85678" w14:textId="77777777" w:rsidR="00EC7F1F" w:rsidRDefault="00000B03">
            <w:pPr>
              <w:spacing w:before="20" w:after="20"/>
            </w:pPr>
            <w:r>
              <w:rPr>
                <w:color w:val="555555"/>
                <w:sz w:val="18"/>
                <w:szCs w:val="18"/>
              </w:rPr>
              <w:t xml:space="preserve">    •  Executed trade log: entry date, price, shares, direction, stop level, initial target</w:t>
            </w:r>
          </w:p>
          <w:p w14:paraId="414A12E9" w14:textId="77777777" w:rsidR="00EC7F1F" w:rsidRDefault="00000B03">
            <w:pPr>
              <w:spacing w:before="20" w:after="20"/>
            </w:pPr>
            <w:r>
              <w:rPr>
                <w:color w:val="555555"/>
                <w:sz w:val="18"/>
                <w:szCs w:val="18"/>
              </w:rPr>
              <w:t xml:space="preserve">    •  Slippage and execution quality assessment vs. planned entry</w:t>
            </w:r>
          </w:p>
          <w:p w14:paraId="51C43BE7" w14:textId="77777777" w:rsidR="00EC7F1F" w:rsidRDefault="00000B03">
            <w:pPr>
              <w:spacing w:before="20" w:after="20"/>
            </w:pPr>
            <w:r>
              <w:rPr>
                <w:color w:val="555555"/>
                <w:sz w:val="18"/>
                <w:szCs w:val="18"/>
              </w:rPr>
              <w:t xml:space="preserve">    •  Active stop-loss and target orders confirmed in the order management system</w:t>
            </w:r>
          </w:p>
          <w:p w14:paraId="703ADCCA" w14:textId="77777777" w:rsidR="00EC7F1F" w:rsidRDefault="00000B03">
            <w:pPr>
              <w:spacing w:before="20" w:after="20"/>
            </w:pPr>
            <w:r>
              <w:rPr>
                <w:color w:val="555555"/>
                <w:sz w:val="18"/>
                <w:szCs w:val="18"/>
              </w:rPr>
              <w:t xml:space="preserve">    •  Trade management protocol documented for each open position</w:t>
            </w:r>
          </w:p>
        </w:tc>
      </w:tr>
    </w:tbl>
    <w:p w14:paraId="1A99F1D0" w14:textId="77777777" w:rsidR="00EC7F1F" w:rsidRDefault="00000B0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200"/>
        <w:gridCol w:w="960"/>
      </w:tblGrid>
      <w:tr w:rsidR="00EC7F1F" w14:paraId="0CB43405" w14:textId="77777777">
        <w:tc>
          <w:tcPr>
            <w:tcW w:w="1200" w:type="dxa"/>
            <w:shd w:val="clear" w:color="auto" w:fill="1B2A4A"/>
            <w:tcMar>
              <w:top w:w="120" w:type="dxa"/>
              <w:left w:w="120" w:type="dxa"/>
              <w:bottom w:w="120" w:type="dxa"/>
              <w:right w:w="80" w:type="dxa"/>
            </w:tcMar>
            <w:vAlign w:val="center"/>
          </w:tcPr>
          <w:p w14:paraId="1EDE824B" w14:textId="77777777" w:rsidR="00EC7F1F" w:rsidRDefault="00000B03">
            <w:pPr>
              <w:jc w:val="center"/>
            </w:pPr>
            <w:r>
              <w:rPr>
                <w:b/>
                <w:bCs/>
                <w:color w:val="FFFFFF"/>
              </w:rPr>
              <w:lastRenderedPageBreak/>
              <w:t>PHASE 10</w:t>
            </w:r>
          </w:p>
        </w:tc>
        <w:tc>
          <w:tcPr>
            <w:tcW w:w="8160" w:type="dxa"/>
            <w:gridSpan w:val="2"/>
            <w:shd w:val="clear" w:color="auto" w:fill="D5E8F8"/>
            <w:tcMar>
              <w:top w:w="120" w:type="dxa"/>
              <w:left w:w="160" w:type="dxa"/>
              <w:bottom w:w="120" w:type="dxa"/>
              <w:right w:w="120" w:type="dxa"/>
            </w:tcMar>
            <w:vAlign w:val="center"/>
          </w:tcPr>
          <w:p w14:paraId="593946E5" w14:textId="77777777" w:rsidR="00EC7F1F" w:rsidRDefault="00000B03">
            <w:pPr>
              <w:spacing w:after="40"/>
            </w:pPr>
            <w:r>
              <w:rPr>
                <w:b/>
                <w:bCs/>
                <w:color w:val="1B2A4A"/>
                <w:sz w:val="26"/>
                <w:szCs w:val="26"/>
              </w:rPr>
              <w:t>Portfolio Construction &amp; Exposure Management</w:t>
            </w:r>
          </w:p>
          <w:p w14:paraId="05619C42" w14:textId="77777777" w:rsidR="00EC7F1F" w:rsidRDefault="00000B03">
            <w:r>
              <w:rPr>
                <w:i/>
                <w:iCs/>
                <w:color w:val="2E5090"/>
                <w:sz w:val="20"/>
                <w:szCs w:val="20"/>
              </w:rPr>
              <w:t>Integrate individual positions into a cohesive portfolio with controlled risk characteristics</w:t>
            </w:r>
          </w:p>
        </w:tc>
      </w:tr>
      <w:tr w:rsidR="00EC7F1F" w14:paraId="7A9C2A8E" w14:textId="77777777">
        <w:trPr>
          <w:gridAfter w:val="1"/>
          <w:wAfter w:w="957" w:type="dxa"/>
        </w:trPr>
        <w:tc>
          <w:tcPr>
            <w:tcW w:w="8400" w:type="dxa"/>
            <w:gridSpan w:val="2"/>
            <w:tcBorders>
              <w:top w:val="single" w:sz="2" w:space="0" w:color="2E5090"/>
              <w:left w:val="single" w:sz="6" w:space="0" w:color="2E5090"/>
              <w:bottom w:val="single" w:sz="2" w:space="0" w:color="2E5090"/>
              <w:right w:val="single" w:sz="2" w:space="0" w:color="2E5090"/>
            </w:tcBorders>
            <w:shd w:val="clear" w:color="auto" w:fill="EBF3FC"/>
            <w:tcMar>
              <w:top w:w="80" w:type="dxa"/>
              <w:left w:w="160" w:type="dxa"/>
              <w:bottom w:w="80" w:type="dxa"/>
              <w:right w:w="120" w:type="dxa"/>
            </w:tcMar>
          </w:tcPr>
          <w:p w14:paraId="783C6573" w14:textId="77777777" w:rsidR="00EC7F1F" w:rsidRDefault="00000B03">
            <w:pPr>
              <w:spacing w:after="60"/>
            </w:pPr>
            <w:r>
              <w:rPr>
                <w:b/>
                <w:bCs/>
                <w:color w:val="2E5090"/>
                <w:sz w:val="20"/>
                <w:szCs w:val="20"/>
              </w:rPr>
              <w:t>▶ Required Inputs</w:t>
            </w:r>
          </w:p>
          <w:p w14:paraId="400CF17A" w14:textId="77777777" w:rsidR="00EC7F1F" w:rsidRDefault="00000B03">
            <w:pPr>
              <w:spacing w:before="20" w:after="20"/>
            </w:pPr>
            <w:r>
              <w:rPr>
                <w:color w:val="555555"/>
                <w:sz w:val="18"/>
                <w:szCs w:val="18"/>
              </w:rPr>
              <w:t xml:space="preserve">    •  Phase 9 outputs: All active positions with current P&amp;L and risk levels</w:t>
            </w:r>
          </w:p>
          <w:p w14:paraId="4B98A32C" w14:textId="77777777" w:rsidR="00EC7F1F" w:rsidRDefault="00000B03">
            <w:pPr>
              <w:spacing w:before="20" w:after="20"/>
            </w:pPr>
            <w:r>
              <w:rPr>
                <w:color w:val="555555"/>
                <w:sz w:val="18"/>
                <w:szCs w:val="18"/>
              </w:rPr>
              <w:t xml:space="preserve">    •  Phase 3 outputs: Regime classification and target exposure ranges</w:t>
            </w:r>
          </w:p>
          <w:p w14:paraId="39B89E42" w14:textId="77777777" w:rsidR="00EC7F1F" w:rsidRDefault="00000B03">
            <w:pPr>
              <w:spacing w:before="20" w:after="20"/>
            </w:pPr>
            <w:r>
              <w:rPr>
                <w:color w:val="555555"/>
                <w:sz w:val="18"/>
                <w:szCs w:val="18"/>
              </w:rPr>
              <w:t xml:space="preserve">    •  Real-time portfolio analytics: sector exposures, factor tilts, correlation matrix</w:t>
            </w:r>
          </w:p>
        </w:tc>
      </w:tr>
    </w:tbl>
    <w:p w14:paraId="54198EF5" w14:textId="77777777" w:rsidR="00EC7F1F" w:rsidRDefault="00EC7F1F">
      <w:pPr>
        <w:spacing w:before="120"/>
      </w:pPr>
    </w:p>
    <w:p w14:paraId="738E3321" w14:textId="77777777" w:rsidR="00EC7F1F" w:rsidRDefault="00000B03">
      <w:pPr>
        <w:pStyle w:val="Heading3"/>
      </w:pPr>
      <w:bookmarkStart w:id="46" w:name="_Toc224818145"/>
      <w:r>
        <w:t>Step 10.1: Calculate Portfolio Exposure Metrics</w:t>
      </w:r>
      <w:bookmarkEnd w:id="46"/>
    </w:p>
    <w:p w14:paraId="314C68EF" w14:textId="77777777" w:rsidR="00EC7F1F" w:rsidRDefault="00000B03">
      <w:pPr>
        <w:pStyle w:val="ListParagraph"/>
        <w:numPr>
          <w:ilvl w:val="0"/>
          <w:numId w:val="3"/>
        </w:numPr>
        <w:spacing w:before="40" w:after="40"/>
      </w:pPr>
      <w:r>
        <w:rPr>
          <w:color w:val="333333"/>
        </w:rPr>
        <w:t>Gross Exposure = Total long market value + Total short market value (absolute sum)</w:t>
      </w:r>
    </w:p>
    <w:p w14:paraId="5B625A89" w14:textId="77777777" w:rsidR="00EC7F1F" w:rsidRDefault="00000B03">
      <w:pPr>
        <w:pStyle w:val="ListParagraph"/>
        <w:numPr>
          <w:ilvl w:val="0"/>
          <w:numId w:val="3"/>
        </w:numPr>
        <w:spacing w:before="40" w:after="40"/>
      </w:pPr>
      <w:r>
        <w:rPr>
          <w:color w:val="333333"/>
        </w:rPr>
        <w:t>Net Exposure = Long market value – Short market value</w:t>
      </w:r>
    </w:p>
    <w:p w14:paraId="67381F12" w14:textId="77777777" w:rsidR="00EC7F1F" w:rsidRDefault="00000B03">
      <w:pPr>
        <w:pStyle w:val="ListParagraph"/>
        <w:numPr>
          <w:ilvl w:val="0"/>
          <w:numId w:val="3"/>
        </w:numPr>
        <w:spacing w:before="40" w:after="40"/>
      </w:pPr>
      <w:r>
        <w:rPr>
          <w:color w:val="333333"/>
        </w:rPr>
        <w:t>Beta-Adjusted Net Exposure = Sum of (position value × position beta) for all positions</w:t>
      </w:r>
    </w:p>
    <w:p w14:paraId="6F0CE58E" w14:textId="77777777" w:rsidR="00EC7F1F" w:rsidRDefault="00000B03">
      <w:pPr>
        <w:pStyle w:val="ListParagraph"/>
        <w:numPr>
          <w:ilvl w:val="0"/>
          <w:numId w:val="3"/>
        </w:numPr>
        <w:spacing w:before="40" w:after="40"/>
      </w:pPr>
      <w:r>
        <w:rPr>
          <w:color w:val="333333"/>
        </w:rPr>
        <w:t>Verify that gross and net exposures fall within the regime-appropriate target ranges from Phase 3</w:t>
      </w:r>
    </w:p>
    <w:p w14:paraId="5CCF67A1" w14:textId="77777777" w:rsidR="00EC7F1F" w:rsidRDefault="00000B03">
      <w:pPr>
        <w:pStyle w:val="Heading3"/>
      </w:pPr>
      <w:bookmarkStart w:id="47" w:name="_Toc224818146"/>
      <w:r>
        <w:t>Step 10.2: Verify Portfolio Constraints</w:t>
      </w:r>
      <w:bookmarkEnd w:id="47"/>
    </w:p>
    <w:p w14:paraId="1BC76CAC" w14:textId="77777777" w:rsidR="00EC7F1F" w:rsidRDefault="00000B03">
      <w:pPr>
        <w:pStyle w:val="ListParagraph"/>
        <w:numPr>
          <w:ilvl w:val="0"/>
          <w:numId w:val="4"/>
        </w:numPr>
        <w:spacing w:before="40" w:after="40"/>
      </w:pPr>
      <w:r>
        <w:rPr>
          <w:color w:val="333333"/>
        </w:rPr>
        <w:t>Individual position maximum: ≤5% of portfolio</w:t>
      </w:r>
    </w:p>
    <w:p w14:paraId="4CA0CC83" w14:textId="77777777" w:rsidR="00EC7F1F" w:rsidRDefault="00000B03">
      <w:pPr>
        <w:pStyle w:val="ListParagraph"/>
        <w:numPr>
          <w:ilvl w:val="0"/>
          <w:numId w:val="4"/>
        </w:numPr>
        <w:spacing w:before="40" w:after="40"/>
      </w:pPr>
      <w:r>
        <w:rPr>
          <w:color w:val="333333"/>
        </w:rPr>
        <w:t>Sector maximum: ≤30% of portfolio in any single GICS sector</w:t>
      </w:r>
    </w:p>
    <w:p w14:paraId="4FD2A91C" w14:textId="77777777" w:rsidR="00EC7F1F" w:rsidRDefault="00000B03">
      <w:pPr>
        <w:pStyle w:val="ListParagraph"/>
        <w:numPr>
          <w:ilvl w:val="0"/>
          <w:numId w:val="4"/>
        </w:numPr>
        <w:spacing w:before="40" w:after="40"/>
      </w:pPr>
      <w:r>
        <w:rPr>
          <w:color w:val="333333"/>
        </w:rPr>
        <w:t>Factor exposure maximum: ≤40% to any single style factor</w:t>
      </w:r>
    </w:p>
    <w:p w14:paraId="5FAE8A1C" w14:textId="77777777" w:rsidR="00EC7F1F" w:rsidRDefault="00000B03">
      <w:pPr>
        <w:pStyle w:val="ListParagraph"/>
        <w:numPr>
          <w:ilvl w:val="0"/>
          <w:numId w:val="4"/>
        </w:numPr>
        <w:spacing w:before="40" w:after="40"/>
      </w:pPr>
      <w:r>
        <w:rPr>
          <w:color w:val="333333"/>
        </w:rPr>
        <w:t>Strategy type balance: ≤60% of positions in either autoregressive or mean reversion (unless regime strongly favors one)</w:t>
      </w:r>
    </w:p>
    <w:p w14:paraId="45F54670" w14:textId="77777777" w:rsidR="00EC7F1F" w:rsidRDefault="00000B03">
      <w:pPr>
        <w:pStyle w:val="ListParagraph"/>
        <w:numPr>
          <w:ilvl w:val="0"/>
          <w:numId w:val="4"/>
        </w:numPr>
        <w:spacing w:before="40" w:after="40"/>
      </w:pPr>
      <w:r>
        <w:rPr>
          <w:color w:val="333333"/>
        </w:rPr>
        <w:t>Margin utilization: Maintain ≥50% buffer above exchange-required maintenance margin</w:t>
      </w:r>
    </w:p>
    <w:p w14:paraId="6D9C1099" w14:textId="77777777" w:rsidR="00EC7F1F" w:rsidRDefault="00000B03">
      <w:pPr>
        <w:pStyle w:val="Heading3"/>
      </w:pPr>
      <w:bookmarkStart w:id="48" w:name="_Toc224818147"/>
      <w:r>
        <w:t>Step 10.3: Implement Dynamic Exposure Adjustments</w:t>
      </w:r>
      <w:bookmarkEnd w:id="48"/>
    </w:p>
    <w:p w14:paraId="1735BC97" w14:textId="77777777" w:rsidR="00EC7F1F" w:rsidRDefault="00000B03">
      <w:pPr>
        <w:spacing w:before="60" w:after="80"/>
      </w:pPr>
      <w:r>
        <w:rPr>
          <w:color w:val="333333"/>
        </w:rPr>
        <w:t>If current exposures deviate from targets, apply the following rebalancing protocol:</w:t>
      </w:r>
    </w:p>
    <w:p w14:paraId="03909BD7" w14:textId="77777777" w:rsidR="00EC7F1F" w:rsidRDefault="00000B03">
      <w:pPr>
        <w:pStyle w:val="ListParagraph"/>
        <w:numPr>
          <w:ilvl w:val="0"/>
          <w:numId w:val="16"/>
        </w:numPr>
        <w:spacing w:before="30" w:after="30"/>
      </w:pPr>
      <w:r>
        <w:rPr>
          <w:color w:val="555555"/>
        </w:rPr>
        <w:t>Time-Based: Weekly portfolio review and exposure reconciliation</w:t>
      </w:r>
    </w:p>
    <w:p w14:paraId="5DB7364F" w14:textId="77777777" w:rsidR="00EC7F1F" w:rsidRDefault="00000B03">
      <w:pPr>
        <w:pStyle w:val="ListParagraph"/>
        <w:numPr>
          <w:ilvl w:val="0"/>
          <w:numId w:val="16"/>
        </w:numPr>
        <w:spacing w:before="30" w:after="30"/>
      </w:pPr>
      <w:r>
        <w:rPr>
          <w:color w:val="555555"/>
        </w:rPr>
        <w:t>Threshold-Based: Rebalance immediately when any exposure drifts ±5% from target</w:t>
      </w:r>
    </w:p>
    <w:p w14:paraId="58AB5F2C" w14:textId="77777777" w:rsidR="00EC7F1F" w:rsidRDefault="00000B03">
      <w:pPr>
        <w:pStyle w:val="ListParagraph"/>
        <w:numPr>
          <w:ilvl w:val="0"/>
          <w:numId w:val="16"/>
        </w:numPr>
        <w:spacing w:before="30" w:after="30"/>
      </w:pPr>
      <w:r>
        <w:rPr>
          <w:color w:val="555555"/>
        </w:rPr>
        <w:t>Sector-Based: Adjust when any sector exposure exceeds target by more than 5%</w:t>
      </w:r>
    </w:p>
    <w:p w14:paraId="416EF918" w14:textId="77777777" w:rsidR="00EC7F1F" w:rsidRDefault="00000B03">
      <w:pPr>
        <w:pStyle w:val="ListParagraph"/>
        <w:numPr>
          <w:ilvl w:val="0"/>
          <w:numId w:val="16"/>
        </w:numPr>
        <w:spacing w:before="30" w:after="30"/>
      </w:pPr>
      <w:r>
        <w:rPr>
          <w:color w:val="555555"/>
        </w:rPr>
        <w:t>Strategy-Based: Rebalance when autoregressive/mean reversion balance shifts more than 10% from target</w:t>
      </w:r>
    </w:p>
    <w:p w14:paraId="5956ECF4" w14:textId="77777777" w:rsidR="00EC7F1F" w:rsidRDefault="00000B03">
      <w:pPr>
        <w:pStyle w:val="Heading3"/>
      </w:pPr>
      <w:bookmarkStart w:id="49" w:name="_Toc224818148"/>
      <w:r>
        <w:t>Step 10.4: Implement Drawdown Control Protocol</w:t>
      </w:r>
      <w:bookmarkEnd w:id="49"/>
    </w:p>
    <w:p w14:paraId="76CD214E" w14:textId="77777777" w:rsidR="00EC7F1F" w:rsidRDefault="00000B03">
      <w:pPr>
        <w:pStyle w:val="ListParagraph"/>
        <w:numPr>
          <w:ilvl w:val="0"/>
          <w:numId w:val="5"/>
        </w:numPr>
        <w:spacing w:before="40" w:after="40"/>
      </w:pPr>
      <w:r>
        <w:rPr>
          <w:color w:val="333333"/>
        </w:rPr>
        <w:t>Level 1 Response (5% portfolio drawdown): Enhanced monitoring frequency, daily review of all positions and regime indicators</w:t>
      </w:r>
    </w:p>
    <w:p w14:paraId="3683B748" w14:textId="77777777" w:rsidR="00EC7F1F" w:rsidRDefault="00000B03">
      <w:pPr>
        <w:pStyle w:val="ListParagraph"/>
        <w:numPr>
          <w:ilvl w:val="0"/>
          <w:numId w:val="5"/>
        </w:numPr>
        <w:spacing w:before="40" w:after="40"/>
      </w:pPr>
      <w:r>
        <w:rPr>
          <w:color w:val="333333"/>
        </w:rPr>
        <w:t>Level 2 Response (10% portfolio drawdown): Reduce gross exposure by 15–20%, tighten individual position stops</w:t>
      </w:r>
    </w:p>
    <w:p w14:paraId="761B0810" w14:textId="77777777" w:rsidR="00EC7F1F" w:rsidRDefault="00000B03">
      <w:pPr>
        <w:pStyle w:val="ListParagraph"/>
        <w:numPr>
          <w:ilvl w:val="0"/>
          <w:numId w:val="5"/>
        </w:numPr>
        <w:spacing w:before="40" w:after="40"/>
      </w:pPr>
      <w:r>
        <w:rPr>
          <w:color w:val="333333"/>
        </w:rPr>
        <w:t>Level 3 Response (15% portfolio drawdown): Reduce to maximum 120% gross exposure, close lowest-conviction positions first</w:t>
      </w:r>
    </w:p>
    <w:p w14:paraId="061155E3" w14:textId="77777777" w:rsidR="00EC7F1F" w:rsidRDefault="00000B03">
      <w:pPr>
        <w:pStyle w:val="ListParagraph"/>
        <w:numPr>
          <w:ilvl w:val="0"/>
          <w:numId w:val="5"/>
        </w:numPr>
        <w:spacing w:before="40" w:after="40"/>
      </w:pPr>
      <w:r>
        <w:rPr>
          <w:color w:val="333333"/>
        </w:rPr>
        <w:t>Monitor recovery ratio during the drawdown recovery phase and adjust exposure incrementally as conditions improve</w:t>
      </w:r>
    </w:p>
    <w:p w14:paraId="6218938B" w14:textId="77777777" w:rsidR="00EC7F1F" w:rsidRDefault="00EC7F1F">
      <w:pPr>
        <w:spacing w:before="1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723E75B6" w14:textId="77777777">
        <w:tc>
          <w:tcPr>
            <w:tcW w:w="8400" w:type="dxa"/>
            <w:tcBorders>
              <w:top w:val="single" w:sz="2" w:space="0" w:color="2E7D32"/>
              <w:left w:val="single" w:sz="6" w:space="0" w:color="2E7D32"/>
              <w:bottom w:val="single" w:sz="2" w:space="0" w:color="2E7D32"/>
              <w:right w:val="single" w:sz="2" w:space="0" w:color="2E7D32"/>
            </w:tcBorders>
            <w:shd w:val="clear" w:color="auto" w:fill="E8F5E9"/>
            <w:tcMar>
              <w:top w:w="80" w:type="dxa"/>
              <w:left w:w="160" w:type="dxa"/>
              <w:bottom w:w="80" w:type="dxa"/>
              <w:right w:w="120" w:type="dxa"/>
            </w:tcMar>
          </w:tcPr>
          <w:p w14:paraId="63E13088" w14:textId="77777777" w:rsidR="00EC7F1F" w:rsidRDefault="00000B03">
            <w:pPr>
              <w:spacing w:after="60"/>
            </w:pPr>
            <w:r>
              <w:rPr>
                <w:b/>
                <w:bCs/>
                <w:color w:val="2E7D32"/>
                <w:sz w:val="20"/>
                <w:szCs w:val="20"/>
              </w:rPr>
              <w:t>✓ Phase 10 Outputs</w:t>
            </w:r>
          </w:p>
          <w:p w14:paraId="510FC6F8" w14:textId="77777777" w:rsidR="00EC7F1F" w:rsidRDefault="00000B03">
            <w:pPr>
              <w:spacing w:before="20" w:after="20"/>
            </w:pPr>
            <w:r>
              <w:rPr>
                <w:color w:val="555555"/>
                <w:sz w:val="18"/>
                <w:szCs w:val="18"/>
              </w:rPr>
              <w:t xml:space="preserve">    •  Complete portfolio snapshot: all positions, weights, exposures, and risk metrics</w:t>
            </w:r>
          </w:p>
          <w:p w14:paraId="6550F1B5" w14:textId="77777777" w:rsidR="00EC7F1F" w:rsidRDefault="00000B03">
            <w:pPr>
              <w:spacing w:before="20" w:after="20"/>
            </w:pPr>
            <w:r>
              <w:rPr>
                <w:color w:val="555555"/>
                <w:sz w:val="18"/>
                <w:szCs w:val="18"/>
              </w:rPr>
              <w:t xml:space="preserve">    •  Gross, net, and beta-adjusted exposure levels vs. regime targets</w:t>
            </w:r>
          </w:p>
          <w:p w14:paraId="6D558FE2" w14:textId="77777777" w:rsidR="00EC7F1F" w:rsidRDefault="00000B03">
            <w:pPr>
              <w:spacing w:before="20" w:after="20"/>
            </w:pPr>
            <w:r>
              <w:rPr>
                <w:color w:val="555555"/>
                <w:sz w:val="18"/>
                <w:szCs w:val="18"/>
              </w:rPr>
              <w:lastRenderedPageBreak/>
              <w:t xml:space="preserve">    •  Constraint compliance report: pass/fail for all portfolio limits</w:t>
            </w:r>
          </w:p>
          <w:p w14:paraId="067DB6DC" w14:textId="77777777" w:rsidR="00EC7F1F" w:rsidRDefault="00000B03">
            <w:pPr>
              <w:spacing w:before="20" w:after="20"/>
            </w:pPr>
            <w:r>
              <w:rPr>
                <w:color w:val="555555"/>
                <w:sz w:val="18"/>
                <w:szCs w:val="18"/>
              </w:rPr>
              <w:t xml:space="preserve">    •  Rebalancing actions required (if any) with specific trade instructions</w:t>
            </w:r>
          </w:p>
          <w:p w14:paraId="1FDCBCA9" w14:textId="77777777" w:rsidR="00EC7F1F" w:rsidRDefault="00000B03">
            <w:pPr>
              <w:spacing w:before="20" w:after="20"/>
            </w:pPr>
            <w:r>
              <w:rPr>
                <w:color w:val="555555"/>
                <w:sz w:val="18"/>
                <w:szCs w:val="18"/>
              </w:rPr>
              <w:t xml:space="preserve">    •  Current drawdown level and corresponding protocol status</w:t>
            </w:r>
          </w:p>
        </w:tc>
      </w:tr>
    </w:tbl>
    <w:p w14:paraId="6136AA8C" w14:textId="77777777" w:rsidR="00EC7F1F" w:rsidRDefault="00000B03">
      <w:r>
        <w:lastRenderedPageBreak/>
        <w:br w:type="page"/>
      </w:r>
    </w:p>
    <w:p w14:paraId="09399833" w14:textId="77777777" w:rsidR="00EC7F1F" w:rsidRDefault="00000B03">
      <w:pPr>
        <w:pStyle w:val="Heading1"/>
      </w:pPr>
      <w:bookmarkStart w:id="50" w:name="_Toc224818149"/>
      <w:r>
        <w:lastRenderedPageBreak/>
        <w:t>Tier IV: Management &amp; Optimization</w:t>
      </w:r>
      <w:bookmarkEnd w:id="50"/>
    </w:p>
    <w:p w14:paraId="0190A01E" w14:textId="77777777" w:rsidR="00EC7F1F" w:rsidRDefault="00EC7F1F">
      <w:pPr>
        <w:pBdr>
          <w:bottom w:val="single" w:sz="4" w:space="1" w:color="3B7DD8"/>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C7F1F" w14:paraId="3CB86309" w14:textId="77777777">
        <w:tc>
          <w:tcPr>
            <w:tcW w:w="1200" w:type="dxa"/>
            <w:shd w:val="clear" w:color="auto" w:fill="1B2A4A"/>
            <w:tcMar>
              <w:top w:w="120" w:type="dxa"/>
              <w:left w:w="120" w:type="dxa"/>
              <w:bottom w:w="120" w:type="dxa"/>
              <w:right w:w="80" w:type="dxa"/>
            </w:tcMar>
            <w:vAlign w:val="center"/>
          </w:tcPr>
          <w:p w14:paraId="245B4C3B" w14:textId="77777777" w:rsidR="00EC7F1F" w:rsidRDefault="00000B03">
            <w:pPr>
              <w:jc w:val="center"/>
            </w:pPr>
            <w:r>
              <w:rPr>
                <w:b/>
                <w:bCs/>
                <w:color w:val="FFFFFF"/>
              </w:rPr>
              <w:t>PHASE 11</w:t>
            </w:r>
          </w:p>
        </w:tc>
        <w:tc>
          <w:tcPr>
            <w:tcW w:w="8160" w:type="dxa"/>
            <w:shd w:val="clear" w:color="auto" w:fill="D5E8F8"/>
            <w:tcMar>
              <w:top w:w="120" w:type="dxa"/>
              <w:left w:w="160" w:type="dxa"/>
              <w:bottom w:w="120" w:type="dxa"/>
              <w:right w:w="120" w:type="dxa"/>
            </w:tcMar>
            <w:vAlign w:val="center"/>
          </w:tcPr>
          <w:p w14:paraId="5D884927" w14:textId="77777777" w:rsidR="00EC7F1F" w:rsidRDefault="00000B03">
            <w:pPr>
              <w:spacing w:after="40"/>
            </w:pPr>
            <w:r>
              <w:rPr>
                <w:b/>
                <w:bCs/>
                <w:color w:val="1B2A4A"/>
                <w:sz w:val="26"/>
                <w:szCs w:val="26"/>
              </w:rPr>
              <w:t>Strategic Options Integration</w:t>
            </w:r>
          </w:p>
          <w:p w14:paraId="506B3AB7" w14:textId="77777777" w:rsidR="00EC7F1F" w:rsidRDefault="00000B03">
            <w:r>
              <w:rPr>
                <w:i/>
                <w:iCs/>
                <w:color w:val="2E5090"/>
                <w:sz w:val="20"/>
                <w:szCs w:val="20"/>
              </w:rPr>
              <w:t>Deploy options as portfolio enhancement tools for protection, income, and convexity</w:t>
            </w:r>
          </w:p>
        </w:tc>
      </w:tr>
    </w:tbl>
    <w:p w14:paraId="08BC20F9" w14:textId="77777777" w:rsidR="00EC7F1F" w:rsidRDefault="00000B03">
      <w:pPr>
        <w:spacing w:before="60" w:after="80"/>
      </w:pPr>
      <w:r>
        <w:rPr>
          <w:color w:val="333333"/>
        </w:rPr>
        <w:t>Options integration serves dual functions within the dual momentum framework: enhancing performance potential while providing targeted risk mitigation. Options are deployed as complementary instruments that amplify the existing methodology rather than as standalone speculative vehicles. Strategy selection is aligned with the Janus Factor regime classification and the implied volatility environment.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71153201" w14:textId="77777777">
        <w:tc>
          <w:tcPr>
            <w:tcW w:w="8400" w:type="dxa"/>
            <w:tcBorders>
              <w:top w:val="single" w:sz="2" w:space="0" w:color="2E5090"/>
              <w:left w:val="single" w:sz="6" w:space="0" w:color="2E5090"/>
              <w:bottom w:val="single" w:sz="2" w:space="0" w:color="2E5090"/>
              <w:right w:val="single" w:sz="2" w:space="0" w:color="2E5090"/>
            </w:tcBorders>
            <w:shd w:val="clear" w:color="auto" w:fill="EBF3FC"/>
            <w:tcMar>
              <w:top w:w="80" w:type="dxa"/>
              <w:left w:w="160" w:type="dxa"/>
              <w:bottom w:w="80" w:type="dxa"/>
              <w:right w:w="120" w:type="dxa"/>
            </w:tcMar>
          </w:tcPr>
          <w:p w14:paraId="3449959F" w14:textId="77777777" w:rsidR="00EC7F1F" w:rsidRDefault="00000B03">
            <w:pPr>
              <w:spacing w:after="60"/>
            </w:pPr>
            <w:r>
              <w:rPr>
                <w:b/>
                <w:bCs/>
                <w:color w:val="2E5090"/>
                <w:sz w:val="20"/>
                <w:szCs w:val="20"/>
              </w:rPr>
              <w:t>▶ Required Inputs</w:t>
            </w:r>
          </w:p>
          <w:p w14:paraId="05FDD233" w14:textId="77777777" w:rsidR="00EC7F1F" w:rsidRDefault="00000B03">
            <w:pPr>
              <w:spacing w:before="20" w:after="20"/>
            </w:pPr>
            <w:r>
              <w:rPr>
                <w:color w:val="555555"/>
                <w:sz w:val="18"/>
                <w:szCs w:val="18"/>
              </w:rPr>
              <w:t xml:space="preserve">    •  Phase 3 outputs: Regime classification (drives option strategy selection)</w:t>
            </w:r>
          </w:p>
          <w:p w14:paraId="7575B568" w14:textId="77777777" w:rsidR="00EC7F1F" w:rsidRDefault="00000B03">
            <w:pPr>
              <w:spacing w:before="20" w:after="20"/>
            </w:pPr>
            <w:r>
              <w:rPr>
                <w:color w:val="555555"/>
                <w:sz w:val="18"/>
                <w:szCs w:val="18"/>
              </w:rPr>
              <w:t xml:space="preserve">    •  Phase 10 outputs: Current portfolio positions, exposures, and risk metrics</w:t>
            </w:r>
          </w:p>
          <w:p w14:paraId="3FBD508A" w14:textId="77777777" w:rsidR="00EC7F1F" w:rsidRDefault="00000B03">
            <w:pPr>
              <w:spacing w:before="20" w:after="20"/>
            </w:pPr>
            <w:r>
              <w:rPr>
                <w:color w:val="555555"/>
                <w:sz w:val="18"/>
                <w:szCs w:val="18"/>
              </w:rPr>
              <w:t xml:space="preserve">    •  Implied volatility environment: VIX level, IV rank, and IV percentile for individual securities</w:t>
            </w:r>
          </w:p>
          <w:p w14:paraId="5CC79E6A" w14:textId="77777777" w:rsidR="00EC7F1F" w:rsidRDefault="00000B03">
            <w:pPr>
              <w:spacing w:before="20" w:after="20"/>
            </w:pPr>
            <w:r>
              <w:rPr>
                <w:color w:val="555555"/>
                <w:sz w:val="18"/>
                <w:szCs w:val="18"/>
              </w:rPr>
              <w:t xml:space="preserve">    •  Volatility term structure and skew data</w:t>
            </w:r>
          </w:p>
        </w:tc>
      </w:tr>
    </w:tbl>
    <w:p w14:paraId="552C46F9" w14:textId="77777777" w:rsidR="00EC7F1F" w:rsidRDefault="00EC7F1F">
      <w:pPr>
        <w:spacing w:before="120"/>
      </w:pPr>
    </w:p>
    <w:p w14:paraId="1EABACFB" w14:textId="77777777" w:rsidR="00EC7F1F" w:rsidRDefault="00000B03">
      <w:pPr>
        <w:pStyle w:val="Heading3"/>
      </w:pPr>
      <w:bookmarkStart w:id="51" w:name="_Toc224818150"/>
      <w:r>
        <w:t>Step 11.1: Assess the Implied Volatility Environment</w:t>
      </w:r>
      <w:bookmarkEnd w:id="51"/>
    </w:p>
    <w:p w14:paraId="3B17C997" w14:textId="77777777" w:rsidR="00EC7F1F" w:rsidRDefault="00000B03">
      <w:pPr>
        <w:pStyle w:val="ListParagraph"/>
        <w:numPr>
          <w:ilvl w:val="0"/>
          <w:numId w:val="6"/>
        </w:numPr>
        <w:spacing w:before="40" w:after="40"/>
      </w:pPr>
      <w:r>
        <w:rPr>
          <w:color w:val="333333"/>
        </w:rPr>
        <w:t>Classify the VIX environment: Low (&lt;30th percentile), Normal (30th–70th), High (&gt;70th percentile) relative to the trailing 12-month range</w:t>
      </w:r>
    </w:p>
    <w:p w14:paraId="1A9D665F" w14:textId="77777777" w:rsidR="00EC7F1F" w:rsidRDefault="00000B03">
      <w:pPr>
        <w:pStyle w:val="ListParagraph"/>
        <w:numPr>
          <w:ilvl w:val="0"/>
          <w:numId w:val="6"/>
        </w:numPr>
        <w:spacing w:before="40" w:after="40"/>
      </w:pPr>
      <w:r>
        <w:rPr>
          <w:color w:val="333333"/>
        </w:rPr>
        <w:t>Evaluate the volatility term structure: contango (normal, front-month &lt; back-month) vs. backwardation (elevated fear, front &gt; back)</w:t>
      </w:r>
    </w:p>
    <w:p w14:paraId="236D0D0D" w14:textId="77777777" w:rsidR="00EC7F1F" w:rsidRDefault="00000B03">
      <w:pPr>
        <w:pStyle w:val="ListParagraph"/>
        <w:numPr>
          <w:ilvl w:val="0"/>
          <w:numId w:val="6"/>
        </w:numPr>
        <w:spacing w:before="40" w:after="40"/>
      </w:pPr>
      <w:r>
        <w:rPr>
          <w:color w:val="333333"/>
        </w:rPr>
        <w:t>Calculate IV rank and IV percentile for individual securities in the portfolio</w:t>
      </w:r>
    </w:p>
    <w:p w14:paraId="299A6A97" w14:textId="77777777" w:rsidR="00EC7F1F" w:rsidRDefault="00000B03">
      <w:pPr>
        <w:pStyle w:val="Heading3"/>
      </w:pPr>
      <w:bookmarkStart w:id="52" w:name="_Toc224818151"/>
      <w:r>
        <w:t>Step 11.2: Select Regime-Aligned Option Strategies</w:t>
      </w:r>
      <w:bookmarkEnd w:id="52"/>
    </w:p>
    <w:p w14:paraId="23F7E58B" w14:textId="77777777" w:rsidR="00EC7F1F" w:rsidRDefault="00000B03">
      <w:pPr>
        <w:spacing w:before="60" w:after="80"/>
      </w:pPr>
      <w:r>
        <w:rPr>
          <w:b/>
          <w:bCs/>
          <w:color w:val="333333"/>
        </w:rPr>
        <w:t>High IV + Expanding Regime: Premium selling bias. Covered calls, cash-secured puts, iron condors on range-bound names.</w:t>
      </w:r>
    </w:p>
    <w:p w14:paraId="782DD24B" w14:textId="77777777" w:rsidR="00EC7F1F" w:rsidRDefault="00000B03">
      <w:pPr>
        <w:spacing w:before="60" w:after="80"/>
      </w:pPr>
      <w:r>
        <w:rPr>
          <w:b/>
          <w:bCs/>
          <w:color w:val="333333"/>
        </w:rPr>
        <w:t>High IV + Contracting Regime: Protective bias. Index put spreads, VIX call spreads, single-name put protection.</w:t>
      </w:r>
    </w:p>
    <w:p w14:paraId="10E98E6C" w14:textId="77777777" w:rsidR="00EC7F1F" w:rsidRDefault="00000B03">
      <w:pPr>
        <w:spacing w:before="60" w:after="80"/>
      </w:pPr>
      <w:r>
        <w:rPr>
          <w:b/>
          <w:bCs/>
          <w:color w:val="333333"/>
        </w:rPr>
        <w:t>Low IV + Expanding Regime: Long convexity bias. Call options/spreads on strongest momentum names, risk reversals on highest conviction.</w:t>
      </w:r>
    </w:p>
    <w:p w14:paraId="6B096C6B" w14:textId="77777777" w:rsidR="00EC7F1F" w:rsidRDefault="00000B03">
      <w:pPr>
        <w:spacing w:before="60" w:after="80"/>
      </w:pPr>
      <w:r>
        <w:rPr>
          <w:b/>
          <w:bCs/>
          <w:color w:val="333333"/>
        </w:rPr>
        <w:t>Low IV + Contracting Regime: Straddles/strangles on securities at technical inflection points, calendar spreads.</w:t>
      </w:r>
    </w:p>
    <w:p w14:paraId="639144FF" w14:textId="77777777" w:rsidR="00EC7F1F" w:rsidRDefault="00000B03">
      <w:pPr>
        <w:pStyle w:val="Heading3"/>
      </w:pPr>
      <w:bookmarkStart w:id="53" w:name="_Toc224818152"/>
      <w:r>
        <w:t>Step 11.3: Implement the Three-Phase Options Program</w:t>
      </w:r>
      <w:bookmarkEnd w:id="53"/>
    </w:p>
    <w:p w14:paraId="5710DBB4" w14:textId="77777777" w:rsidR="00EC7F1F" w:rsidRDefault="00000B03">
      <w:pPr>
        <w:pStyle w:val="ListParagraph"/>
        <w:numPr>
          <w:ilvl w:val="0"/>
          <w:numId w:val="7"/>
        </w:numPr>
        <w:spacing w:before="40" w:after="40"/>
      </w:pPr>
      <w:r>
        <w:rPr>
          <w:color w:val="333333"/>
        </w:rPr>
        <w:t>Phase A – Protection: Index put spreads, single-name protection on largest positions, VIX hedges. Budget: 0.5–1.5% of portfolio per quarter.</w:t>
      </w:r>
    </w:p>
    <w:p w14:paraId="3CC965E7" w14:textId="77777777" w:rsidR="00EC7F1F" w:rsidRDefault="00000B03">
      <w:pPr>
        <w:pStyle w:val="ListParagraph"/>
        <w:numPr>
          <w:ilvl w:val="0"/>
          <w:numId w:val="7"/>
        </w:numPr>
        <w:spacing w:before="40" w:after="40"/>
      </w:pPr>
      <w:r>
        <w:rPr>
          <w:color w:val="333333"/>
        </w:rPr>
        <w:t>Phase B – Income Enhancement: Covered calls on decelerating momentum names, cash-secured puts at technical support. Target: offset 50–75% of protection costs.</w:t>
      </w:r>
    </w:p>
    <w:p w14:paraId="15571CC5" w14:textId="77777777" w:rsidR="00EC7F1F" w:rsidRDefault="00000B03">
      <w:pPr>
        <w:pStyle w:val="ListParagraph"/>
        <w:numPr>
          <w:ilvl w:val="0"/>
          <w:numId w:val="7"/>
        </w:numPr>
        <w:spacing w:before="40" w:after="40"/>
      </w:pPr>
      <w:r>
        <w:rPr>
          <w:color w:val="333333"/>
        </w:rPr>
        <w:t>Phase C – Opportunistic Volatility: Earnings plays, skew exploitation, asymmetric risk/reward structures. Limited to 1–2% of portfolio in total premium.</w:t>
      </w:r>
    </w:p>
    <w:p w14:paraId="49F780D7" w14:textId="77777777" w:rsidR="00EC7F1F" w:rsidRDefault="00000B03">
      <w:pPr>
        <w:pStyle w:val="Heading3"/>
      </w:pPr>
      <w:bookmarkStart w:id="54" w:name="_Toc224818153"/>
      <w:r>
        <w:t>Step 11.4: Size and Manage Option Positions</w:t>
      </w:r>
      <w:bookmarkEnd w:id="54"/>
    </w:p>
    <w:p w14:paraId="371698B0" w14:textId="77777777" w:rsidR="00EC7F1F" w:rsidRDefault="00000B03">
      <w:pPr>
        <w:pStyle w:val="ListParagraph"/>
        <w:numPr>
          <w:ilvl w:val="0"/>
          <w:numId w:val="8"/>
        </w:numPr>
        <w:spacing w:before="40" w:after="40"/>
      </w:pPr>
      <w:r>
        <w:rPr>
          <w:color w:val="333333"/>
        </w:rPr>
        <w:t>Notional method: Option Position Size = Maximum Security Position Size × (Delta / 100)</w:t>
      </w:r>
    </w:p>
    <w:p w14:paraId="78EC76F2" w14:textId="77777777" w:rsidR="00EC7F1F" w:rsidRDefault="00000B03">
      <w:pPr>
        <w:pStyle w:val="ListParagraph"/>
        <w:numPr>
          <w:ilvl w:val="0"/>
          <w:numId w:val="8"/>
        </w:numPr>
        <w:spacing w:before="40" w:after="40"/>
      </w:pPr>
      <w:r>
        <w:rPr>
          <w:color w:val="333333"/>
        </w:rPr>
        <w:lastRenderedPageBreak/>
        <w:t>Risk-based method: Option Position Size = (Portfolio Equity × Max Risk %) / Maximum Option Loss</w:t>
      </w:r>
    </w:p>
    <w:p w14:paraId="229C080B" w14:textId="77777777" w:rsidR="00EC7F1F" w:rsidRDefault="00000B03">
      <w:pPr>
        <w:pStyle w:val="ListParagraph"/>
        <w:numPr>
          <w:ilvl w:val="0"/>
          <w:numId w:val="8"/>
        </w:numPr>
        <w:spacing w:before="40" w:after="40"/>
      </w:pPr>
      <w:r>
        <w:rPr>
          <w:color w:val="333333"/>
        </w:rPr>
        <w:t>Monitor aggregate Greek exposures: total portfolio delta, gamma, theta, and vega</w:t>
      </w:r>
    </w:p>
    <w:p w14:paraId="56ED57A6" w14:textId="77777777" w:rsidR="00EC7F1F" w:rsidRDefault="00000B03">
      <w:pPr>
        <w:pStyle w:val="ListParagraph"/>
        <w:numPr>
          <w:ilvl w:val="0"/>
          <w:numId w:val="8"/>
        </w:numPr>
        <w:spacing w:before="40" w:after="40"/>
      </w:pPr>
      <w:r>
        <w:rPr>
          <w:color w:val="333333"/>
        </w:rPr>
        <w:t>Establish adjustment triggers: roll, close, or adjust when delta exceeds target by 20%, when time value decays to 30% of initial premium, or when the underlying violates a technical level</w:t>
      </w:r>
    </w:p>
    <w:p w14:paraId="6A486A59" w14:textId="77777777" w:rsidR="00EC7F1F" w:rsidRDefault="00EC7F1F">
      <w:pPr>
        <w:spacing w:before="1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5DF9D4AE" w14:textId="77777777">
        <w:tc>
          <w:tcPr>
            <w:tcW w:w="8400" w:type="dxa"/>
            <w:tcBorders>
              <w:top w:val="single" w:sz="2" w:space="0" w:color="2E7D32"/>
              <w:left w:val="single" w:sz="6" w:space="0" w:color="2E7D32"/>
              <w:bottom w:val="single" w:sz="2" w:space="0" w:color="2E7D32"/>
              <w:right w:val="single" w:sz="2" w:space="0" w:color="2E7D32"/>
            </w:tcBorders>
            <w:shd w:val="clear" w:color="auto" w:fill="E8F5E9"/>
            <w:tcMar>
              <w:top w:w="80" w:type="dxa"/>
              <w:left w:w="160" w:type="dxa"/>
              <w:bottom w:w="80" w:type="dxa"/>
              <w:right w:w="120" w:type="dxa"/>
            </w:tcMar>
          </w:tcPr>
          <w:p w14:paraId="7724B983" w14:textId="77777777" w:rsidR="00EC7F1F" w:rsidRDefault="00000B03">
            <w:pPr>
              <w:spacing w:after="60"/>
            </w:pPr>
            <w:r>
              <w:rPr>
                <w:b/>
                <w:bCs/>
                <w:color w:val="2E7D32"/>
                <w:sz w:val="20"/>
                <w:szCs w:val="20"/>
              </w:rPr>
              <w:t>✓ Phase 11 Outputs</w:t>
            </w:r>
          </w:p>
          <w:p w14:paraId="56EDC6FB" w14:textId="77777777" w:rsidR="00EC7F1F" w:rsidRDefault="00000B03">
            <w:pPr>
              <w:spacing w:before="20" w:after="20"/>
            </w:pPr>
            <w:r>
              <w:rPr>
                <w:color w:val="555555"/>
                <w:sz w:val="18"/>
                <w:szCs w:val="18"/>
              </w:rPr>
              <w:t xml:space="preserve">    •  Active options positions with strategy type, strikes, expirations, and Greeks</w:t>
            </w:r>
          </w:p>
          <w:p w14:paraId="7AF776B4" w14:textId="77777777" w:rsidR="00EC7F1F" w:rsidRDefault="00000B03">
            <w:pPr>
              <w:spacing w:before="20" w:after="20"/>
            </w:pPr>
            <w:r>
              <w:rPr>
                <w:color w:val="555555"/>
                <w:sz w:val="18"/>
                <w:szCs w:val="18"/>
              </w:rPr>
              <w:t xml:space="preserve">    •  Protection coverage level: percentage of portfolio beta hedged</w:t>
            </w:r>
          </w:p>
          <w:p w14:paraId="0291CA56" w14:textId="77777777" w:rsidR="00EC7F1F" w:rsidRDefault="00000B03">
            <w:pPr>
              <w:spacing w:before="20" w:after="20"/>
            </w:pPr>
            <w:r>
              <w:rPr>
                <w:color w:val="555555"/>
                <w:sz w:val="18"/>
                <w:szCs w:val="18"/>
              </w:rPr>
              <w:t xml:space="preserve">    •  Net premium spent/received for the options program</w:t>
            </w:r>
          </w:p>
          <w:p w14:paraId="2E0BEAC8" w14:textId="77777777" w:rsidR="00EC7F1F" w:rsidRDefault="00000B03">
            <w:pPr>
              <w:spacing w:before="20" w:after="20"/>
            </w:pPr>
            <w:r>
              <w:rPr>
                <w:color w:val="555555"/>
                <w:sz w:val="18"/>
                <w:szCs w:val="18"/>
              </w:rPr>
              <w:t xml:space="preserve">    •  Aggregate Greek exposure report (delta, gamma, theta, vega)</w:t>
            </w:r>
          </w:p>
          <w:p w14:paraId="1A3AD493" w14:textId="77777777" w:rsidR="00EC7F1F" w:rsidRDefault="00000B03">
            <w:pPr>
              <w:spacing w:before="20" w:after="20"/>
            </w:pPr>
            <w:r>
              <w:rPr>
                <w:color w:val="555555"/>
                <w:sz w:val="18"/>
                <w:szCs w:val="18"/>
              </w:rPr>
              <w:t xml:space="preserve">    •  Adjustment triggers and management protocols for each option position</w:t>
            </w:r>
          </w:p>
        </w:tc>
      </w:tr>
    </w:tbl>
    <w:p w14:paraId="546109C6" w14:textId="77777777" w:rsidR="00EC7F1F" w:rsidRDefault="00000B03">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EC7F1F" w14:paraId="6FEAF514" w14:textId="77777777">
        <w:tc>
          <w:tcPr>
            <w:tcW w:w="1200" w:type="dxa"/>
            <w:shd w:val="clear" w:color="auto" w:fill="1B2A4A"/>
            <w:tcMar>
              <w:top w:w="120" w:type="dxa"/>
              <w:left w:w="120" w:type="dxa"/>
              <w:bottom w:w="120" w:type="dxa"/>
              <w:right w:w="80" w:type="dxa"/>
            </w:tcMar>
            <w:vAlign w:val="center"/>
          </w:tcPr>
          <w:p w14:paraId="29C0E6B8" w14:textId="77777777" w:rsidR="00EC7F1F" w:rsidRDefault="00000B03">
            <w:pPr>
              <w:jc w:val="center"/>
            </w:pPr>
            <w:r>
              <w:rPr>
                <w:b/>
                <w:bCs/>
                <w:color w:val="FFFFFF"/>
              </w:rPr>
              <w:lastRenderedPageBreak/>
              <w:t>PHASE 12</w:t>
            </w:r>
          </w:p>
        </w:tc>
        <w:tc>
          <w:tcPr>
            <w:tcW w:w="8160" w:type="dxa"/>
            <w:shd w:val="clear" w:color="auto" w:fill="D5E8F8"/>
            <w:tcMar>
              <w:top w:w="120" w:type="dxa"/>
              <w:left w:w="160" w:type="dxa"/>
              <w:bottom w:w="120" w:type="dxa"/>
              <w:right w:w="120" w:type="dxa"/>
            </w:tcMar>
            <w:vAlign w:val="center"/>
          </w:tcPr>
          <w:p w14:paraId="685FE8FF" w14:textId="77777777" w:rsidR="00EC7F1F" w:rsidRDefault="00000B03">
            <w:pPr>
              <w:spacing w:after="40"/>
            </w:pPr>
            <w:r>
              <w:rPr>
                <w:b/>
                <w:bCs/>
                <w:color w:val="1B2A4A"/>
                <w:sz w:val="26"/>
                <w:szCs w:val="26"/>
              </w:rPr>
              <w:t>Performance Monitoring, Diagnostics &amp; Continuous Improvement</w:t>
            </w:r>
          </w:p>
          <w:p w14:paraId="427A7BC4" w14:textId="77777777" w:rsidR="00EC7F1F" w:rsidRDefault="00000B03">
            <w:r>
              <w:rPr>
                <w:i/>
                <w:iCs/>
                <w:color w:val="2E5090"/>
                <w:sz w:val="20"/>
                <w:szCs w:val="20"/>
              </w:rPr>
              <w:t>Evaluate portfolio performance, diagnose issues, and implement systematic improvements</w:t>
            </w:r>
          </w:p>
        </w:tc>
      </w:tr>
    </w:tbl>
    <w:p w14:paraId="23C8E92B" w14:textId="77777777" w:rsidR="00EC7F1F" w:rsidRDefault="00000B03">
      <w:pPr>
        <w:spacing w:before="60" w:after="80"/>
      </w:pPr>
      <w:r>
        <w:rPr>
          <w:color w:val="333333"/>
        </w:rPr>
        <w:t>Performance monitoring and diagnostic methodology provide the feedback loop essential for systematic improvement. This phase combines quantitative performance measurement with structured diagnostic frameworks to identify performance issues early, attribute returns to their sources, and implement evidence-based improvements.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52F823ED" w14:textId="77777777">
        <w:tc>
          <w:tcPr>
            <w:tcW w:w="8400" w:type="dxa"/>
            <w:tcBorders>
              <w:top w:val="single" w:sz="2" w:space="0" w:color="2E5090"/>
              <w:left w:val="single" w:sz="6" w:space="0" w:color="2E5090"/>
              <w:bottom w:val="single" w:sz="2" w:space="0" w:color="2E5090"/>
              <w:right w:val="single" w:sz="2" w:space="0" w:color="2E5090"/>
            </w:tcBorders>
            <w:shd w:val="clear" w:color="auto" w:fill="EBF3FC"/>
            <w:tcMar>
              <w:top w:w="80" w:type="dxa"/>
              <w:left w:w="160" w:type="dxa"/>
              <w:bottom w:w="80" w:type="dxa"/>
              <w:right w:w="120" w:type="dxa"/>
            </w:tcMar>
          </w:tcPr>
          <w:p w14:paraId="6DA5D57C" w14:textId="77777777" w:rsidR="00EC7F1F" w:rsidRDefault="00000B03">
            <w:pPr>
              <w:spacing w:after="60"/>
            </w:pPr>
            <w:r>
              <w:rPr>
                <w:b/>
                <w:bCs/>
                <w:color w:val="2E5090"/>
                <w:sz w:val="20"/>
                <w:szCs w:val="20"/>
              </w:rPr>
              <w:t>▶ Required Inputs</w:t>
            </w:r>
          </w:p>
          <w:p w14:paraId="0DFBDF1A" w14:textId="77777777" w:rsidR="00EC7F1F" w:rsidRDefault="00000B03">
            <w:pPr>
              <w:spacing w:before="20" w:after="20"/>
            </w:pPr>
            <w:r>
              <w:rPr>
                <w:color w:val="555555"/>
                <w:sz w:val="18"/>
                <w:szCs w:val="18"/>
              </w:rPr>
              <w:t xml:space="preserve">    •  Daily portfolio returns, benchmark returns, and risk-free rate</w:t>
            </w:r>
          </w:p>
          <w:p w14:paraId="12AA8EE3" w14:textId="77777777" w:rsidR="00EC7F1F" w:rsidRDefault="00000B03">
            <w:pPr>
              <w:spacing w:before="20" w:after="20"/>
            </w:pPr>
            <w:r>
              <w:rPr>
                <w:color w:val="555555"/>
                <w:sz w:val="18"/>
                <w:szCs w:val="18"/>
              </w:rPr>
              <w:t xml:space="preserve">    •  Complete trade log with entry/exit data, P&amp;L, and holding periods</w:t>
            </w:r>
          </w:p>
          <w:p w14:paraId="343854E9" w14:textId="77777777" w:rsidR="00EC7F1F" w:rsidRDefault="00000B03">
            <w:pPr>
              <w:spacing w:before="20" w:after="20"/>
            </w:pPr>
            <w:r>
              <w:rPr>
                <w:color w:val="555555"/>
                <w:sz w:val="18"/>
                <w:szCs w:val="18"/>
              </w:rPr>
              <w:t xml:space="preserve">    •  Factor exposure data, sector contribution analysis</w:t>
            </w:r>
          </w:p>
          <w:p w14:paraId="701E3C31" w14:textId="77777777" w:rsidR="00EC7F1F" w:rsidRDefault="00000B03">
            <w:pPr>
              <w:spacing w:before="20" w:after="20"/>
            </w:pPr>
            <w:r>
              <w:rPr>
                <w:color w:val="555555"/>
                <w:sz w:val="18"/>
                <w:szCs w:val="18"/>
              </w:rPr>
              <w:t xml:space="preserve">    •  Regime indicator readings (Janus Factor Spread) over the evaluation period</w:t>
            </w:r>
          </w:p>
        </w:tc>
      </w:tr>
    </w:tbl>
    <w:p w14:paraId="14872C2B" w14:textId="77777777" w:rsidR="00EC7F1F" w:rsidRDefault="00EC7F1F">
      <w:pPr>
        <w:spacing w:before="120"/>
      </w:pPr>
    </w:p>
    <w:p w14:paraId="20B624C5" w14:textId="77777777" w:rsidR="00EC7F1F" w:rsidRDefault="00000B03">
      <w:pPr>
        <w:pStyle w:val="Heading3"/>
      </w:pPr>
      <w:bookmarkStart w:id="55" w:name="_Toc224818154"/>
      <w:r>
        <w:t>Step 12.1: Calculate Core Performance Metrics</w:t>
      </w:r>
      <w:bookmarkEnd w:id="55"/>
    </w:p>
    <w:p w14:paraId="06AD676C" w14:textId="77777777" w:rsidR="00EC7F1F" w:rsidRDefault="00000B03">
      <w:pPr>
        <w:pStyle w:val="ListParagraph"/>
        <w:numPr>
          <w:ilvl w:val="0"/>
          <w:numId w:val="9"/>
        </w:numPr>
        <w:spacing w:before="40" w:after="40"/>
      </w:pPr>
      <w:r>
        <w:rPr>
          <w:color w:val="333333"/>
        </w:rPr>
        <w:t>Return Metrics: Total return, CAGR, average monthly return, best/worst month, percentage of positive months</w:t>
      </w:r>
    </w:p>
    <w:p w14:paraId="45654325" w14:textId="77777777" w:rsidR="00EC7F1F" w:rsidRDefault="00000B03">
      <w:pPr>
        <w:pStyle w:val="ListParagraph"/>
        <w:numPr>
          <w:ilvl w:val="0"/>
          <w:numId w:val="9"/>
        </w:numPr>
        <w:spacing w:before="40" w:after="40"/>
      </w:pPr>
      <w:r>
        <w:rPr>
          <w:color w:val="333333"/>
        </w:rPr>
        <w:t>Risk Metrics: Annualized volatility, maximum drawdown, average drawdown, drawdown duration</w:t>
      </w:r>
    </w:p>
    <w:p w14:paraId="58CDC306" w14:textId="77777777" w:rsidR="00EC7F1F" w:rsidRDefault="00000B03">
      <w:pPr>
        <w:pStyle w:val="ListParagraph"/>
        <w:numPr>
          <w:ilvl w:val="0"/>
          <w:numId w:val="9"/>
        </w:numPr>
        <w:spacing w:before="40" w:after="40"/>
      </w:pPr>
      <w:r>
        <w:rPr>
          <w:color w:val="333333"/>
        </w:rPr>
        <w:t>Risk-Adjusted Metrics: Sharpe ratio, Sortino ratio, Calmar ratio, Information ratio</w:t>
      </w:r>
    </w:p>
    <w:p w14:paraId="68BF9C30" w14:textId="77777777" w:rsidR="00EC7F1F" w:rsidRDefault="00000B03">
      <w:pPr>
        <w:pStyle w:val="ListParagraph"/>
        <w:numPr>
          <w:ilvl w:val="0"/>
          <w:numId w:val="9"/>
        </w:numPr>
        <w:spacing w:before="40" w:after="40"/>
      </w:pPr>
      <w:r>
        <w:rPr>
          <w:color w:val="333333"/>
        </w:rPr>
        <w:t>Alpha and Beta: Regression alpha vs. benchmark, portfolio beta, up-capture and down-capture ratios</w:t>
      </w:r>
    </w:p>
    <w:p w14:paraId="19D7C391" w14:textId="77777777" w:rsidR="00EC7F1F" w:rsidRDefault="00000B03">
      <w:pPr>
        <w:spacing w:before="40" w:after="60"/>
        <w:ind w:left="720"/>
      </w:pPr>
      <w:r>
        <w:rPr>
          <w:i/>
          <w:iCs/>
          <w:color w:val="777777"/>
          <w:sz w:val="18"/>
          <w:szCs w:val="18"/>
        </w:rPr>
        <w:t>Bacon (2013), Practical Portfolio Performance Measurement and Attribution</w:t>
      </w:r>
    </w:p>
    <w:p w14:paraId="05765B42" w14:textId="77777777" w:rsidR="00EC7F1F" w:rsidRDefault="00000B03">
      <w:pPr>
        <w:pStyle w:val="Heading3"/>
      </w:pPr>
      <w:bookmarkStart w:id="56" w:name="_Toc224818155"/>
      <w:r>
        <w:t>Step 12.2: Conduct Drawdown Analysis</w:t>
      </w:r>
      <w:bookmarkEnd w:id="56"/>
    </w:p>
    <w:p w14:paraId="2897B4B1" w14:textId="77777777" w:rsidR="00EC7F1F" w:rsidRDefault="00000B03">
      <w:pPr>
        <w:pStyle w:val="ListParagraph"/>
        <w:numPr>
          <w:ilvl w:val="0"/>
          <w:numId w:val="10"/>
        </w:numPr>
        <w:spacing w:before="40" w:after="40"/>
      </w:pPr>
      <w:r>
        <w:rPr>
          <w:color w:val="333333"/>
        </w:rPr>
        <w:t>Calculate the current drawdown depth and duration relative to historical averages</w:t>
      </w:r>
    </w:p>
    <w:p w14:paraId="5EFBA93D" w14:textId="77777777" w:rsidR="00EC7F1F" w:rsidRDefault="00000B03">
      <w:pPr>
        <w:pStyle w:val="ListParagraph"/>
        <w:numPr>
          <w:ilvl w:val="0"/>
          <w:numId w:val="10"/>
        </w:numPr>
        <w:spacing w:before="40" w:after="40"/>
      </w:pPr>
      <w:r>
        <w:rPr>
          <w:color w:val="333333"/>
        </w:rPr>
        <w:t>Decompose drawdown into systematic (market/factor) and idiosyncratic (security-specific) components</w:t>
      </w:r>
    </w:p>
    <w:p w14:paraId="7798792D" w14:textId="77777777" w:rsidR="00EC7F1F" w:rsidRDefault="00000B03">
      <w:pPr>
        <w:pStyle w:val="ListParagraph"/>
        <w:numPr>
          <w:ilvl w:val="0"/>
          <w:numId w:val="10"/>
        </w:numPr>
        <w:spacing w:before="40" w:after="40"/>
      </w:pPr>
      <w:r>
        <w:rPr>
          <w:color w:val="333333"/>
        </w:rPr>
        <w:t>Compare recovery trajectory to historical recovery patterns</w:t>
      </w:r>
    </w:p>
    <w:p w14:paraId="2F6DA265" w14:textId="77777777" w:rsidR="00EC7F1F" w:rsidRDefault="00000B03">
      <w:pPr>
        <w:pStyle w:val="ListParagraph"/>
        <w:numPr>
          <w:ilvl w:val="0"/>
          <w:numId w:val="10"/>
        </w:numPr>
        <w:spacing w:before="40" w:after="40"/>
      </w:pPr>
      <w:r>
        <w:rPr>
          <w:color w:val="333333"/>
        </w:rPr>
        <w:t>Trigger the appropriate drawdown response protocol if thresholds are breached (see Phase 10, Step 10.4)</w:t>
      </w:r>
    </w:p>
    <w:p w14:paraId="1BFBB783" w14:textId="77777777" w:rsidR="00EC7F1F" w:rsidRDefault="00000B03">
      <w:pPr>
        <w:pStyle w:val="Heading3"/>
      </w:pPr>
      <w:bookmarkStart w:id="57" w:name="_Toc224818156"/>
      <w:r>
        <w:t>Step 12.3: Perform Process Diagnostics</w:t>
      </w:r>
      <w:bookmarkEnd w:id="57"/>
    </w:p>
    <w:p w14:paraId="22BBE69F" w14:textId="77777777" w:rsidR="00EC7F1F" w:rsidRDefault="00000B03">
      <w:pPr>
        <w:pStyle w:val="ListParagraph"/>
        <w:numPr>
          <w:ilvl w:val="0"/>
          <w:numId w:val="11"/>
        </w:numPr>
        <w:spacing w:before="40" w:after="40"/>
      </w:pPr>
      <w:r>
        <w:rPr>
          <w:color w:val="333333"/>
        </w:rPr>
        <w:t>Signal Quality: Calculate Signal Information Coefficient (IC). Expected range: 0.05–0.10. Diagnostic threshold: IC &lt; 0.03.</w:t>
      </w:r>
    </w:p>
    <w:p w14:paraId="1D8B26EC" w14:textId="77777777" w:rsidR="00EC7F1F" w:rsidRDefault="00000B03">
      <w:pPr>
        <w:pStyle w:val="ListParagraph"/>
        <w:numPr>
          <w:ilvl w:val="0"/>
          <w:numId w:val="11"/>
        </w:numPr>
        <w:spacing w:before="40" w:after="40"/>
      </w:pPr>
      <w:r>
        <w:rPr>
          <w:color w:val="333333"/>
        </w:rPr>
        <w:t>Signal Transfer: Measure Signal Transfer Coefficient. Expected: &gt;0.75. Diagnostic threshold: &lt;0.60.</w:t>
      </w:r>
    </w:p>
    <w:p w14:paraId="7E60F84F" w14:textId="77777777" w:rsidR="00EC7F1F" w:rsidRDefault="00000B03">
      <w:pPr>
        <w:pStyle w:val="ListParagraph"/>
        <w:numPr>
          <w:ilvl w:val="0"/>
          <w:numId w:val="11"/>
        </w:numPr>
        <w:spacing w:before="40" w:after="40"/>
      </w:pPr>
      <w:r>
        <w:rPr>
          <w:color w:val="333333"/>
        </w:rPr>
        <w:t>Implementation Quality: Calculate implementation shortfall. Diagnostic threshold: deterioration &gt;15% from baseline.</w:t>
      </w:r>
    </w:p>
    <w:p w14:paraId="6922E0F6" w14:textId="77777777" w:rsidR="00EC7F1F" w:rsidRDefault="00000B03">
      <w:pPr>
        <w:pStyle w:val="ListParagraph"/>
        <w:numPr>
          <w:ilvl w:val="0"/>
          <w:numId w:val="11"/>
        </w:numPr>
        <w:spacing w:before="40" w:after="40"/>
      </w:pPr>
      <w:r>
        <w:rPr>
          <w:color w:val="333333"/>
        </w:rPr>
        <w:t>Regime Alignment: Verify that strategy tilts match the identified regime. Diagnostic threshold: alignment below 60% for multiple periods.</w:t>
      </w:r>
    </w:p>
    <w:p w14:paraId="7A1D3DB7" w14:textId="77777777" w:rsidR="00EC7F1F" w:rsidRDefault="00000B03">
      <w:pPr>
        <w:pStyle w:val="ListParagraph"/>
        <w:numPr>
          <w:ilvl w:val="0"/>
          <w:numId w:val="11"/>
        </w:numPr>
        <w:spacing w:before="40" w:after="40"/>
      </w:pPr>
      <w:r>
        <w:rPr>
          <w:color w:val="333333"/>
        </w:rPr>
        <w:t>Janus Factor Validation: Confirm correlation between Spread direction and factor performance. Expected: &gt;0.6. Diagnostic threshold: &lt;0.4.</w:t>
      </w:r>
    </w:p>
    <w:p w14:paraId="4ED59B74" w14:textId="77777777" w:rsidR="00EC7F1F" w:rsidRDefault="00000B03">
      <w:pPr>
        <w:pStyle w:val="Heading3"/>
      </w:pPr>
      <w:bookmarkStart w:id="58" w:name="_Toc224818157"/>
      <w:r>
        <w:t>Step 12.4: Implement the Diagnostic Escalation Protocol</w:t>
      </w:r>
      <w:bookmarkEnd w:id="58"/>
    </w:p>
    <w:p w14:paraId="73B98249" w14:textId="77777777" w:rsidR="00EC7F1F" w:rsidRDefault="00000B03">
      <w:pPr>
        <w:pStyle w:val="ListParagraph"/>
        <w:numPr>
          <w:ilvl w:val="0"/>
          <w:numId w:val="12"/>
        </w:numPr>
        <w:spacing w:before="40" w:after="40"/>
      </w:pPr>
      <w:r>
        <w:rPr>
          <w:color w:val="333333"/>
        </w:rPr>
        <w:lastRenderedPageBreak/>
        <w:t>Level 1 (Monitoring): Performance within normal parameters. Continue standard operations. Weekly review cycle.</w:t>
      </w:r>
    </w:p>
    <w:p w14:paraId="2EC81FDC" w14:textId="77777777" w:rsidR="00EC7F1F" w:rsidRDefault="00000B03">
      <w:pPr>
        <w:pStyle w:val="ListParagraph"/>
        <w:numPr>
          <w:ilvl w:val="0"/>
          <w:numId w:val="12"/>
        </w:numPr>
        <w:spacing w:before="40" w:after="40"/>
      </w:pPr>
      <w:r>
        <w:rPr>
          <w:color w:val="333333"/>
        </w:rPr>
        <w:t>Level 2 (Investigation): One or more metrics approaching diagnostic thresholds. Increase monitoring frequency. Investigate potential causes.</w:t>
      </w:r>
    </w:p>
    <w:p w14:paraId="4E7AFFA1" w14:textId="77777777" w:rsidR="00EC7F1F" w:rsidRDefault="00000B03">
      <w:pPr>
        <w:pStyle w:val="ListParagraph"/>
        <w:numPr>
          <w:ilvl w:val="0"/>
          <w:numId w:val="12"/>
        </w:numPr>
        <w:spacing w:before="40" w:after="40"/>
      </w:pPr>
      <w:r>
        <w:rPr>
          <w:color w:val="333333"/>
        </w:rPr>
        <w:t>Level 3 (Intervention): Multiple metrics breaching thresholds simultaneously. Reduce risk exposure. Conduct comprehensive strategy review.</w:t>
      </w:r>
    </w:p>
    <w:p w14:paraId="5FADB2FB" w14:textId="77777777" w:rsidR="00EC7F1F" w:rsidRDefault="00000B03">
      <w:pPr>
        <w:pStyle w:val="ListParagraph"/>
        <w:numPr>
          <w:ilvl w:val="0"/>
          <w:numId w:val="12"/>
        </w:numPr>
        <w:spacing w:before="40" w:after="40"/>
      </w:pPr>
      <w:r>
        <w:rPr>
          <w:color w:val="333333"/>
        </w:rPr>
        <w:t>Level 4 (Reset): Persistent underperformance with identified structural cause. Implement parameter recalibration or strategy modification. Paper-trade modifications before redeploying capital.</w:t>
      </w:r>
    </w:p>
    <w:p w14:paraId="25B82BD0" w14:textId="77777777" w:rsidR="00EC7F1F" w:rsidRDefault="00000B03">
      <w:pPr>
        <w:pStyle w:val="Heading3"/>
      </w:pPr>
      <w:bookmarkStart w:id="59" w:name="_Toc224818158"/>
      <w:r>
        <w:t>Step 12.5: Continuous Improvement Cycle</w:t>
      </w:r>
      <w:bookmarkEnd w:id="59"/>
    </w:p>
    <w:p w14:paraId="2575A23B" w14:textId="77777777" w:rsidR="00EC7F1F" w:rsidRDefault="00000B03">
      <w:pPr>
        <w:pStyle w:val="ListParagraph"/>
        <w:numPr>
          <w:ilvl w:val="0"/>
          <w:numId w:val="18"/>
        </w:numPr>
        <w:spacing w:before="40" w:after="40"/>
      </w:pPr>
      <w:r>
        <w:rPr>
          <w:color w:val="333333"/>
        </w:rPr>
        <w:t>Document every trade in a structured journal: setup quality, execution quality, management quality, lessons learned</w:t>
      </w:r>
    </w:p>
    <w:p w14:paraId="2CDD78D7" w14:textId="77777777" w:rsidR="00EC7F1F" w:rsidRDefault="00000B03">
      <w:pPr>
        <w:pStyle w:val="ListParagraph"/>
        <w:numPr>
          <w:ilvl w:val="0"/>
          <w:numId w:val="18"/>
        </w:numPr>
        <w:spacing w:before="40" w:after="40"/>
      </w:pPr>
      <w:r>
        <w:rPr>
          <w:color w:val="333333"/>
        </w:rPr>
        <w:t>Conduct monthly retrospective analysis: what worked, what failed, and what can be improved with statistical evidence</w:t>
      </w:r>
    </w:p>
    <w:p w14:paraId="4771ADEA" w14:textId="77777777" w:rsidR="00EC7F1F" w:rsidRDefault="00000B03">
      <w:pPr>
        <w:pStyle w:val="ListParagraph"/>
        <w:numPr>
          <w:ilvl w:val="0"/>
          <w:numId w:val="18"/>
        </w:numPr>
        <w:spacing w:before="40" w:after="40"/>
      </w:pPr>
      <w:r>
        <w:rPr>
          <w:color w:val="333333"/>
        </w:rPr>
        <w:t>Maintain a knowledge management system cataloging market condition patterns, strategy behavior, and response protocols</w:t>
      </w:r>
    </w:p>
    <w:p w14:paraId="6F29D3BB" w14:textId="77777777" w:rsidR="00EC7F1F" w:rsidRDefault="00000B03">
      <w:pPr>
        <w:pStyle w:val="ListParagraph"/>
        <w:numPr>
          <w:ilvl w:val="0"/>
          <w:numId w:val="18"/>
        </w:numPr>
        <w:spacing w:before="40" w:after="40"/>
      </w:pPr>
      <w:r>
        <w:rPr>
          <w:color w:val="333333"/>
        </w:rPr>
        <w:t>Validate any proposed changes through backtesting and paper trading before live implementation</w:t>
      </w:r>
    </w:p>
    <w:p w14:paraId="32AC9217" w14:textId="77777777" w:rsidR="00EC7F1F" w:rsidRDefault="00000B03">
      <w:pPr>
        <w:spacing w:before="40" w:after="60"/>
        <w:ind w:left="720"/>
      </w:pPr>
      <w:r>
        <w:rPr>
          <w:i/>
          <w:iCs/>
          <w:color w:val="777777"/>
          <w:sz w:val="18"/>
          <w:szCs w:val="18"/>
        </w:rPr>
        <w:t>López de Prado (2018), Advances in Financial Machine Learning; Ericsson &amp; Pool (2016), Expert Performance</w:t>
      </w:r>
    </w:p>
    <w:p w14:paraId="216D3813" w14:textId="77777777" w:rsidR="00EC7F1F" w:rsidRDefault="00EC7F1F">
      <w:pPr>
        <w:spacing w:before="12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00"/>
      </w:tblGrid>
      <w:tr w:rsidR="00EC7F1F" w14:paraId="1BD149FF" w14:textId="77777777">
        <w:tc>
          <w:tcPr>
            <w:tcW w:w="8400" w:type="dxa"/>
            <w:tcBorders>
              <w:top w:val="single" w:sz="2" w:space="0" w:color="2E7D32"/>
              <w:left w:val="single" w:sz="6" w:space="0" w:color="2E7D32"/>
              <w:bottom w:val="single" w:sz="2" w:space="0" w:color="2E7D32"/>
              <w:right w:val="single" w:sz="2" w:space="0" w:color="2E7D32"/>
            </w:tcBorders>
            <w:shd w:val="clear" w:color="auto" w:fill="E8F5E9"/>
            <w:tcMar>
              <w:top w:w="80" w:type="dxa"/>
              <w:left w:w="160" w:type="dxa"/>
              <w:bottom w:w="80" w:type="dxa"/>
              <w:right w:w="120" w:type="dxa"/>
            </w:tcMar>
          </w:tcPr>
          <w:p w14:paraId="760D01D2" w14:textId="77777777" w:rsidR="00EC7F1F" w:rsidRDefault="00000B03">
            <w:pPr>
              <w:spacing w:after="60"/>
            </w:pPr>
            <w:r>
              <w:rPr>
                <w:b/>
                <w:bCs/>
                <w:color w:val="2E7D32"/>
                <w:sz w:val="20"/>
                <w:szCs w:val="20"/>
              </w:rPr>
              <w:t>✓ Phase 12 Outputs</w:t>
            </w:r>
          </w:p>
          <w:p w14:paraId="6C0BDC15" w14:textId="77777777" w:rsidR="00EC7F1F" w:rsidRDefault="00000B03">
            <w:pPr>
              <w:spacing w:before="20" w:after="20"/>
            </w:pPr>
            <w:r>
              <w:rPr>
                <w:color w:val="555555"/>
                <w:sz w:val="18"/>
                <w:szCs w:val="18"/>
              </w:rPr>
              <w:t xml:space="preserve">    •  Monthly performance report: all core metrics, factor attribution, and regime analysis</w:t>
            </w:r>
          </w:p>
          <w:p w14:paraId="1E070924" w14:textId="77777777" w:rsidR="00EC7F1F" w:rsidRDefault="00000B03">
            <w:pPr>
              <w:spacing w:before="20" w:after="20"/>
            </w:pPr>
            <w:r>
              <w:rPr>
                <w:color w:val="555555"/>
                <w:sz w:val="18"/>
                <w:szCs w:val="18"/>
              </w:rPr>
              <w:t xml:space="preserve">    •  Drawdown status report with protocol activation level</w:t>
            </w:r>
          </w:p>
          <w:p w14:paraId="0EF67921" w14:textId="77777777" w:rsidR="00EC7F1F" w:rsidRDefault="00000B03">
            <w:pPr>
              <w:spacing w:before="20" w:after="20"/>
            </w:pPr>
            <w:r>
              <w:rPr>
                <w:color w:val="555555"/>
                <w:sz w:val="18"/>
                <w:szCs w:val="18"/>
              </w:rPr>
              <w:t xml:space="preserve">    •  Diagnostic scorecard: signal quality, transfer, implementation, and regime alignment</w:t>
            </w:r>
          </w:p>
          <w:p w14:paraId="2091B2AB" w14:textId="77777777" w:rsidR="00EC7F1F" w:rsidRDefault="00000B03">
            <w:pPr>
              <w:spacing w:before="20" w:after="20"/>
            </w:pPr>
            <w:r>
              <w:rPr>
                <w:color w:val="555555"/>
                <w:sz w:val="18"/>
                <w:szCs w:val="18"/>
              </w:rPr>
              <w:t xml:space="preserve">    •  Escalation level determination and prescribed response actions</w:t>
            </w:r>
          </w:p>
          <w:p w14:paraId="10800F22" w14:textId="77777777" w:rsidR="00EC7F1F" w:rsidRDefault="00000B03">
            <w:pPr>
              <w:spacing w:before="20" w:after="20"/>
            </w:pPr>
            <w:r>
              <w:rPr>
                <w:color w:val="555555"/>
                <w:sz w:val="18"/>
                <w:szCs w:val="18"/>
              </w:rPr>
              <w:t xml:space="preserve">    •  Improvement log: proposed changes, evidence basis, and implementation status</w:t>
            </w:r>
          </w:p>
        </w:tc>
      </w:tr>
    </w:tbl>
    <w:p w14:paraId="4710696B" w14:textId="77777777" w:rsidR="00EC7F1F" w:rsidRDefault="00000B03">
      <w:r>
        <w:br w:type="page"/>
      </w:r>
    </w:p>
    <w:p w14:paraId="5BA90709" w14:textId="77777777" w:rsidR="00EC7F1F" w:rsidRDefault="00000B03">
      <w:pPr>
        <w:pStyle w:val="Heading1"/>
      </w:pPr>
      <w:bookmarkStart w:id="60" w:name="_Toc224818159"/>
      <w:r>
        <w:lastRenderedPageBreak/>
        <w:t>Appendix A: Quick Reference — Key Formulas and Thresholds</w:t>
      </w:r>
      <w:bookmarkEnd w:id="60"/>
    </w:p>
    <w:p w14:paraId="7E7FC3F3" w14:textId="77777777" w:rsidR="00EC7F1F" w:rsidRDefault="00EC7F1F">
      <w:pPr>
        <w:pBdr>
          <w:bottom w:val="single" w:sz="4" w:space="1" w:color="3B7DD8"/>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EC7F1F" w14:paraId="1D8641F7" w14:textId="77777777">
        <w:tc>
          <w:tcPr>
            <w:tcW w:w="400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068D3FC3" w14:textId="77777777" w:rsidR="00EC7F1F" w:rsidRDefault="00000B03">
            <w:r>
              <w:rPr>
                <w:b/>
                <w:bCs/>
                <w:color w:val="FFFFFF"/>
                <w:sz w:val="20"/>
                <w:szCs w:val="20"/>
              </w:rPr>
              <w:t>FORMULA / PARAMETER</w:t>
            </w:r>
          </w:p>
        </w:tc>
        <w:tc>
          <w:tcPr>
            <w:tcW w:w="5360" w:type="dxa"/>
            <w:tcBorders>
              <w:top w:val="single" w:sz="1" w:space="0" w:color="BBBBBB"/>
              <w:left w:val="single" w:sz="1" w:space="0" w:color="BBBBBB"/>
              <w:bottom w:val="single" w:sz="1" w:space="0" w:color="BBBBBB"/>
              <w:right w:val="single" w:sz="1" w:space="0" w:color="BBBBBB"/>
            </w:tcBorders>
            <w:shd w:val="clear" w:color="auto" w:fill="1B2A4A"/>
            <w:tcMar>
              <w:top w:w="60" w:type="dxa"/>
              <w:left w:w="100" w:type="dxa"/>
              <w:bottom w:w="60" w:type="dxa"/>
              <w:right w:w="100" w:type="dxa"/>
            </w:tcMar>
          </w:tcPr>
          <w:p w14:paraId="73D3C054" w14:textId="77777777" w:rsidR="00EC7F1F" w:rsidRDefault="00000B03">
            <w:r>
              <w:rPr>
                <w:b/>
                <w:bCs/>
                <w:color w:val="FFFFFF"/>
                <w:sz w:val="20"/>
                <w:szCs w:val="20"/>
              </w:rPr>
              <w:t>EXPRESSION / VALUE</w:t>
            </w:r>
          </w:p>
        </w:tc>
      </w:tr>
      <w:tr w:rsidR="00EC7F1F" w14:paraId="65A1E507"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29D6657" w14:textId="77777777" w:rsidR="00EC7F1F" w:rsidRDefault="00000B03">
            <w:r>
              <w:rPr>
                <w:b/>
                <w:bCs/>
                <w:color w:val="333333"/>
                <w:sz w:val="20"/>
                <w:szCs w:val="20"/>
              </w:rPr>
              <w:t>Composite Relative Strength</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B6BE7A1" w14:textId="77777777" w:rsidR="00EC7F1F" w:rsidRDefault="00000B03">
            <w:r>
              <w:rPr>
                <w:color w:val="333333"/>
                <w:sz w:val="20"/>
                <w:szCs w:val="20"/>
              </w:rPr>
              <w:t>RS = (0.2 × 3m return) + (0.5 × 6m return) + (0.3 × 12m return)</w:t>
            </w:r>
          </w:p>
        </w:tc>
      </w:tr>
      <w:tr w:rsidR="00EC7F1F" w14:paraId="348B156E"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0EDC19B5" w14:textId="77777777" w:rsidR="00EC7F1F" w:rsidRDefault="00000B03">
            <w:r>
              <w:rPr>
                <w:b/>
                <w:bCs/>
                <w:color w:val="333333"/>
                <w:sz w:val="20"/>
                <w:szCs w:val="20"/>
              </w:rPr>
              <w:t>Fixed-Fractional Position Size</w:t>
            </w:r>
          </w:p>
        </w:tc>
        <w:tc>
          <w:tcPr>
            <w:tcW w:w="5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2CD2F844" w14:textId="77777777" w:rsidR="00EC7F1F" w:rsidRDefault="00000B03">
            <w:r>
              <w:rPr>
                <w:color w:val="333333"/>
                <w:sz w:val="20"/>
                <w:szCs w:val="20"/>
              </w:rPr>
              <w:t>Shares = (Equity × Risk %) ÷ (Entry Price – Stop Price)</w:t>
            </w:r>
          </w:p>
        </w:tc>
      </w:tr>
      <w:tr w:rsidR="00EC7F1F" w14:paraId="4B47ACD5"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6C1F6CD" w14:textId="77777777" w:rsidR="00EC7F1F" w:rsidRDefault="00000B03">
            <w:r>
              <w:rPr>
                <w:b/>
                <w:bCs/>
                <w:color w:val="333333"/>
                <w:sz w:val="20"/>
                <w:szCs w:val="20"/>
              </w:rPr>
              <w:t>Risk Per Trade Range</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A25E824" w14:textId="77777777" w:rsidR="00EC7F1F" w:rsidRDefault="00000B03">
            <w:r>
              <w:rPr>
                <w:color w:val="333333"/>
                <w:sz w:val="20"/>
                <w:szCs w:val="20"/>
              </w:rPr>
              <w:t>0.25% – 1.0% of portfolio equity</w:t>
            </w:r>
          </w:p>
        </w:tc>
      </w:tr>
      <w:tr w:rsidR="00EC7F1F" w14:paraId="6C81FCCA"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17BE359B" w14:textId="77777777" w:rsidR="00EC7F1F" w:rsidRDefault="00000B03">
            <w:r>
              <w:rPr>
                <w:b/>
                <w:bCs/>
                <w:color w:val="333333"/>
                <w:sz w:val="20"/>
                <w:szCs w:val="20"/>
              </w:rPr>
              <w:t>Portfolio Heat Maximum</w:t>
            </w:r>
          </w:p>
        </w:tc>
        <w:tc>
          <w:tcPr>
            <w:tcW w:w="5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771B470F" w14:textId="77777777" w:rsidR="00EC7F1F" w:rsidRDefault="00000B03">
            <w:r>
              <w:rPr>
                <w:color w:val="333333"/>
                <w:sz w:val="20"/>
                <w:szCs w:val="20"/>
              </w:rPr>
              <w:t>5% – 10% of portfolio equity (regime-dependent)</w:t>
            </w:r>
          </w:p>
        </w:tc>
      </w:tr>
      <w:tr w:rsidR="00EC7F1F" w14:paraId="468BD338"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CBB244" w14:textId="77777777" w:rsidR="00EC7F1F" w:rsidRDefault="00000B03">
            <w:r>
              <w:rPr>
                <w:b/>
                <w:bCs/>
                <w:color w:val="333333"/>
                <w:sz w:val="20"/>
                <w:szCs w:val="20"/>
              </w:rPr>
              <w:t>Absolute Momentum: Long Threshold</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82AF4D" w14:textId="77777777" w:rsidR="00EC7F1F" w:rsidRDefault="00000B03">
            <w:r>
              <w:rPr>
                <w:color w:val="333333"/>
                <w:sz w:val="20"/>
                <w:szCs w:val="20"/>
              </w:rPr>
              <w:t>≥6 / 8 points</w:t>
            </w:r>
          </w:p>
        </w:tc>
      </w:tr>
      <w:tr w:rsidR="00EC7F1F" w14:paraId="1E92BD5A"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7D32F8A9" w14:textId="77777777" w:rsidR="00EC7F1F" w:rsidRDefault="00000B03">
            <w:r>
              <w:rPr>
                <w:b/>
                <w:bCs/>
                <w:color w:val="333333"/>
                <w:sz w:val="20"/>
                <w:szCs w:val="20"/>
              </w:rPr>
              <w:t>Absolute Momentum: Short Threshold</w:t>
            </w:r>
          </w:p>
        </w:tc>
        <w:tc>
          <w:tcPr>
            <w:tcW w:w="5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277A6C20" w14:textId="77777777" w:rsidR="00EC7F1F" w:rsidRDefault="00000B03">
            <w:r>
              <w:rPr>
                <w:color w:val="333333"/>
                <w:sz w:val="20"/>
                <w:szCs w:val="20"/>
              </w:rPr>
              <w:t>≤2 / 8 points</w:t>
            </w:r>
          </w:p>
        </w:tc>
      </w:tr>
      <w:tr w:rsidR="00EC7F1F" w14:paraId="62969944"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E76E23C" w14:textId="77777777" w:rsidR="00EC7F1F" w:rsidRDefault="00000B03">
            <w:r>
              <w:rPr>
                <w:b/>
                <w:bCs/>
                <w:color w:val="333333"/>
                <w:sz w:val="20"/>
                <w:szCs w:val="20"/>
              </w:rPr>
              <w:t>Gross Exposure: Expanding Regime</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1D20F02" w14:textId="77777777" w:rsidR="00EC7F1F" w:rsidRDefault="00000B03">
            <w:r>
              <w:rPr>
                <w:color w:val="333333"/>
                <w:sz w:val="20"/>
                <w:szCs w:val="20"/>
              </w:rPr>
              <w:t>200% – 250%</w:t>
            </w:r>
          </w:p>
        </w:tc>
      </w:tr>
      <w:tr w:rsidR="00EC7F1F" w14:paraId="3C69429F"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4682A1DD" w14:textId="77777777" w:rsidR="00EC7F1F" w:rsidRDefault="00000B03">
            <w:r>
              <w:rPr>
                <w:b/>
                <w:bCs/>
                <w:color w:val="333333"/>
                <w:sz w:val="20"/>
                <w:szCs w:val="20"/>
              </w:rPr>
              <w:t>Gross Exposure: Contracting Regime</w:t>
            </w:r>
          </w:p>
        </w:tc>
        <w:tc>
          <w:tcPr>
            <w:tcW w:w="5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1C888529" w14:textId="77777777" w:rsidR="00EC7F1F" w:rsidRDefault="00000B03">
            <w:r>
              <w:rPr>
                <w:color w:val="333333"/>
                <w:sz w:val="20"/>
                <w:szCs w:val="20"/>
              </w:rPr>
              <w:t>150% – 180%</w:t>
            </w:r>
          </w:p>
        </w:tc>
      </w:tr>
      <w:tr w:rsidR="00EC7F1F" w14:paraId="114FD6CB"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2DA79A" w14:textId="77777777" w:rsidR="00EC7F1F" w:rsidRDefault="00000B03">
            <w:r>
              <w:rPr>
                <w:b/>
                <w:bCs/>
                <w:color w:val="333333"/>
                <w:sz w:val="20"/>
                <w:szCs w:val="20"/>
              </w:rPr>
              <w:t>Net Exposure: Expanding Regime</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B83909E" w14:textId="77777777" w:rsidR="00EC7F1F" w:rsidRDefault="00000B03">
            <w:r>
              <w:rPr>
                <w:color w:val="333333"/>
                <w:sz w:val="20"/>
                <w:szCs w:val="20"/>
              </w:rPr>
              <w:t>+30% to +75%</w:t>
            </w:r>
          </w:p>
        </w:tc>
      </w:tr>
      <w:tr w:rsidR="00EC7F1F" w14:paraId="3C613693"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3EEFD19C" w14:textId="77777777" w:rsidR="00EC7F1F" w:rsidRDefault="00000B03">
            <w:r>
              <w:rPr>
                <w:b/>
                <w:bCs/>
                <w:color w:val="333333"/>
                <w:sz w:val="20"/>
                <w:szCs w:val="20"/>
              </w:rPr>
              <w:t>Net Exposure: Contracting Regime</w:t>
            </w:r>
          </w:p>
        </w:tc>
        <w:tc>
          <w:tcPr>
            <w:tcW w:w="5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1149196D" w14:textId="77777777" w:rsidR="00EC7F1F" w:rsidRDefault="00000B03">
            <w:r>
              <w:rPr>
                <w:color w:val="333333"/>
                <w:sz w:val="20"/>
                <w:szCs w:val="20"/>
              </w:rPr>
              <w:t>-10% to +20%</w:t>
            </w:r>
          </w:p>
        </w:tc>
      </w:tr>
      <w:tr w:rsidR="00EC7F1F" w14:paraId="47B51C47"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8778648" w14:textId="77777777" w:rsidR="00EC7F1F" w:rsidRDefault="00000B03">
            <w:r>
              <w:rPr>
                <w:b/>
                <w:bCs/>
                <w:color w:val="333333"/>
                <w:sz w:val="20"/>
                <w:szCs w:val="20"/>
              </w:rPr>
              <w:t>Individual Position Maximum</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C67730B" w14:textId="77777777" w:rsidR="00EC7F1F" w:rsidRDefault="00000B03">
            <w:r>
              <w:rPr>
                <w:color w:val="333333"/>
                <w:sz w:val="20"/>
                <w:szCs w:val="20"/>
              </w:rPr>
              <w:t>5% of portfolio</w:t>
            </w:r>
          </w:p>
        </w:tc>
      </w:tr>
      <w:tr w:rsidR="00EC7F1F" w14:paraId="751EDA9B"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0A0A9AE0" w14:textId="77777777" w:rsidR="00EC7F1F" w:rsidRDefault="00000B03">
            <w:r>
              <w:rPr>
                <w:b/>
                <w:bCs/>
                <w:color w:val="333333"/>
                <w:sz w:val="20"/>
                <w:szCs w:val="20"/>
              </w:rPr>
              <w:t>Sector Maximum</w:t>
            </w:r>
          </w:p>
        </w:tc>
        <w:tc>
          <w:tcPr>
            <w:tcW w:w="5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53E43700" w14:textId="77777777" w:rsidR="00EC7F1F" w:rsidRDefault="00000B03">
            <w:r>
              <w:rPr>
                <w:color w:val="333333"/>
                <w:sz w:val="20"/>
                <w:szCs w:val="20"/>
              </w:rPr>
              <w:t>30% of portfolio</w:t>
            </w:r>
          </w:p>
        </w:tc>
      </w:tr>
      <w:tr w:rsidR="00EC7F1F" w14:paraId="353B5B49"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BB563D2" w14:textId="77777777" w:rsidR="00EC7F1F" w:rsidRDefault="00000B03">
            <w:r>
              <w:rPr>
                <w:b/>
                <w:bCs/>
                <w:color w:val="333333"/>
                <w:sz w:val="20"/>
                <w:szCs w:val="20"/>
              </w:rPr>
              <w:t>Factor Exposure Maximum</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8C33E57" w14:textId="77777777" w:rsidR="00EC7F1F" w:rsidRDefault="00000B03">
            <w:r>
              <w:rPr>
                <w:color w:val="333333"/>
                <w:sz w:val="20"/>
                <w:szCs w:val="20"/>
              </w:rPr>
              <w:t>40% to any single factor</w:t>
            </w:r>
          </w:p>
        </w:tc>
      </w:tr>
      <w:tr w:rsidR="00EC7F1F" w14:paraId="1C562482"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4129C487" w14:textId="77777777" w:rsidR="00EC7F1F" w:rsidRDefault="00000B03">
            <w:r>
              <w:rPr>
                <w:b/>
                <w:bCs/>
                <w:color w:val="333333"/>
                <w:sz w:val="20"/>
                <w:szCs w:val="20"/>
              </w:rPr>
              <w:t>Margin Buffer</w:t>
            </w:r>
          </w:p>
        </w:tc>
        <w:tc>
          <w:tcPr>
            <w:tcW w:w="5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7A65540B" w14:textId="77777777" w:rsidR="00EC7F1F" w:rsidRDefault="00000B03">
            <w:r>
              <w:rPr>
                <w:color w:val="333333"/>
                <w:sz w:val="20"/>
                <w:szCs w:val="20"/>
              </w:rPr>
              <w:t>≥50% above maintenance requirement</w:t>
            </w:r>
          </w:p>
        </w:tc>
      </w:tr>
      <w:tr w:rsidR="00EC7F1F" w14:paraId="547B8113"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FC3421B" w14:textId="77777777" w:rsidR="00EC7F1F" w:rsidRDefault="00000B03">
            <w:r>
              <w:rPr>
                <w:b/>
                <w:bCs/>
                <w:color w:val="333333"/>
                <w:sz w:val="20"/>
                <w:szCs w:val="20"/>
              </w:rPr>
              <w:t>Drawdown Level 1</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0CBC618" w14:textId="77777777" w:rsidR="00EC7F1F" w:rsidRDefault="00000B03">
            <w:r>
              <w:rPr>
                <w:color w:val="333333"/>
                <w:sz w:val="20"/>
                <w:szCs w:val="20"/>
              </w:rPr>
              <w:t>5% — Enhanced monitoring</w:t>
            </w:r>
          </w:p>
        </w:tc>
      </w:tr>
      <w:tr w:rsidR="00EC7F1F" w14:paraId="2F893849"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2113A792" w14:textId="77777777" w:rsidR="00EC7F1F" w:rsidRDefault="00000B03">
            <w:r>
              <w:rPr>
                <w:b/>
                <w:bCs/>
                <w:color w:val="333333"/>
                <w:sz w:val="20"/>
                <w:szCs w:val="20"/>
              </w:rPr>
              <w:t>Drawdown Level 2</w:t>
            </w:r>
          </w:p>
        </w:tc>
        <w:tc>
          <w:tcPr>
            <w:tcW w:w="5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0A105493" w14:textId="77777777" w:rsidR="00EC7F1F" w:rsidRDefault="00000B03">
            <w:r>
              <w:rPr>
                <w:color w:val="333333"/>
                <w:sz w:val="20"/>
                <w:szCs w:val="20"/>
              </w:rPr>
              <w:t>10% — Reduce exposure 15–20%</w:t>
            </w:r>
          </w:p>
        </w:tc>
      </w:tr>
      <w:tr w:rsidR="00EC7F1F" w14:paraId="3A32AC27"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E411ACB" w14:textId="77777777" w:rsidR="00EC7F1F" w:rsidRDefault="00000B03">
            <w:r>
              <w:rPr>
                <w:b/>
                <w:bCs/>
                <w:color w:val="333333"/>
                <w:sz w:val="20"/>
                <w:szCs w:val="20"/>
              </w:rPr>
              <w:t>Drawdown Level 3</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2ADA227" w14:textId="77777777" w:rsidR="00EC7F1F" w:rsidRDefault="00000B03">
            <w:r>
              <w:rPr>
                <w:color w:val="333333"/>
                <w:sz w:val="20"/>
                <w:szCs w:val="20"/>
              </w:rPr>
              <w:t>15% — Max 120% gross exposure</w:t>
            </w:r>
          </w:p>
        </w:tc>
      </w:tr>
      <w:tr w:rsidR="00EC7F1F" w14:paraId="7B13EE9F"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450322EB" w14:textId="77777777" w:rsidR="00EC7F1F" w:rsidRDefault="00000B03">
            <w:r>
              <w:rPr>
                <w:b/>
                <w:bCs/>
                <w:color w:val="333333"/>
                <w:sz w:val="20"/>
                <w:szCs w:val="20"/>
              </w:rPr>
              <w:t>Signal IC Expected Range</w:t>
            </w:r>
          </w:p>
        </w:tc>
        <w:tc>
          <w:tcPr>
            <w:tcW w:w="5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245F678A" w14:textId="77777777" w:rsidR="00EC7F1F" w:rsidRDefault="00000B03">
            <w:r>
              <w:rPr>
                <w:color w:val="333333"/>
                <w:sz w:val="20"/>
                <w:szCs w:val="20"/>
              </w:rPr>
              <w:t>0.05 – 0.10</w:t>
            </w:r>
          </w:p>
        </w:tc>
      </w:tr>
      <w:tr w:rsidR="00EC7F1F" w14:paraId="035456B5"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B653A1" w14:textId="77777777" w:rsidR="00EC7F1F" w:rsidRDefault="00000B03">
            <w:r>
              <w:rPr>
                <w:b/>
                <w:bCs/>
                <w:color w:val="333333"/>
                <w:sz w:val="20"/>
                <w:szCs w:val="20"/>
              </w:rPr>
              <w:t>Signal IC Diagnostic Threshold</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B329B8" w14:textId="77777777" w:rsidR="00EC7F1F" w:rsidRDefault="00000B03">
            <w:r>
              <w:rPr>
                <w:color w:val="333333"/>
                <w:sz w:val="20"/>
                <w:szCs w:val="20"/>
              </w:rPr>
              <w:t>&lt; 0.03</w:t>
            </w:r>
          </w:p>
        </w:tc>
      </w:tr>
      <w:tr w:rsidR="00EC7F1F" w14:paraId="2AD9A09C"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558F0F95" w14:textId="77777777" w:rsidR="00EC7F1F" w:rsidRDefault="00000B03">
            <w:r>
              <w:rPr>
                <w:b/>
                <w:bCs/>
                <w:color w:val="333333"/>
                <w:sz w:val="20"/>
                <w:szCs w:val="20"/>
              </w:rPr>
              <w:t>Regime Alignment Target</w:t>
            </w:r>
          </w:p>
        </w:tc>
        <w:tc>
          <w:tcPr>
            <w:tcW w:w="5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6C5598F3" w14:textId="77777777" w:rsidR="00EC7F1F" w:rsidRDefault="00000B03">
            <w:r>
              <w:rPr>
                <w:color w:val="333333"/>
                <w:sz w:val="20"/>
                <w:szCs w:val="20"/>
              </w:rPr>
              <w:t>&gt; 80%</w:t>
            </w:r>
          </w:p>
        </w:tc>
      </w:tr>
      <w:tr w:rsidR="00EC7F1F" w14:paraId="104AAAF0"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9F33D96" w14:textId="77777777" w:rsidR="00EC7F1F" w:rsidRDefault="00000B03">
            <w:r>
              <w:rPr>
                <w:b/>
                <w:bCs/>
                <w:color w:val="333333"/>
                <w:sz w:val="20"/>
                <w:szCs w:val="20"/>
              </w:rPr>
              <w:t>Regime Detection Lag</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38E972F" w14:textId="77777777" w:rsidR="00EC7F1F" w:rsidRDefault="00000B03">
            <w:r>
              <w:rPr>
                <w:color w:val="333333"/>
                <w:sz w:val="20"/>
                <w:szCs w:val="20"/>
              </w:rPr>
              <w:t>1–3 weeks (threshold: &gt;5 weeks)</w:t>
            </w:r>
          </w:p>
        </w:tc>
      </w:tr>
      <w:tr w:rsidR="00EC7F1F" w14:paraId="17F81266"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1B8C69E5" w14:textId="77777777" w:rsidR="00EC7F1F" w:rsidRDefault="00000B03">
            <w:r>
              <w:rPr>
                <w:b/>
                <w:bCs/>
                <w:color w:val="333333"/>
                <w:sz w:val="20"/>
                <w:szCs w:val="20"/>
              </w:rPr>
              <w:t>% Above 10-DMA: Oversold</w:t>
            </w:r>
          </w:p>
        </w:tc>
        <w:tc>
          <w:tcPr>
            <w:tcW w:w="5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74C72C36" w14:textId="77777777" w:rsidR="00EC7F1F" w:rsidRDefault="00000B03">
            <w:r>
              <w:rPr>
                <w:color w:val="333333"/>
                <w:sz w:val="20"/>
                <w:szCs w:val="20"/>
              </w:rPr>
              <w:t>&lt; 10% (85% mean reversion probability)</w:t>
            </w:r>
          </w:p>
        </w:tc>
      </w:tr>
      <w:tr w:rsidR="00EC7F1F" w14:paraId="0CEDBADA"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2E6936C" w14:textId="77777777" w:rsidR="00EC7F1F" w:rsidRDefault="00000B03">
            <w:r>
              <w:rPr>
                <w:b/>
                <w:bCs/>
                <w:color w:val="333333"/>
                <w:sz w:val="20"/>
                <w:szCs w:val="20"/>
              </w:rPr>
              <w:t>% Above 50-DMA: Oversold</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2B24AD7" w14:textId="77777777" w:rsidR="00EC7F1F" w:rsidRDefault="00000B03">
            <w:r>
              <w:rPr>
                <w:color w:val="333333"/>
                <w:sz w:val="20"/>
                <w:szCs w:val="20"/>
              </w:rPr>
              <w:t>&lt; 20% (77% mean reversion probability)</w:t>
            </w:r>
          </w:p>
        </w:tc>
      </w:tr>
      <w:tr w:rsidR="00EC7F1F" w14:paraId="18297125"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1725FF23" w14:textId="77777777" w:rsidR="00EC7F1F" w:rsidRDefault="00000B03">
            <w:r>
              <w:rPr>
                <w:b/>
                <w:bCs/>
                <w:color w:val="333333"/>
                <w:sz w:val="20"/>
                <w:szCs w:val="20"/>
              </w:rPr>
              <w:t>% Above 200-DMA: Oversold</w:t>
            </w:r>
          </w:p>
        </w:tc>
        <w:tc>
          <w:tcPr>
            <w:tcW w:w="5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27B9A631" w14:textId="77777777" w:rsidR="00EC7F1F" w:rsidRDefault="00000B03">
            <w:r>
              <w:rPr>
                <w:color w:val="333333"/>
                <w:sz w:val="20"/>
                <w:szCs w:val="20"/>
              </w:rPr>
              <w:t>&lt; 20% (68% mean reversion probability)</w:t>
            </w:r>
          </w:p>
        </w:tc>
      </w:tr>
      <w:tr w:rsidR="00EC7F1F" w14:paraId="60B23A91"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E65147" w14:textId="77777777" w:rsidR="00EC7F1F" w:rsidRDefault="00000B03">
            <w:r>
              <w:rPr>
                <w:b/>
                <w:bCs/>
                <w:color w:val="333333"/>
                <w:sz w:val="20"/>
                <w:szCs w:val="20"/>
              </w:rPr>
              <w:t>% Above 50-DMA: Topping Alert</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6C8CECD" w14:textId="77777777" w:rsidR="00EC7F1F" w:rsidRDefault="00000B03">
            <w:r>
              <w:rPr>
                <w:color w:val="333333"/>
                <w:sz w:val="20"/>
                <w:szCs w:val="20"/>
              </w:rPr>
              <w:t>&lt; 50% while index at/near highs</w:t>
            </w:r>
          </w:p>
        </w:tc>
      </w:tr>
      <w:tr w:rsidR="00EC7F1F" w14:paraId="379BF14F"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307DB5B0" w14:textId="77777777" w:rsidR="00EC7F1F" w:rsidRDefault="00000B03">
            <w:r>
              <w:rPr>
                <w:b/>
                <w:bCs/>
                <w:color w:val="333333"/>
                <w:sz w:val="20"/>
                <w:szCs w:val="20"/>
              </w:rPr>
              <w:t>Breadth Thrust Signal</w:t>
            </w:r>
          </w:p>
        </w:tc>
        <w:tc>
          <w:tcPr>
            <w:tcW w:w="5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61AFFD79" w14:textId="77777777" w:rsidR="00EC7F1F" w:rsidRDefault="00000B03">
            <w:r>
              <w:rPr>
                <w:color w:val="333333"/>
                <w:sz w:val="20"/>
                <w:szCs w:val="20"/>
              </w:rPr>
              <w:t>10-DMA % surges from &lt;10% to &gt;70%</w:t>
            </w:r>
          </w:p>
        </w:tc>
      </w:tr>
      <w:tr w:rsidR="00EC7F1F" w14:paraId="01E46573"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485422E" w14:textId="77777777" w:rsidR="00EC7F1F" w:rsidRDefault="00000B03">
            <w:r>
              <w:rPr>
                <w:b/>
                <w:bCs/>
                <w:color w:val="333333"/>
                <w:sz w:val="20"/>
                <w:szCs w:val="20"/>
              </w:rPr>
              <w:t>A/D Divergence: Bearish</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748E0CA" w14:textId="77777777" w:rsidR="00EC7F1F" w:rsidRDefault="00000B03">
            <w:r>
              <w:rPr>
                <w:color w:val="333333"/>
                <w:sz w:val="20"/>
                <w:szCs w:val="20"/>
              </w:rPr>
              <w:t>Index new highs + A/D Line lower peaks</w:t>
            </w:r>
          </w:p>
        </w:tc>
      </w:tr>
      <w:tr w:rsidR="00EC7F1F" w14:paraId="7C7790F6"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3214ABDE" w14:textId="77777777" w:rsidR="00EC7F1F" w:rsidRDefault="00000B03">
            <w:r>
              <w:rPr>
                <w:b/>
                <w:bCs/>
                <w:color w:val="333333"/>
                <w:sz w:val="20"/>
                <w:szCs w:val="20"/>
              </w:rPr>
              <w:t>Good Oversold Context</w:t>
            </w:r>
          </w:p>
        </w:tc>
        <w:tc>
          <w:tcPr>
            <w:tcW w:w="5360" w:type="dxa"/>
            <w:tcBorders>
              <w:top w:val="single" w:sz="1" w:space="0" w:color="BBBBBB"/>
              <w:left w:val="single" w:sz="1" w:space="0" w:color="BBBBBB"/>
              <w:bottom w:val="single" w:sz="1" w:space="0" w:color="BBBBBB"/>
              <w:right w:val="single" w:sz="1" w:space="0" w:color="BBBBBB"/>
            </w:tcBorders>
            <w:shd w:val="clear" w:color="auto" w:fill="EBF3FC"/>
            <w:tcMar>
              <w:top w:w="60" w:type="dxa"/>
              <w:left w:w="100" w:type="dxa"/>
              <w:bottom w:w="60" w:type="dxa"/>
              <w:right w:w="100" w:type="dxa"/>
            </w:tcMar>
          </w:tcPr>
          <w:p w14:paraId="5E123B3E" w14:textId="77777777" w:rsidR="00EC7F1F" w:rsidRDefault="00000B03">
            <w:r>
              <w:rPr>
                <w:color w:val="333333"/>
                <w:sz w:val="20"/>
                <w:szCs w:val="20"/>
              </w:rPr>
              <w:t>Higher lows held, 200-DMA intact, sector-specific</w:t>
            </w:r>
          </w:p>
        </w:tc>
      </w:tr>
      <w:tr w:rsidR="00EC7F1F" w14:paraId="17C0BDEE"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2012C99" w14:textId="77777777" w:rsidR="00EC7F1F" w:rsidRDefault="00000B03">
            <w:r>
              <w:rPr>
                <w:b/>
                <w:bCs/>
                <w:color w:val="333333"/>
                <w:sz w:val="20"/>
                <w:szCs w:val="20"/>
              </w:rPr>
              <w:t>Bad Oversold Context</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218AD64" w14:textId="77777777" w:rsidR="00EC7F1F" w:rsidRDefault="00000B03">
            <w:r>
              <w:rPr>
                <w:color w:val="333333"/>
                <w:sz w:val="20"/>
                <w:szCs w:val="20"/>
              </w:rPr>
              <w:t>Support violated, broad weakness, failed thrusts</w:t>
            </w:r>
          </w:p>
        </w:tc>
      </w:tr>
    </w:tbl>
    <w:p w14:paraId="58431CD1" w14:textId="77777777" w:rsidR="00EC7F1F" w:rsidRDefault="00000B03">
      <w:r>
        <w:br w:type="page"/>
      </w:r>
    </w:p>
    <w:p w14:paraId="21B55119" w14:textId="77777777" w:rsidR="00EC7F1F" w:rsidRDefault="00000B03">
      <w:pPr>
        <w:pStyle w:val="Heading1"/>
      </w:pPr>
      <w:bookmarkStart w:id="61" w:name="_Toc224818160"/>
      <w:r>
        <w:lastRenderedPageBreak/>
        <w:t>Appendix B: Academic References</w:t>
      </w:r>
      <w:bookmarkEnd w:id="61"/>
    </w:p>
    <w:p w14:paraId="43F4F763" w14:textId="77777777" w:rsidR="00EC7F1F" w:rsidRDefault="00EC7F1F">
      <w:pPr>
        <w:pBdr>
          <w:bottom w:val="single" w:sz="4" w:space="1" w:color="3B7DD8"/>
        </w:pBdr>
        <w:spacing w:before="200" w:after="200"/>
      </w:pPr>
    </w:p>
    <w:p w14:paraId="27C3597F" w14:textId="77777777" w:rsidR="00EC7F1F" w:rsidRDefault="00000B03">
      <w:pPr>
        <w:spacing w:before="40" w:after="60"/>
        <w:ind w:left="480" w:hanging="480"/>
      </w:pPr>
      <w:r>
        <w:rPr>
          <w:color w:val="333333"/>
          <w:sz w:val="20"/>
          <w:szCs w:val="20"/>
        </w:rPr>
        <w:t>Antonacci, G. (2017). Dual Momentum Investing: An Innovative Strategy for Higher Returns with Lower Risk. McGraw-Hill.</w:t>
      </w:r>
    </w:p>
    <w:p w14:paraId="0C4D3063" w14:textId="77777777" w:rsidR="00EC7F1F" w:rsidRDefault="00000B03">
      <w:pPr>
        <w:spacing w:before="40" w:after="60"/>
        <w:ind w:left="480" w:hanging="480"/>
      </w:pPr>
      <w:r>
        <w:rPr>
          <w:color w:val="333333"/>
          <w:sz w:val="20"/>
          <w:szCs w:val="20"/>
        </w:rPr>
        <w:t>Asness, C. S., Moskowitz, T. J., &amp; Pedersen, L. H. (2013). Value and Momentum Everywhere. The Journal of Finance, 68(3), 929–985.</w:t>
      </w:r>
    </w:p>
    <w:p w14:paraId="0845F1E0" w14:textId="77777777" w:rsidR="00EC7F1F" w:rsidRDefault="00000B03">
      <w:pPr>
        <w:spacing w:before="40" w:after="60"/>
        <w:ind w:left="480" w:hanging="480"/>
      </w:pPr>
      <w:r>
        <w:rPr>
          <w:color w:val="333333"/>
          <w:sz w:val="20"/>
          <w:szCs w:val="20"/>
        </w:rPr>
        <w:t>Asness, C. S., Frazzini, A., &amp; Pedersen, L. H. (2014). Quality Minus Junk. Working Paper, AQR Capital Management.</w:t>
      </w:r>
    </w:p>
    <w:p w14:paraId="7E5CE2C8" w14:textId="77777777" w:rsidR="00EC7F1F" w:rsidRDefault="00000B03">
      <w:pPr>
        <w:spacing w:before="40" w:after="60"/>
        <w:ind w:left="480" w:hanging="480"/>
      </w:pPr>
      <w:r>
        <w:rPr>
          <w:color w:val="333333"/>
          <w:sz w:val="20"/>
          <w:szCs w:val="20"/>
        </w:rPr>
        <w:t>Bacon, C. R. (2013). Practical Portfolio Performance Measurement and Attribution (2nd ed.). Wiley.</w:t>
      </w:r>
    </w:p>
    <w:p w14:paraId="4C750CA4" w14:textId="77777777" w:rsidR="00EC7F1F" w:rsidRDefault="00000B03">
      <w:pPr>
        <w:spacing w:before="40" w:after="60"/>
        <w:ind w:left="480" w:hanging="480"/>
      </w:pPr>
      <w:r>
        <w:rPr>
          <w:color w:val="333333"/>
          <w:sz w:val="20"/>
          <w:szCs w:val="20"/>
        </w:rPr>
        <w:t>Barroso, P., &amp; Santa-Clara, P. (2015). Momentum Has Its Moments. Journal of Financial Economics, 116(1), 111–120.</w:t>
      </w:r>
    </w:p>
    <w:p w14:paraId="4172BE54" w14:textId="77777777" w:rsidR="00EC7F1F" w:rsidRDefault="00000B03">
      <w:pPr>
        <w:spacing w:before="40" w:after="60"/>
        <w:ind w:left="480" w:hanging="480"/>
      </w:pPr>
      <w:r>
        <w:rPr>
          <w:color w:val="333333"/>
          <w:sz w:val="20"/>
          <w:szCs w:val="20"/>
        </w:rPr>
        <w:t>Carhart, M. M. (1997). On Persistence in Mutual Fund Performance. The Journal of Finance, 52(1), 57–82.</w:t>
      </w:r>
    </w:p>
    <w:p w14:paraId="69FC72AE" w14:textId="77777777" w:rsidR="00EC7F1F" w:rsidRDefault="00000B03">
      <w:pPr>
        <w:spacing w:before="40" w:after="60"/>
        <w:ind w:left="480" w:hanging="480"/>
      </w:pPr>
      <w:r>
        <w:rPr>
          <w:color w:val="333333"/>
          <w:sz w:val="20"/>
          <w:szCs w:val="20"/>
        </w:rPr>
        <w:t>Daniel, K., &amp; Moskowitz, T. J. (2016). Momentum Crashes. Journal of Financial Economics, 122(2), 221–247.</w:t>
      </w:r>
    </w:p>
    <w:p w14:paraId="14C87912" w14:textId="77777777" w:rsidR="00EC7F1F" w:rsidRDefault="00000B03">
      <w:pPr>
        <w:spacing w:before="40" w:after="60"/>
        <w:ind w:left="480" w:hanging="480"/>
      </w:pPr>
      <w:r>
        <w:rPr>
          <w:color w:val="333333"/>
          <w:sz w:val="20"/>
          <w:szCs w:val="20"/>
        </w:rPr>
        <w:t>Fama, E. F., &amp; French, K. R. (1993). Common Risk Factors in the Returns on Stocks and Bonds. Journal of Financial Economics, 33(1), 3–56.</w:t>
      </w:r>
    </w:p>
    <w:p w14:paraId="69D964AE" w14:textId="77777777" w:rsidR="00EC7F1F" w:rsidRDefault="00000B03">
      <w:pPr>
        <w:spacing w:before="40" w:after="60"/>
        <w:ind w:left="480" w:hanging="480"/>
      </w:pPr>
      <w:r>
        <w:rPr>
          <w:color w:val="333333"/>
          <w:sz w:val="20"/>
          <w:szCs w:val="20"/>
        </w:rPr>
        <w:t>Fama, E. F., &amp; French, K. R. (2015). A Five-Factor Asset Pricing Model. Journal of Financial Economics, 116(1), 1–22.</w:t>
      </w:r>
    </w:p>
    <w:p w14:paraId="53F84971" w14:textId="77777777" w:rsidR="00EC7F1F" w:rsidRDefault="00000B03">
      <w:pPr>
        <w:spacing w:before="40" w:after="60"/>
        <w:ind w:left="480" w:hanging="480"/>
      </w:pPr>
      <w:r>
        <w:rPr>
          <w:color w:val="333333"/>
          <w:sz w:val="20"/>
          <w:szCs w:val="20"/>
        </w:rPr>
        <w:t>Grundy, B. D., &amp; Martin, J. S. (2001). Understanding the Nature of the Risks and the Source of the Rewards to Momentum Investing. The Review of Financial Studies, 14(1), 29–78.</w:t>
      </w:r>
    </w:p>
    <w:p w14:paraId="772652E8" w14:textId="77777777" w:rsidR="00EC7F1F" w:rsidRDefault="00000B03">
      <w:pPr>
        <w:spacing w:before="40" w:after="60"/>
        <w:ind w:left="480" w:hanging="480"/>
      </w:pPr>
      <w:r>
        <w:rPr>
          <w:color w:val="333333"/>
          <w:sz w:val="20"/>
          <w:szCs w:val="20"/>
        </w:rPr>
        <w:t>Jegadeesh, N., &amp; Titman, S. (1993). Returns to Buying Winners and Selling Losers: Implications for Stock Market Efficiency. The Journal of Finance, 48(1), 65–91.</w:t>
      </w:r>
    </w:p>
    <w:p w14:paraId="14478CD7" w14:textId="77777777" w:rsidR="00EC7F1F" w:rsidRDefault="00000B03">
      <w:pPr>
        <w:spacing w:before="40" w:after="60"/>
        <w:ind w:left="480" w:hanging="480"/>
      </w:pPr>
      <w:r>
        <w:rPr>
          <w:color w:val="333333"/>
          <w:sz w:val="20"/>
          <w:szCs w:val="20"/>
        </w:rPr>
        <w:t>Kaminski, K. M., &amp; Lo, A. W. (2014). When Do Stop-Loss Rules Stop Losses? Journal of Financial Markets, 18, 234–254.</w:t>
      </w:r>
    </w:p>
    <w:p w14:paraId="17F2BFA4" w14:textId="77777777" w:rsidR="00EC7F1F" w:rsidRDefault="00000B03">
      <w:pPr>
        <w:spacing w:before="40" w:after="60"/>
        <w:ind w:left="480" w:hanging="480"/>
      </w:pPr>
      <w:r>
        <w:rPr>
          <w:color w:val="333333"/>
          <w:sz w:val="20"/>
          <w:szCs w:val="20"/>
        </w:rPr>
        <w:t>López de Prado, M. (2018). Advances in Financial Machine Learning. Wiley.</w:t>
      </w:r>
    </w:p>
    <w:p w14:paraId="56AEBE82" w14:textId="77777777" w:rsidR="00EC7F1F" w:rsidRDefault="00000B03">
      <w:pPr>
        <w:spacing w:before="40" w:after="60"/>
        <w:ind w:left="480" w:hanging="480"/>
      </w:pPr>
      <w:r>
        <w:rPr>
          <w:color w:val="333333"/>
          <w:sz w:val="20"/>
          <w:szCs w:val="20"/>
        </w:rPr>
        <w:t>Moskowitz, T. J., Ooi, Y. H., &amp; Pedersen, L. H. (2012). Time Series Momentum. Journal of Financial Economics, 104(2), 228–250.</w:t>
      </w:r>
    </w:p>
    <w:p w14:paraId="08CF6975" w14:textId="77777777" w:rsidR="00EC7F1F" w:rsidRDefault="00000B03">
      <w:pPr>
        <w:spacing w:before="40" w:after="60"/>
        <w:ind w:left="480" w:hanging="480"/>
      </w:pPr>
      <w:r>
        <w:rPr>
          <w:color w:val="333333"/>
          <w:sz w:val="20"/>
          <w:szCs w:val="20"/>
        </w:rPr>
        <w:t>Murphy, J. J. (2004). Intermarket Analysis: Profiting from Global Market Relationships. Wiley.</w:t>
      </w:r>
    </w:p>
    <w:p w14:paraId="180D5405" w14:textId="77777777" w:rsidR="00EC7F1F" w:rsidRDefault="00000B03">
      <w:pPr>
        <w:spacing w:before="40" w:after="60"/>
        <w:ind w:left="480" w:hanging="480"/>
      </w:pPr>
      <w:r>
        <w:rPr>
          <w:color w:val="333333"/>
          <w:sz w:val="20"/>
          <w:szCs w:val="20"/>
        </w:rPr>
        <w:t>Pring, M. J. (2014). Intermarket Analysis and Investing. McGraw-Hill.</w:t>
      </w:r>
    </w:p>
    <w:p w14:paraId="525D053A" w14:textId="77777777" w:rsidR="00EC7F1F" w:rsidRDefault="00000B03">
      <w:pPr>
        <w:spacing w:before="40" w:after="60"/>
        <w:ind w:left="480" w:hanging="480"/>
      </w:pPr>
      <w:r>
        <w:rPr>
          <w:color w:val="333333"/>
          <w:sz w:val="20"/>
          <w:szCs w:val="20"/>
        </w:rPr>
        <w:t>Tharp, V. K. (2006). Trade Your Way to Financial Freedom (2nd ed.). McGraw-Hill.</w:t>
      </w:r>
    </w:p>
    <w:p w14:paraId="559E71DD" w14:textId="77777777" w:rsidR="00EC7F1F" w:rsidRDefault="00000B03">
      <w:pPr>
        <w:spacing w:before="40" w:after="60"/>
        <w:ind w:left="480" w:hanging="480"/>
      </w:pPr>
      <w:r>
        <w:rPr>
          <w:color w:val="333333"/>
          <w:sz w:val="20"/>
          <w:szCs w:val="20"/>
        </w:rPr>
        <w:t>Vince, R. (1992). The Mathematics of Money Management. Wiley.</w:t>
      </w:r>
    </w:p>
    <w:p w14:paraId="3A83056D" w14:textId="77777777" w:rsidR="00EC7F1F" w:rsidRDefault="00000B03">
      <w:pPr>
        <w:spacing w:before="40" w:after="60"/>
        <w:ind w:left="480" w:hanging="480"/>
      </w:pPr>
      <w:r>
        <w:rPr>
          <w:color w:val="333333"/>
          <w:sz w:val="20"/>
          <w:szCs w:val="20"/>
        </w:rPr>
        <w:t>Zweig, M. (1986). Winning on Wall Street. Warner Books.</w:t>
      </w:r>
    </w:p>
    <w:p w14:paraId="4F73EDC7" w14:textId="77777777" w:rsidR="00EC7F1F" w:rsidRDefault="00000B03">
      <w:pPr>
        <w:spacing w:before="40" w:after="60"/>
        <w:ind w:left="480" w:hanging="480"/>
      </w:pPr>
      <w:r>
        <w:rPr>
          <w:color w:val="333333"/>
          <w:sz w:val="20"/>
          <w:szCs w:val="20"/>
        </w:rPr>
        <w:t>DeMark, T. R. (2004). New Market Timing Techniques: Innovative Studies in Market Rhythm and Price Exhaustion. Wiley.</w:t>
      </w:r>
    </w:p>
    <w:p w14:paraId="2D75DA90" w14:textId="77777777" w:rsidR="00EC7F1F" w:rsidRDefault="00000B03">
      <w:pPr>
        <w:spacing w:before="40" w:after="60"/>
        <w:ind w:left="480" w:hanging="480"/>
      </w:pPr>
      <w:r>
        <w:rPr>
          <w:color w:val="333333"/>
          <w:sz w:val="20"/>
          <w:szCs w:val="20"/>
        </w:rPr>
        <w:t>Moreira, A., &amp; Muir, T. (2017). Volatility-Managed Portfolios. The Journal of Finance, 72(4), 1611–1644.</w:t>
      </w:r>
    </w:p>
    <w:p w14:paraId="1D4E960A" w14:textId="77777777" w:rsidR="00EC7F1F" w:rsidRDefault="00000B03">
      <w:pPr>
        <w:spacing w:before="40" w:after="60"/>
        <w:ind w:left="480" w:hanging="480"/>
      </w:pPr>
      <w:r>
        <w:rPr>
          <w:color w:val="333333"/>
          <w:sz w:val="20"/>
          <w:szCs w:val="20"/>
        </w:rPr>
        <w:t>Hong, H., &amp; Stein, J. C. (1999). A Unified Theory of Underreaction, Momentum Trading, and Overreaction in Asset Markets. The Journal of Finance, 54(6), 2143–2184.</w:t>
      </w:r>
    </w:p>
    <w:p w14:paraId="6ADEBB4C" w14:textId="77777777" w:rsidR="00EC7F1F" w:rsidRDefault="00000B03">
      <w:pPr>
        <w:spacing w:before="40" w:after="60"/>
        <w:ind w:left="480" w:hanging="480"/>
      </w:pPr>
      <w:r>
        <w:rPr>
          <w:color w:val="333333"/>
          <w:sz w:val="20"/>
          <w:szCs w:val="20"/>
        </w:rPr>
        <w:t>Shefrin, H., &amp; Statman, M. (1985). The Disposition to Sell Winners Too Early and Ride Losers Too Long. The Journal of Finance, 40(3), 777–790.</w:t>
      </w:r>
    </w:p>
    <w:sectPr w:rsidR="00EC7F1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F6FEF" w14:textId="77777777" w:rsidR="00DA4F4B" w:rsidRDefault="00DA4F4B">
      <w:r>
        <w:separator/>
      </w:r>
    </w:p>
  </w:endnote>
  <w:endnote w:type="continuationSeparator" w:id="0">
    <w:p w14:paraId="377D91B7" w14:textId="77777777" w:rsidR="00DA4F4B" w:rsidRDefault="00DA4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F0CF3" w14:textId="77777777" w:rsidR="00000B03" w:rsidRDefault="00000B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F8B6B" w14:textId="77777777" w:rsidR="00000B03" w:rsidRDefault="00000B03">
    <w:pPr>
      <w:pBdr>
        <w:top w:val="single" w:sz="2" w:space="4" w:color="3B7DD8"/>
      </w:pBdr>
      <w:tabs>
        <w:tab w:val="right" w:pos="9026"/>
      </w:tabs>
    </w:pPr>
    <w:r>
      <w:rPr>
        <w:color w:val="555555"/>
        <w:sz w:val="16"/>
        <w:szCs w:val="16"/>
      </w:rPr>
      <w:t>Trading Academy</w:t>
    </w:r>
    <w: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Pr>
        <w:noProof/>
        <w:color w:val="555555"/>
        <w:sz w:val="16"/>
        <w:szCs w:val="16"/>
      </w:rPr>
      <w:t>1</w:t>
    </w:r>
    <w:r>
      <w:rPr>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94E59" w14:textId="77777777" w:rsidR="00000B03" w:rsidRDefault="00000B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38D44" w14:textId="77777777" w:rsidR="00DA4F4B" w:rsidRDefault="00DA4F4B">
      <w:r>
        <w:separator/>
      </w:r>
    </w:p>
  </w:footnote>
  <w:footnote w:type="continuationSeparator" w:id="0">
    <w:p w14:paraId="7F147671" w14:textId="77777777" w:rsidR="00DA4F4B" w:rsidRDefault="00DA4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7EA70" w14:textId="77777777" w:rsidR="00000B03" w:rsidRDefault="00000B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C466D" w14:textId="77777777" w:rsidR="00000B03" w:rsidRDefault="00000B03">
    <w:pPr>
      <w:pBdr>
        <w:bottom w:val="single" w:sz="2" w:space="4" w:color="3B7DD8"/>
      </w:pBdr>
      <w:tabs>
        <w:tab w:val="right" w:pos="9026"/>
      </w:tabs>
    </w:pPr>
    <w:r>
      <w:rPr>
        <w:i/>
        <w:iCs/>
        <w:color w:val="555555"/>
        <w:sz w:val="16"/>
        <w:szCs w:val="16"/>
      </w:rPr>
      <w:t>Dual Momentum Portfolio Management</w:t>
    </w:r>
    <w:r>
      <w:tab/>
    </w:r>
    <w:r>
      <w:rPr>
        <w:i/>
        <w:iCs/>
        <w:color w:val="555555"/>
        <w:sz w:val="16"/>
        <w:szCs w:val="16"/>
      </w:rPr>
      <w:t>Step-by-Step Implementation Procedure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F3FEE" w14:textId="77777777" w:rsidR="00000B03" w:rsidRDefault="00000B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D5C6C"/>
    <w:multiLevelType w:val="hybridMultilevel"/>
    <w:tmpl w:val="B7C4768E"/>
    <w:lvl w:ilvl="0" w:tplc="8428623A">
      <w:start w:val="1"/>
      <w:numFmt w:val="lowerLetter"/>
      <w:lvlText w:val="%1)"/>
      <w:lvlJc w:val="left"/>
      <w:pPr>
        <w:ind w:left="1080" w:hanging="360"/>
      </w:pPr>
    </w:lvl>
    <w:lvl w:ilvl="1" w:tplc="B3EA9F56">
      <w:numFmt w:val="decimal"/>
      <w:lvlText w:val=""/>
      <w:lvlJc w:val="left"/>
    </w:lvl>
    <w:lvl w:ilvl="2" w:tplc="38186066">
      <w:numFmt w:val="decimal"/>
      <w:lvlText w:val=""/>
      <w:lvlJc w:val="left"/>
    </w:lvl>
    <w:lvl w:ilvl="3" w:tplc="970C2220">
      <w:numFmt w:val="decimal"/>
      <w:lvlText w:val=""/>
      <w:lvlJc w:val="left"/>
    </w:lvl>
    <w:lvl w:ilvl="4" w:tplc="85BE3B2E">
      <w:numFmt w:val="decimal"/>
      <w:lvlText w:val=""/>
      <w:lvlJc w:val="left"/>
    </w:lvl>
    <w:lvl w:ilvl="5" w:tplc="CD70BE34">
      <w:numFmt w:val="decimal"/>
      <w:lvlText w:val=""/>
      <w:lvlJc w:val="left"/>
    </w:lvl>
    <w:lvl w:ilvl="6" w:tplc="7EEC9E6E">
      <w:numFmt w:val="decimal"/>
      <w:lvlText w:val=""/>
      <w:lvlJc w:val="left"/>
    </w:lvl>
    <w:lvl w:ilvl="7" w:tplc="56A20EAE">
      <w:numFmt w:val="decimal"/>
      <w:lvlText w:val=""/>
      <w:lvlJc w:val="left"/>
    </w:lvl>
    <w:lvl w:ilvl="8" w:tplc="845A0000">
      <w:numFmt w:val="decimal"/>
      <w:lvlText w:val=""/>
      <w:lvlJc w:val="left"/>
    </w:lvl>
  </w:abstractNum>
  <w:abstractNum w:abstractNumId="1" w15:restartNumberingAfterBreak="0">
    <w:nsid w:val="056C2C7B"/>
    <w:multiLevelType w:val="hybridMultilevel"/>
    <w:tmpl w:val="2D266916"/>
    <w:lvl w:ilvl="0" w:tplc="F9083C08">
      <w:start w:val="1"/>
      <w:numFmt w:val="decimal"/>
      <w:lvlText w:val="%1."/>
      <w:lvlJc w:val="left"/>
      <w:pPr>
        <w:ind w:left="720" w:hanging="360"/>
      </w:pPr>
    </w:lvl>
    <w:lvl w:ilvl="1" w:tplc="8BFCDC98">
      <w:numFmt w:val="decimal"/>
      <w:lvlText w:val=""/>
      <w:lvlJc w:val="left"/>
    </w:lvl>
    <w:lvl w:ilvl="2" w:tplc="518CD65A">
      <w:numFmt w:val="decimal"/>
      <w:lvlText w:val=""/>
      <w:lvlJc w:val="left"/>
    </w:lvl>
    <w:lvl w:ilvl="3" w:tplc="C47EAB72">
      <w:numFmt w:val="decimal"/>
      <w:lvlText w:val=""/>
      <w:lvlJc w:val="left"/>
    </w:lvl>
    <w:lvl w:ilvl="4" w:tplc="CA6ABC2E">
      <w:numFmt w:val="decimal"/>
      <w:lvlText w:val=""/>
      <w:lvlJc w:val="left"/>
    </w:lvl>
    <w:lvl w:ilvl="5" w:tplc="E6F03DD8">
      <w:numFmt w:val="decimal"/>
      <w:lvlText w:val=""/>
      <w:lvlJc w:val="left"/>
    </w:lvl>
    <w:lvl w:ilvl="6" w:tplc="1BC2353C">
      <w:numFmt w:val="decimal"/>
      <w:lvlText w:val=""/>
      <w:lvlJc w:val="left"/>
    </w:lvl>
    <w:lvl w:ilvl="7" w:tplc="B5CE414C">
      <w:numFmt w:val="decimal"/>
      <w:lvlText w:val=""/>
      <w:lvlJc w:val="left"/>
    </w:lvl>
    <w:lvl w:ilvl="8" w:tplc="7A1C2162">
      <w:numFmt w:val="decimal"/>
      <w:lvlText w:val=""/>
      <w:lvlJc w:val="left"/>
    </w:lvl>
  </w:abstractNum>
  <w:abstractNum w:abstractNumId="2" w15:restartNumberingAfterBreak="0">
    <w:nsid w:val="096F12D4"/>
    <w:multiLevelType w:val="hybridMultilevel"/>
    <w:tmpl w:val="29A4FEFE"/>
    <w:lvl w:ilvl="0" w:tplc="0BE820AC">
      <w:start w:val="1"/>
      <w:numFmt w:val="decimal"/>
      <w:lvlText w:val="%1."/>
      <w:lvlJc w:val="left"/>
      <w:pPr>
        <w:ind w:left="720" w:hanging="360"/>
      </w:pPr>
    </w:lvl>
    <w:lvl w:ilvl="1" w:tplc="AC78E550">
      <w:numFmt w:val="decimal"/>
      <w:lvlText w:val=""/>
      <w:lvlJc w:val="left"/>
    </w:lvl>
    <w:lvl w:ilvl="2" w:tplc="DA28F462">
      <w:numFmt w:val="decimal"/>
      <w:lvlText w:val=""/>
      <w:lvlJc w:val="left"/>
    </w:lvl>
    <w:lvl w:ilvl="3" w:tplc="03D2E49C">
      <w:numFmt w:val="decimal"/>
      <w:lvlText w:val=""/>
      <w:lvlJc w:val="left"/>
    </w:lvl>
    <w:lvl w:ilvl="4" w:tplc="D47C27F2">
      <w:numFmt w:val="decimal"/>
      <w:lvlText w:val=""/>
      <w:lvlJc w:val="left"/>
    </w:lvl>
    <w:lvl w:ilvl="5" w:tplc="E91ED9F6">
      <w:numFmt w:val="decimal"/>
      <w:lvlText w:val=""/>
      <w:lvlJc w:val="left"/>
    </w:lvl>
    <w:lvl w:ilvl="6" w:tplc="3D7AD740">
      <w:numFmt w:val="decimal"/>
      <w:lvlText w:val=""/>
      <w:lvlJc w:val="left"/>
    </w:lvl>
    <w:lvl w:ilvl="7" w:tplc="5A0E2872">
      <w:numFmt w:val="decimal"/>
      <w:lvlText w:val=""/>
      <w:lvlJc w:val="left"/>
    </w:lvl>
    <w:lvl w:ilvl="8" w:tplc="E458B568">
      <w:numFmt w:val="decimal"/>
      <w:lvlText w:val=""/>
      <w:lvlJc w:val="left"/>
    </w:lvl>
  </w:abstractNum>
  <w:abstractNum w:abstractNumId="3" w15:restartNumberingAfterBreak="0">
    <w:nsid w:val="09A7740D"/>
    <w:multiLevelType w:val="hybridMultilevel"/>
    <w:tmpl w:val="B14676D8"/>
    <w:lvl w:ilvl="0" w:tplc="CAC0B68A">
      <w:start w:val="1"/>
      <w:numFmt w:val="bullet"/>
      <w:lvlText w:val="•"/>
      <w:lvlJc w:val="left"/>
      <w:pPr>
        <w:ind w:left="1080" w:hanging="360"/>
      </w:pPr>
    </w:lvl>
    <w:lvl w:ilvl="1" w:tplc="49DAC668">
      <w:numFmt w:val="decimal"/>
      <w:lvlText w:val=""/>
      <w:lvlJc w:val="left"/>
    </w:lvl>
    <w:lvl w:ilvl="2" w:tplc="36ACEFD4">
      <w:numFmt w:val="decimal"/>
      <w:lvlText w:val=""/>
      <w:lvlJc w:val="left"/>
    </w:lvl>
    <w:lvl w:ilvl="3" w:tplc="40F69BEC">
      <w:numFmt w:val="decimal"/>
      <w:lvlText w:val=""/>
      <w:lvlJc w:val="left"/>
    </w:lvl>
    <w:lvl w:ilvl="4" w:tplc="1A9893FC">
      <w:numFmt w:val="decimal"/>
      <w:lvlText w:val=""/>
      <w:lvlJc w:val="left"/>
    </w:lvl>
    <w:lvl w:ilvl="5" w:tplc="AC2A75A6">
      <w:numFmt w:val="decimal"/>
      <w:lvlText w:val=""/>
      <w:lvlJc w:val="left"/>
    </w:lvl>
    <w:lvl w:ilvl="6" w:tplc="D5A00928">
      <w:numFmt w:val="decimal"/>
      <w:lvlText w:val=""/>
      <w:lvlJc w:val="left"/>
    </w:lvl>
    <w:lvl w:ilvl="7" w:tplc="89FE4438">
      <w:numFmt w:val="decimal"/>
      <w:lvlText w:val=""/>
      <w:lvlJc w:val="left"/>
    </w:lvl>
    <w:lvl w:ilvl="8" w:tplc="8FA41726">
      <w:numFmt w:val="decimal"/>
      <w:lvlText w:val=""/>
      <w:lvlJc w:val="left"/>
    </w:lvl>
  </w:abstractNum>
  <w:abstractNum w:abstractNumId="4" w15:restartNumberingAfterBreak="0">
    <w:nsid w:val="0E852E49"/>
    <w:multiLevelType w:val="hybridMultilevel"/>
    <w:tmpl w:val="C53E7554"/>
    <w:lvl w:ilvl="0" w:tplc="A1E42F9E">
      <w:start w:val="1"/>
      <w:numFmt w:val="bullet"/>
      <w:lvlText w:val="•"/>
      <w:lvlJc w:val="left"/>
      <w:pPr>
        <w:ind w:left="1080" w:hanging="360"/>
      </w:pPr>
    </w:lvl>
    <w:lvl w:ilvl="1" w:tplc="23AAA748">
      <w:numFmt w:val="decimal"/>
      <w:lvlText w:val=""/>
      <w:lvlJc w:val="left"/>
    </w:lvl>
    <w:lvl w:ilvl="2" w:tplc="FC8C1B14">
      <w:numFmt w:val="decimal"/>
      <w:lvlText w:val=""/>
      <w:lvlJc w:val="left"/>
    </w:lvl>
    <w:lvl w:ilvl="3" w:tplc="0F0E1348">
      <w:numFmt w:val="decimal"/>
      <w:lvlText w:val=""/>
      <w:lvlJc w:val="left"/>
    </w:lvl>
    <w:lvl w:ilvl="4" w:tplc="2A883132">
      <w:numFmt w:val="decimal"/>
      <w:lvlText w:val=""/>
      <w:lvlJc w:val="left"/>
    </w:lvl>
    <w:lvl w:ilvl="5" w:tplc="D53AD08A">
      <w:numFmt w:val="decimal"/>
      <w:lvlText w:val=""/>
      <w:lvlJc w:val="left"/>
    </w:lvl>
    <w:lvl w:ilvl="6" w:tplc="C2C0C084">
      <w:numFmt w:val="decimal"/>
      <w:lvlText w:val=""/>
      <w:lvlJc w:val="left"/>
    </w:lvl>
    <w:lvl w:ilvl="7" w:tplc="189A1DF2">
      <w:numFmt w:val="decimal"/>
      <w:lvlText w:val=""/>
      <w:lvlJc w:val="left"/>
    </w:lvl>
    <w:lvl w:ilvl="8" w:tplc="4BDC8590">
      <w:numFmt w:val="decimal"/>
      <w:lvlText w:val=""/>
      <w:lvlJc w:val="left"/>
    </w:lvl>
  </w:abstractNum>
  <w:abstractNum w:abstractNumId="5" w15:restartNumberingAfterBreak="0">
    <w:nsid w:val="0F92147C"/>
    <w:multiLevelType w:val="hybridMultilevel"/>
    <w:tmpl w:val="15581BB6"/>
    <w:lvl w:ilvl="0" w:tplc="67B89524">
      <w:start w:val="1"/>
      <w:numFmt w:val="bullet"/>
      <w:lvlText w:val="•"/>
      <w:lvlJc w:val="left"/>
      <w:pPr>
        <w:ind w:left="1080" w:hanging="360"/>
      </w:pPr>
    </w:lvl>
    <w:lvl w:ilvl="1" w:tplc="2EE6B428">
      <w:numFmt w:val="decimal"/>
      <w:lvlText w:val=""/>
      <w:lvlJc w:val="left"/>
    </w:lvl>
    <w:lvl w:ilvl="2" w:tplc="0E866E98">
      <w:numFmt w:val="decimal"/>
      <w:lvlText w:val=""/>
      <w:lvlJc w:val="left"/>
    </w:lvl>
    <w:lvl w:ilvl="3" w:tplc="428C6FB0">
      <w:numFmt w:val="decimal"/>
      <w:lvlText w:val=""/>
      <w:lvlJc w:val="left"/>
    </w:lvl>
    <w:lvl w:ilvl="4" w:tplc="0F4403C6">
      <w:numFmt w:val="decimal"/>
      <w:lvlText w:val=""/>
      <w:lvlJc w:val="left"/>
    </w:lvl>
    <w:lvl w:ilvl="5" w:tplc="3C0C2940">
      <w:numFmt w:val="decimal"/>
      <w:lvlText w:val=""/>
      <w:lvlJc w:val="left"/>
    </w:lvl>
    <w:lvl w:ilvl="6" w:tplc="C432527E">
      <w:numFmt w:val="decimal"/>
      <w:lvlText w:val=""/>
      <w:lvlJc w:val="left"/>
    </w:lvl>
    <w:lvl w:ilvl="7" w:tplc="15A6F7D4">
      <w:numFmt w:val="decimal"/>
      <w:lvlText w:val=""/>
      <w:lvlJc w:val="left"/>
    </w:lvl>
    <w:lvl w:ilvl="8" w:tplc="1F0A07B6">
      <w:numFmt w:val="decimal"/>
      <w:lvlText w:val=""/>
      <w:lvlJc w:val="left"/>
    </w:lvl>
  </w:abstractNum>
  <w:abstractNum w:abstractNumId="6" w15:restartNumberingAfterBreak="0">
    <w:nsid w:val="125034B0"/>
    <w:multiLevelType w:val="hybridMultilevel"/>
    <w:tmpl w:val="06820F28"/>
    <w:lvl w:ilvl="0" w:tplc="E2CE8DF0">
      <w:start w:val="1"/>
      <w:numFmt w:val="decimal"/>
      <w:lvlText w:val="%1."/>
      <w:lvlJc w:val="left"/>
      <w:pPr>
        <w:ind w:left="720" w:hanging="360"/>
      </w:pPr>
    </w:lvl>
    <w:lvl w:ilvl="1" w:tplc="B3289F1A">
      <w:numFmt w:val="decimal"/>
      <w:lvlText w:val=""/>
      <w:lvlJc w:val="left"/>
    </w:lvl>
    <w:lvl w:ilvl="2" w:tplc="56042E62">
      <w:numFmt w:val="decimal"/>
      <w:lvlText w:val=""/>
      <w:lvlJc w:val="left"/>
    </w:lvl>
    <w:lvl w:ilvl="3" w:tplc="E4E231CC">
      <w:numFmt w:val="decimal"/>
      <w:lvlText w:val=""/>
      <w:lvlJc w:val="left"/>
    </w:lvl>
    <w:lvl w:ilvl="4" w:tplc="ACEC88EE">
      <w:numFmt w:val="decimal"/>
      <w:lvlText w:val=""/>
      <w:lvlJc w:val="left"/>
    </w:lvl>
    <w:lvl w:ilvl="5" w:tplc="94BC7A8C">
      <w:numFmt w:val="decimal"/>
      <w:lvlText w:val=""/>
      <w:lvlJc w:val="left"/>
    </w:lvl>
    <w:lvl w:ilvl="6" w:tplc="AA82B892">
      <w:numFmt w:val="decimal"/>
      <w:lvlText w:val=""/>
      <w:lvlJc w:val="left"/>
    </w:lvl>
    <w:lvl w:ilvl="7" w:tplc="40FC7EB4">
      <w:numFmt w:val="decimal"/>
      <w:lvlText w:val=""/>
      <w:lvlJc w:val="left"/>
    </w:lvl>
    <w:lvl w:ilvl="8" w:tplc="57E09854">
      <w:numFmt w:val="decimal"/>
      <w:lvlText w:val=""/>
      <w:lvlJc w:val="left"/>
    </w:lvl>
  </w:abstractNum>
  <w:abstractNum w:abstractNumId="7" w15:restartNumberingAfterBreak="0">
    <w:nsid w:val="17D861B2"/>
    <w:multiLevelType w:val="hybridMultilevel"/>
    <w:tmpl w:val="6BA4FEB2"/>
    <w:lvl w:ilvl="0" w:tplc="8DB285EE">
      <w:start w:val="1"/>
      <w:numFmt w:val="decimal"/>
      <w:lvlText w:val="%1."/>
      <w:lvlJc w:val="left"/>
      <w:pPr>
        <w:ind w:left="720" w:hanging="360"/>
      </w:pPr>
    </w:lvl>
    <w:lvl w:ilvl="1" w:tplc="7BAC16A0">
      <w:numFmt w:val="decimal"/>
      <w:lvlText w:val=""/>
      <w:lvlJc w:val="left"/>
    </w:lvl>
    <w:lvl w:ilvl="2" w:tplc="7DE2B398">
      <w:numFmt w:val="decimal"/>
      <w:lvlText w:val=""/>
      <w:lvlJc w:val="left"/>
    </w:lvl>
    <w:lvl w:ilvl="3" w:tplc="789ED134">
      <w:numFmt w:val="decimal"/>
      <w:lvlText w:val=""/>
      <w:lvlJc w:val="left"/>
    </w:lvl>
    <w:lvl w:ilvl="4" w:tplc="6C14B32C">
      <w:numFmt w:val="decimal"/>
      <w:lvlText w:val=""/>
      <w:lvlJc w:val="left"/>
    </w:lvl>
    <w:lvl w:ilvl="5" w:tplc="2EC6C134">
      <w:numFmt w:val="decimal"/>
      <w:lvlText w:val=""/>
      <w:lvlJc w:val="left"/>
    </w:lvl>
    <w:lvl w:ilvl="6" w:tplc="61EAC482">
      <w:numFmt w:val="decimal"/>
      <w:lvlText w:val=""/>
      <w:lvlJc w:val="left"/>
    </w:lvl>
    <w:lvl w:ilvl="7" w:tplc="6A7ED27A">
      <w:numFmt w:val="decimal"/>
      <w:lvlText w:val=""/>
      <w:lvlJc w:val="left"/>
    </w:lvl>
    <w:lvl w:ilvl="8" w:tplc="0B808B52">
      <w:numFmt w:val="decimal"/>
      <w:lvlText w:val=""/>
      <w:lvlJc w:val="left"/>
    </w:lvl>
  </w:abstractNum>
  <w:abstractNum w:abstractNumId="8" w15:restartNumberingAfterBreak="0">
    <w:nsid w:val="19366A7D"/>
    <w:multiLevelType w:val="hybridMultilevel"/>
    <w:tmpl w:val="FEB4F91E"/>
    <w:lvl w:ilvl="0" w:tplc="81A40292">
      <w:start w:val="1"/>
      <w:numFmt w:val="decimal"/>
      <w:lvlText w:val="%1."/>
      <w:lvlJc w:val="left"/>
      <w:pPr>
        <w:ind w:left="720" w:hanging="360"/>
      </w:pPr>
    </w:lvl>
    <w:lvl w:ilvl="1" w:tplc="EA7E842A">
      <w:numFmt w:val="decimal"/>
      <w:lvlText w:val=""/>
      <w:lvlJc w:val="left"/>
    </w:lvl>
    <w:lvl w:ilvl="2" w:tplc="E7D0A634">
      <w:numFmt w:val="decimal"/>
      <w:lvlText w:val=""/>
      <w:lvlJc w:val="left"/>
    </w:lvl>
    <w:lvl w:ilvl="3" w:tplc="B0343784">
      <w:numFmt w:val="decimal"/>
      <w:lvlText w:val=""/>
      <w:lvlJc w:val="left"/>
    </w:lvl>
    <w:lvl w:ilvl="4" w:tplc="1CDA5042">
      <w:numFmt w:val="decimal"/>
      <w:lvlText w:val=""/>
      <w:lvlJc w:val="left"/>
    </w:lvl>
    <w:lvl w:ilvl="5" w:tplc="449EDB62">
      <w:numFmt w:val="decimal"/>
      <w:lvlText w:val=""/>
      <w:lvlJc w:val="left"/>
    </w:lvl>
    <w:lvl w:ilvl="6" w:tplc="DE8AE508">
      <w:numFmt w:val="decimal"/>
      <w:lvlText w:val=""/>
      <w:lvlJc w:val="left"/>
    </w:lvl>
    <w:lvl w:ilvl="7" w:tplc="212E558C">
      <w:numFmt w:val="decimal"/>
      <w:lvlText w:val=""/>
      <w:lvlJc w:val="left"/>
    </w:lvl>
    <w:lvl w:ilvl="8" w:tplc="75F25EA4">
      <w:numFmt w:val="decimal"/>
      <w:lvlText w:val=""/>
      <w:lvlJc w:val="left"/>
    </w:lvl>
  </w:abstractNum>
  <w:abstractNum w:abstractNumId="9" w15:restartNumberingAfterBreak="0">
    <w:nsid w:val="1A653DC8"/>
    <w:multiLevelType w:val="hybridMultilevel"/>
    <w:tmpl w:val="DD0CA340"/>
    <w:lvl w:ilvl="0" w:tplc="35D0B528">
      <w:start w:val="1"/>
      <w:numFmt w:val="bullet"/>
      <w:lvlText w:val="•"/>
      <w:lvlJc w:val="left"/>
      <w:pPr>
        <w:ind w:left="1080" w:hanging="360"/>
      </w:pPr>
    </w:lvl>
    <w:lvl w:ilvl="1" w:tplc="4F6C67E4">
      <w:numFmt w:val="decimal"/>
      <w:lvlText w:val=""/>
      <w:lvlJc w:val="left"/>
    </w:lvl>
    <w:lvl w:ilvl="2" w:tplc="158040DE">
      <w:numFmt w:val="decimal"/>
      <w:lvlText w:val=""/>
      <w:lvlJc w:val="left"/>
    </w:lvl>
    <w:lvl w:ilvl="3" w:tplc="D4320620">
      <w:numFmt w:val="decimal"/>
      <w:lvlText w:val=""/>
      <w:lvlJc w:val="left"/>
    </w:lvl>
    <w:lvl w:ilvl="4" w:tplc="6CAED97C">
      <w:numFmt w:val="decimal"/>
      <w:lvlText w:val=""/>
      <w:lvlJc w:val="left"/>
    </w:lvl>
    <w:lvl w:ilvl="5" w:tplc="26B2E4BC">
      <w:numFmt w:val="decimal"/>
      <w:lvlText w:val=""/>
      <w:lvlJc w:val="left"/>
    </w:lvl>
    <w:lvl w:ilvl="6" w:tplc="816C970C">
      <w:numFmt w:val="decimal"/>
      <w:lvlText w:val=""/>
      <w:lvlJc w:val="left"/>
    </w:lvl>
    <w:lvl w:ilvl="7" w:tplc="31D4017A">
      <w:numFmt w:val="decimal"/>
      <w:lvlText w:val=""/>
      <w:lvlJc w:val="left"/>
    </w:lvl>
    <w:lvl w:ilvl="8" w:tplc="2250B452">
      <w:numFmt w:val="decimal"/>
      <w:lvlText w:val=""/>
      <w:lvlJc w:val="left"/>
    </w:lvl>
  </w:abstractNum>
  <w:abstractNum w:abstractNumId="10" w15:restartNumberingAfterBreak="0">
    <w:nsid w:val="1EED328E"/>
    <w:multiLevelType w:val="hybridMultilevel"/>
    <w:tmpl w:val="5B24D356"/>
    <w:lvl w:ilvl="0" w:tplc="25A480EE">
      <w:start w:val="1"/>
      <w:numFmt w:val="bullet"/>
      <w:lvlText w:val="●"/>
      <w:lvlJc w:val="left"/>
      <w:pPr>
        <w:ind w:left="720" w:hanging="360"/>
      </w:pPr>
    </w:lvl>
    <w:lvl w:ilvl="1" w:tplc="AF5C0A9C">
      <w:start w:val="1"/>
      <w:numFmt w:val="bullet"/>
      <w:lvlText w:val="○"/>
      <w:lvlJc w:val="left"/>
      <w:pPr>
        <w:ind w:left="1440" w:hanging="360"/>
      </w:pPr>
    </w:lvl>
    <w:lvl w:ilvl="2" w:tplc="60DEAC36">
      <w:start w:val="1"/>
      <w:numFmt w:val="bullet"/>
      <w:lvlText w:val="■"/>
      <w:lvlJc w:val="left"/>
      <w:pPr>
        <w:ind w:left="2160" w:hanging="360"/>
      </w:pPr>
    </w:lvl>
    <w:lvl w:ilvl="3" w:tplc="0122E7E8">
      <w:start w:val="1"/>
      <w:numFmt w:val="bullet"/>
      <w:lvlText w:val="●"/>
      <w:lvlJc w:val="left"/>
      <w:pPr>
        <w:ind w:left="2880" w:hanging="360"/>
      </w:pPr>
    </w:lvl>
    <w:lvl w:ilvl="4" w:tplc="46AA5B0E">
      <w:start w:val="1"/>
      <w:numFmt w:val="bullet"/>
      <w:lvlText w:val="○"/>
      <w:lvlJc w:val="left"/>
      <w:pPr>
        <w:ind w:left="3600" w:hanging="360"/>
      </w:pPr>
    </w:lvl>
    <w:lvl w:ilvl="5" w:tplc="7FC88288">
      <w:start w:val="1"/>
      <w:numFmt w:val="bullet"/>
      <w:lvlText w:val="■"/>
      <w:lvlJc w:val="left"/>
      <w:pPr>
        <w:ind w:left="4320" w:hanging="360"/>
      </w:pPr>
    </w:lvl>
    <w:lvl w:ilvl="6" w:tplc="138A1714">
      <w:start w:val="1"/>
      <w:numFmt w:val="bullet"/>
      <w:lvlText w:val="●"/>
      <w:lvlJc w:val="left"/>
      <w:pPr>
        <w:ind w:left="5040" w:hanging="360"/>
      </w:pPr>
    </w:lvl>
    <w:lvl w:ilvl="7" w:tplc="C3B47936">
      <w:start w:val="1"/>
      <w:numFmt w:val="bullet"/>
      <w:lvlText w:val="●"/>
      <w:lvlJc w:val="left"/>
      <w:pPr>
        <w:ind w:left="5760" w:hanging="360"/>
      </w:pPr>
    </w:lvl>
    <w:lvl w:ilvl="8" w:tplc="9A52B52A">
      <w:start w:val="1"/>
      <w:numFmt w:val="bullet"/>
      <w:lvlText w:val="●"/>
      <w:lvlJc w:val="left"/>
      <w:pPr>
        <w:ind w:left="6480" w:hanging="360"/>
      </w:pPr>
    </w:lvl>
  </w:abstractNum>
  <w:abstractNum w:abstractNumId="11" w15:restartNumberingAfterBreak="0">
    <w:nsid w:val="1FB4747C"/>
    <w:multiLevelType w:val="hybridMultilevel"/>
    <w:tmpl w:val="297A978A"/>
    <w:lvl w:ilvl="0" w:tplc="0F660118">
      <w:start w:val="1"/>
      <w:numFmt w:val="bullet"/>
      <w:lvlText w:val="•"/>
      <w:lvlJc w:val="left"/>
      <w:pPr>
        <w:ind w:left="1080" w:hanging="360"/>
      </w:pPr>
    </w:lvl>
    <w:lvl w:ilvl="1" w:tplc="75C21DB2">
      <w:numFmt w:val="decimal"/>
      <w:lvlText w:val=""/>
      <w:lvlJc w:val="left"/>
    </w:lvl>
    <w:lvl w:ilvl="2" w:tplc="A748206A">
      <w:numFmt w:val="decimal"/>
      <w:lvlText w:val=""/>
      <w:lvlJc w:val="left"/>
    </w:lvl>
    <w:lvl w:ilvl="3" w:tplc="F96E8740">
      <w:numFmt w:val="decimal"/>
      <w:lvlText w:val=""/>
      <w:lvlJc w:val="left"/>
    </w:lvl>
    <w:lvl w:ilvl="4" w:tplc="2DF474BA">
      <w:numFmt w:val="decimal"/>
      <w:lvlText w:val=""/>
      <w:lvlJc w:val="left"/>
    </w:lvl>
    <w:lvl w:ilvl="5" w:tplc="841CB746">
      <w:numFmt w:val="decimal"/>
      <w:lvlText w:val=""/>
      <w:lvlJc w:val="left"/>
    </w:lvl>
    <w:lvl w:ilvl="6" w:tplc="7DBABD06">
      <w:numFmt w:val="decimal"/>
      <w:lvlText w:val=""/>
      <w:lvlJc w:val="left"/>
    </w:lvl>
    <w:lvl w:ilvl="7" w:tplc="28AEEADE">
      <w:numFmt w:val="decimal"/>
      <w:lvlText w:val=""/>
      <w:lvlJc w:val="left"/>
    </w:lvl>
    <w:lvl w:ilvl="8" w:tplc="EBF2395A">
      <w:numFmt w:val="decimal"/>
      <w:lvlText w:val=""/>
      <w:lvlJc w:val="left"/>
    </w:lvl>
  </w:abstractNum>
  <w:abstractNum w:abstractNumId="12" w15:restartNumberingAfterBreak="0">
    <w:nsid w:val="21F1527D"/>
    <w:multiLevelType w:val="hybridMultilevel"/>
    <w:tmpl w:val="74D6BF0C"/>
    <w:lvl w:ilvl="0" w:tplc="B25868EA">
      <w:start w:val="1"/>
      <w:numFmt w:val="lowerLetter"/>
      <w:lvlText w:val="%1)"/>
      <w:lvlJc w:val="left"/>
      <w:pPr>
        <w:ind w:left="1080" w:hanging="360"/>
      </w:pPr>
    </w:lvl>
    <w:lvl w:ilvl="1" w:tplc="763C6A10">
      <w:numFmt w:val="decimal"/>
      <w:lvlText w:val=""/>
      <w:lvlJc w:val="left"/>
    </w:lvl>
    <w:lvl w:ilvl="2" w:tplc="439C16A4">
      <w:numFmt w:val="decimal"/>
      <w:lvlText w:val=""/>
      <w:lvlJc w:val="left"/>
    </w:lvl>
    <w:lvl w:ilvl="3" w:tplc="EF44A66A">
      <w:numFmt w:val="decimal"/>
      <w:lvlText w:val=""/>
      <w:lvlJc w:val="left"/>
    </w:lvl>
    <w:lvl w:ilvl="4" w:tplc="B742EC52">
      <w:numFmt w:val="decimal"/>
      <w:lvlText w:val=""/>
      <w:lvlJc w:val="left"/>
    </w:lvl>
    <w:lvl w:ilvl="5" w:tplc="97FE6C44">
      <w:numFmt w:val="decimal"/>
      <w:lvlText w:val=""/>
      <w:lvlJc w:val="left"/>
    </w:lvl>
    <w:lvl w:ilvl="6" w:tplc="E9589BAA">
      <w:numFmt w:val="decimal"/>
      <w:lvlText w:val=""/>
      <w:lvlJc w:val="left"/>
    </w:lvl>
    <w:lvl w:ilvl="7" w:tplc="5CB6241A">
      <w:numFmt w:val="decimal"/>
      <w:lvlText w:val=""/>
      <w:lvlJc w:val="left"/>
    </w:lvl>
    <w:lvl w:ilvl="8" w:tplc="4D029474">
      <w:numFmt w:val="decimal"/>
      <w:lvlText w:val=""/>
      <w:lvlJc w:val="left"/>
    </w:lvl>
  </w:abstractNum>
  <w:abstractNum w:abstractNumId="13" w15:restartNumberingAfterBreak="0">
    <w:nsid w:val="24E47D84"/>
    <w:multiLevelType w:val="hybridMultilevel"/>
    <w:tmpl w:val="1B26C2FC"/>
    <w:lvl w:ilvl="0" w:tplc="CC8837CE">
      <w:start w:val="1"/>
      <w:numFmt w:val="lowerLetter"/>
      <w:lvlText w:val="%1)"/>
      <w:lvlJc w:val="left"/>
      <w:pPr>
        <w:ind w:left="1080" w:hanging="360"/>
      </w:pPr>
    </w:lvl>
    <w:lvl w:ilvl="1" w:tplc="655278CC">
      <w:numFmt w:val="decimal"/>
      <w:lvlText w:val=""/>
      <w:lvlJc w:val="left"/>
    </w:lvl>
    <w:lvl w:ilvl="2" w:tplc="D0C80CFA">
      <w:numFmt w:val="decimal"/>
      <w:lvlText w:val=""/>
      <w:lvlJc w:val="left"/>
    </w:lvl>
    <w:lvl w:ilvl="3" w:tplc="37DA0D8C">
      <w:numFmt w:val="decimal"/>
      <w:lvlText w:val=""/>
      <w:lvlJc w:val="left"/>
    </w:lvl>
    <w:lvl w:ilvl="4" w:tplc="2954FF50">
      <w:numFmt w:val="decimal"/>
      <w:lvlText w:val=""/>
      <w:lvlJc w:val="left"/>
    </w:lvl>
    <w:lvl w:ilvl="5" w:tplc="44CA4A66">
      <w:numFmt w:val="decimal"/>
      <w:lvlText w:val=""/>
      <w:lvlJc w:val="left"/>
    </w:lvl>
    <w:lvl w:ilvl="6" w:tplc="9DA8C808">
      <w:numFmt w:val="decimal"/>
      <w:lvlText w:val=""/>
      <w:lvlJc w:val="left"/>
    </w:lvl>
    <w:lvl w:ilvl="7" w:tplc="628AAFC6">
      <w:numFmt w:val="decimal"/>
      <w:lvlText w:val=""/>
      <w:lvlJc w:val="left"/>
    </w:lvl>
    <w:lvl w:ilvl="8" w:tplc="DF60F6D2">
      <w:numFmt w:val="decimal"/>
      <w:lvlText w:val=""/>
      <w:lvlJc w:val="left"/>
    </w:lvl>
  </w:abstractNum>
  <w:abstractNum w:abstractNumId="14" w15:restartNumberingAfterBreak="0">
    <w:nsid w:val="267C0A07"/>
    <w:multiLevelType w:val="hybridMultilevel"/>
    <w:tmpl w:val="D3D64C58"/>
    <w:lvl w:ilvl="0" w:tplc="3D6486E2">
      <w:start w:val="1"/>
      <w:numFmt w:val="bullet"/>
      <w:lvlText w:val="•"/>
      <w:lvlJc w:val="left"/>
      <w:pPr>
        <w:ind w:left="1080" w:hanging="360"/>
      </w:pPr>
    </w:lvl>
    <w:lvl w:ilvl="1" w:tplc="FDE0FFD6">
      <w:numFmt w:val="decimal"/>
      <w:lvlText w:val=""/>
      <w:lvlJc w:val="left"/>
    </w:lvl>
    <w:lvl w:ilvl="2" w:tplc="3B6C0570">
      <w:numFmt w:val="decimal"/>
      <w:lvlText w:val=""/>
      <w:lvlJc w:val="left"/>
    </w:lvl>
    <w:lvl w:ilvl="3" w:tplc="FD44AC90">
      <w:numFmt w:val="decimal"/>
      <w:lvlText w:val=""/>
      <w:lvlJc w:val="left"/>
    </w:lvl>
    <w:lvl w:ilvl="4" w:tplc="C3A40B90">
      <w:numFmt w:val="decimal"/>
      <w:lvlText w:val=""/>
      <w:lvlJc w:val="left"/>
    </w:lvl>
    <w:lvl w:ilvl="5" w:tplc="01624D34">
      <w:numFmt w:val="decimal"/>
      <w:lvlText w:val=""/>
      <w:lvlJc w:val="left"/>
    </w:lvl>
    <w:lvl w:ilvl="6" w:tplc="27BA7800">
      <w:numFmt w:val="decimal"/>
      <w:lvlText w:val=""/>
      <w:lvlJc w:val="left"/>
    </w:lvl>
    <w:lvl w:ilvl="7" w:tplc="3C4EDE58">
      <w:numFmt w:val="decimal"/>
      <w:lvlText w:val=""/>
      <w:lvlJc w:val="left"/>
    </w:lvl>
    <w:lvl w:ilvl="8" w:tplc="82CEBFF2">
      <w:numFmt w:val="decimal"/>
      <w:lvlText w:val=""/>
      <w:lvlJc w:val="left"/>
    </w:lvl>
  </w:abstractNum>
  <w:abstractNum w:abstractNumId="15" w15:restartNumberingAfterBreak="0">
    <w:nsid w:val="26A679FF"/>
    <w:multiLevelType w:val="hybridMultilevel"/>
    <w:tmpl w:val="FAB0D620"/>
    <w:lvl w:ilvl="0" w:tplc="3394381E">
      <w:start w:val="1"/>
      <w:numFmt w:val="lowerLetter"/>
      <w:lvlText w:val="%1)"/>
      <w:lvlJc w:val="left"/>
      <w:pPr>
        <w:ind w:left="1080" w:hanging="360"/>
      </w:pPr>
    </w:lvl>
    <w:lvl w:ilvl="1" w:tplc="3A52DAE4">
      <w:numFmt w:val="decimal"/>
      <w:lvlText w:val=""/>
      <w:lvlJc w:val="left"/>
    </w:lvl>
    <w:lvl w:ilvl="2" w:tplc="E7100EB2">
      <w:numFmt w:val="decimal"/>
      <w:lvlText w:val=""/>
      <w:lvlJc w:val="left"/>
    </w:lvl>
    <w:lvl w:ilvl="3" w:tplc="2DAEF88C">
      <w:numFmt w:val="decimal"/>
      <w:lvlText w:val=""/>
      <w:lvlJc w:val="left"/>
    </w:lvl>
    <w:lvl w:ilvl="4" w:tplc="BC8A84BC">
      <w:numFmt w:val="decimal"/>
      <w:lvlText w:val=""/>
      <w:lvlJc w:val="left"/>
    </w:lvl>
    <w:lvl w:ilvl="5" w:tplc="A9D28FBA">
      <w:numFmt w:val="decimal"/>
      <w:lvlText w:val=""/>
      <w:lvlJc w:val="left"/>
    </w:lvl>
    <w:lvl w:ilvl="6" w:tplc="7CBA5E04">
      <w:numFmt w:val="decimal"/>
      <w:lvlText w:val=""/>
      <w:lvlJc w:val="left"/>
    </w:lvl>
    <w:lvl w:ilvl="7" w:tplc="5324F58E">
      <w:numFmt w:val="decimal"/>
      <w:lvlText w:val=""/>
      <w:lvlJc w:val="left"/>
    </w:lvl>
    <w:lvl w:ilvl="8" w:tplc="D5B29146">
      <w:numFmt w:val="decimal"/>
      <w:lvlText w:val=""/>
      <w:lvlJc w:val="left"/>
    </w:lvl>
  </w:abstractNum>
  <w:abstractNum w:abstractNumId="16" w15:restartNumberingAfterBreak="0">
    <w:nsid w:val="289F1D87"/>
    <w:multiLevelType w:val="hybridMultilevel"/>
    <w:tmpl w:val="E886EE84"/>
    <w:lvl w:ilvl="0" w:tplc="DDF6B9FA">
      <w:start w:val="1"/>
      <w:numFmt w:val="bullet"/>
      <w:lvlText w:val="•"/>
      <w:lvlJc w:val="left"/>
      <w:pPr>
        <w:ind w:left="1080" w:hanging="360"/>
      </w:pPr>
    </w:lvl>
    <w:lvl w:ilvl="1" w:tplc="4EA20AEE">
      <w:numFmt w:val="decimal"/>
      <w:lvlText w:val=""/>
      <w:lvlJc w:val="left"/>
    </w:lvl>
    <w:lvl w:ilvl="2" w:tplc="B2CCB6F8">
      <w:numFmt w:val="decimal"/>
      <w:lvlText w:val=""/>
      <w:lvlJc w:val="left"/>
    </w:lvl>
    <w:lvl w:ilvl="3" w:tplc="CC847944">
      <w:numFmt w:val="decimal"/>
      <w:lvlText w:val=""/>
      <w:lvlJc w:val="left"/>
    </w:lvl>
    <w:lvl w:ilvl="4" w:tplc="C4BE3D0E">
      <w:numFmt w:val="decimal"/>
      <w:lvlText w:val=""/>
      <w:lvlJc w:val="left"/>
    </w:lvl>
    <w:lvl w:ilvl="5" w:tplc="B35071D6">
      <w:numFmt w:val="decimal"/>
      <w:lvlText w:val=""/>
      <w:lvlJc w:val="left"/>
    </w:lvl>
    <w:lvl w:ilvl="6" w:tplc="7D56EC88">
      <w:numFmt w:val="decimal"/>
      <w:lvlText w:val=""/>
      <w:lvlJc w:val="left"/>
    </w:lvl>
    <w:lvl w:ilvl="7" w:tplc="D1589A50">
      <w:numFmt w:val="decimal"/>
      <w:lvlText w:val=""/>
      <w:lvlJc w:val="left"/>
    </w:lvl>
    <w:lvl w:ilvl="8" w:tplc="90DCE4BA">
      <w:numFmt w:val="decimal"/>
      <w:lvlText w:val=""/>
      <w:lvlJc w:val="left"/>
    </w:lvl>
  </w:abstractNum>
  <w:abstractNum w:abstractNumId="17" w15:restartNumberingAfterBreak="0">
    <w:nsid w:val="2D6B1355"/>
    <w:multiLevelType w:val="hybridMultilevel"/>
    <w:tmpl w:val="C9DA6270"/>
    <w:lvl w:ilvl="0" w:tplc="BA72407C">
      <w:start w:val="1"/>
      <w:numFmt w:val="decimal"/>
      <w:lvlText w:val="%1."/>
      <w:lvlJc w:val="left"/>
      <w:pPr>
        <w:ind w:left="720" w:hanging="360"/>
      </w:pPr>
    </w:lvl>
    <w:lvl w:ilvl="1" w:tplc="52026874">
      <w:numFmt w:val="decimal"/>
      <w:lvlText w:val=""/>
      <w:lvlJc w:val="left"/>
    </w:lvl>
    <w:lvl w:ilvl="2" w:tplc="B3C41828">
      <w:numFmt w:val="decimal"/>
      <w:lvlText w:val=""/>
      <w:lvlJc w:val="left"/>
    </w:lvl>
    <w:lvl w:ilvl="3" w:tplc="2CC02ED6">
      <w:numFmt w:val="decimal"/>
      <w:lvlText w:val=""/>
      <w:lvlJc w:val="left"/>
    </w:lvl>
    <w:lvl w:ilvl="4" w:tplc="24C4DDA2">
      <w:numFmt w:val="decimal"/>
      <w:lvlText w:val=""/>
      <w:lvlJc w:val="left"/>
    </w:lvl>
    <w:lvl w:ilvl="5" w:tplc="44B060B0">
      <w:numFmt w:val="decimal"/>
      <w:lvlText w:val=""/>
      <w:lvlJc w:val="left"/>
    </w:lvl>
    <w:lvl w:ilvl="6" w:tplc="B9B86BA4">
      <w:numFmt w:val="decimal"/>
      <w:lvlText w:val=""/>
      <w:lvlJc w:val="left"/>
    </w:lvl>
    <w:lvl w:ilvl="7" w:tplc="CCF2D6F8">
      <w:numFmt w:val="decimal"/>
      <w:lvlText w:val=""/>
      <w:lvlJc w:val="left"/>
    </w:lvl>
    <w:lvl w:ilvl="8" w:tplc="8DEC0094">
      <w:numFmt w:val="decimal"/>
      <w:lvlText w:val=""/>
      <w:lvlJc w:val="left"/>
    </w:lvl>
  </w:abstractNum>
  <w:abstractNum w:abstractNumId="18" w15:restartNumberingAfterBreak="0">
    <w:nsid w:val="2E0956A4"/>
    <w:multiLevelType w:val="hybridMultilevel"/>
    <w:tmpl w:val="56E64364"/>
    <w:lvl w:ilvl="0" w:tplc="A104B852">
      <w:start w:val="1"/>
      <w:numFmt w:val="lowerRoman"/>
      <w:lvlText w:val="%1."/>
      <w:lvlJc w:val="left"/>
      <w:pPr>
        <w:ind w:left="1440" w:hanging="360"/>
      </w:pPr>
    </w:lvl>
    <w:lvl w:ilvl="1" w:tplc="BA5E2C5C">
      <w:numFmt w:val="decimal"/>
      <w:lvlText w:val=""/>
      <w:lvlJc w:val="left"/>
    </w:lvl>
    <w:lvl w:ilvl="2" w:tplc="134A4D12">
      <w:numFmt w:val="decimal"/>
      <w:lvlText w:val=""/>
      <w:lvlJc w:val="left"/>
    </w:lvl>
    <w:lvl w:ilvl="3" w:tplc="2A320E06">
      <w:numFmt w:val="decimal"/>
      <w:lvlText w:val=""/>
      <w:lvlJc w:val="left"/>
    </w:lvl>
    <w:lvl w:ilvl="4" w:tplc="762A8C28">
      <w:numFmt w:val="decimal"/>
      <w:lvlText w:val=""/>
      <w:lvlJc w:val="left"/>
    </w:lvl>
    <w:lvl w:ilvl="5" w:tplc="74E25E9A">
      <w:numFmt w:val="decimal"/>
      <w:lvlText w:val=""/>
      <w:lvlJc w:val="left"/>
    </w:lvl>
    <w:lvl w:ilvl="6" w:tplc="8EE4627A">
      <w:numFmt w:val="decimal"/>
      <w:lvlText w:val=""/>
      <w:lvlJc w:val="left"/>
    </w:lvl>
    <w:lvl w:ilvl="7" w:tplc="7F24F7C2">
      <w:numFmt w:val="decimal"/>
      <w:lvlText w:val=""/>
      <w:lvlJc w:val="left"/>
    </w:lvl>
    <w:lvl w:ilvl="8" w:tplc="549AF0EC">
      <w:numFmt w:val="decimal"/>
      <w:lvlText w:val=""/>
      <w:lvlJc w:val="left"/>
    </w:lvl>
  </w:abstractNum>
  <w:abstractNum w:abstractNumId="19" w15:restartNumberingAfterBreak="0">
    <w:nsid w:val="2F7A2AD0"/>
    <w:multiLevelType w:val="hybridMultilevel"/>
    <w:tmpl w:val="4C98F2B4"/>
    <w:lvl w:ilvl="0" w:tplc="7A6E72E4">
      <w:start w:val="1"/>
      <w:numFmt w:val="bullet"/>
      <w:lvlText w:val="•"/>
      <w:lvlJc w:val="left"/>
      <w:pPr>
        <w:ind w:left="1080" w:hanging="360"/>
      </w:pPr>
    </w:lvl>
    <w:lvl w:ilvl="1" w:tplc="28883594">
      <w:numFmt w:val="decimal"/>
      <w:lvlText w:val=""/>
      <w:lvlJc w:val="left"/>
    </w:lvl>
    <w:lvl w:ilvl="2" w:tplc="BF0E2BEE">
      <w:numFmt w:val="decimal"/>
      <w:lvlText w:val=""/>
      <w:lvlJc w:val="left"/>
    </w:lvl>
    <w:lvl w:ilvl="3" w:tplc="A3126312">
      <w:numFmt w:val="decimal"/>
      <w:lvlText w:val=""/>
      <w:lvlJc w:val="left"/>
    </w:lvl>
    <w:lvl w:ilvl="4" w:tplc="45125ABA">
      <w:numFmt w:val="decimal"/>
      <w:lvlText w:val=""/>
      <w:lvlJc w:val="left"/>
    </w:lvl>
    <w:lvl w:ilvl="5" w:tplc="EAB261E6">
      <w:numFmt w:val="decimal"/>
      <w:lvlText w:val=""/>
      <w:lvlJc w:val="left"/>
    </w:lvl>
    <w:lvl w:ilvl="6" w:tplc="13C4C2FC">
      <w:numFmt w:val="decimal"/>
      <w:lvlText w:val=""/>
      <w:lvlJc w:val="left"/>
    </w:lvl>
    <w:lvl w:ilvl="7" w:tplc="B3BEED14">
      <w:numFmt w:val="decimal"/>
      <w:lvlText w:val=""/>
      <w:lvlJc w:val="left"/>
    </w:lvl>
    <w:lvl w:ilvl="8" w:tplc="9FC27F18">
      <w:numFmt w:val="decimal"/>
      <w:lvlText w:val=""/>
      <w:lvlJc w:val="left"/>
    </w:lvl>
  </w:abstractNum>
  <w:abstractNum w:abstractNumId="20" w15:restartNumberingAfterBreak="0">
    <w:nsid w:val="309E6119"/>
    <w:multiLevelType w:val="hybridMultilevel"/>
    <w:tmpl w:val="89AAE5F8"/>
    <w:lvl w:ilvl="0" w:tplc="FC86528A">
      <w:start w:val="1"/>
      <w:numFmt w:val="lowerLetter"/>
      <w:lvlText w:val="%1)"/>
      <w:lvlJc w:val="left"/>
      <w:pPr>
        <w:ind w:left="1080" w:hanging="360"/>
      </w:pPr>
    </w:lvl>
    <w:lvl w:ilvl="1" w:tplc="DCAE87E4">
      <w:numFmt w:val="decimal"/>
      <w:lvlText w:val=""/>
      <w:lvlJc w:val="left"/>
    </w:lvl>
    <w:lvl w:ilvl="2" w:tplc="C8FCE4BC">
      <w:numFmt w:val="decimal"/>
      <w:lvlText w:val=""/>
      <w:lvlJc w:val="left"/>
    </w:lvl>
    <w:lvl w:ilvl="3" w:tplc="BE72A27E">
      <w:numFmt w:val="decimal"/>
      <w:lvlText w:val=""/>
      <w:lvlJc w:val="left"/>
    </w:lvl>
    <w:lvl w:ilvl="4" w:tplc="431E5FE8">
      <w:numFmt w:val="decimal"/>
      <w:lvlText w:val=""/>
      <w:lvlJc w:val="left"/>
    </w:lvl>
    <w:lvl w:ilvl="5" w:tplc="C82CFB9E">
      <w:numFmt w:val="decimal"/>
      <w:lvlText w:val=""/>
      <w:lvlJc w:val="left"/>
    </w:lvl>
    <w:lvl w:ilvl="6" w:tplc="74C08E5E">
      <w:numFmt w:val="decimal"/>
      <w:lvlText w:val=""/>
      <w:lvlJc w:val="left"/>
    </w:lvl>
    <w:lvl w:ilvl="7" w:tplc="4C780A94">
      <w:numFmt w:val="decimal"/>
      <w:lvlText w:val=""/>
      <w:lvlJc w:val="left"/>
    </w:lvl>
    <w:lvl w:ilvl="8" w:tplc="3E524BCE">
      <w:numFmt w:val="decimal"/>
      <w:lvlText w:val=""/>
      <w:lvlJc w:val="left"/>
    </w:lvl>
  </w:abstractNum>
  <w:abstractNum w:abstractNumId="21" w15:restartNumberingAfterBreak="0">
    <w:nsid w:val="31845DF8"/>
    <w:multiLevelType w:val="hybridMultilevel"/>
    <w:tmpl w:val="5A5252EA"/>
    <w:lvl w:ilvl="0" w:tplc="64E4EA50">
      <w:start w:val="1"/>
      <w:numFmt w:val="bullet"/>
      <w:lvlText w:val="•"/>
      <w:lvlJc w:val="left"/>
      <w:pPr>
        <w:ind w:left="1080" w:hanging="360"/>
      </w:pPr>
    </w:lvl>
    <w:lvl w:ilvl="1" w:tplc="923A5464">
      <w:numFmt w:val="decimal"/>
      <w:lvlText w:val=""/>
      <w:lvlJc w:val="left"/>
    </w:lvl>
    <w:lvl w:ilvl="2" w:tplc="D8F60D8A">
      <w:numFmt w:val="decimal"/>
      <w:lvlText w:val=""/>
      <w:lvlJc w:val="left"/>
    </w:lvl>
    <w:lvl w:ilvl="3" w:tplc="BCE08ACA">
      <w:numFmt w:val="decimal"/>
      <w:lvlText w:val=""/>
      <w:lvlJc w:val="left"/>
    </w:lvl>
    <w:lvl w:ilvl="4" w:tplc="E25A42CC">
      <w:numFmt w:val="decimal"/>
      <w:lvlText w:val=""/>
      <w:lvlJc w:val="left"/>
    </w:lvl>
    <w:lvl w:ilvl="5" w:tplc="D9F649F6">
      <w:numFmt w:val="decimal"/>
      <w:lvlText w:val=""/>
      <w:lvlJc w:val="left"/>
    </w:lvl>
    <w:lvl w:ilvl="6" w:tplc="DD0A71D4">
      <w:numFmt w:val="decimal"/>
      <w:lvlText w:val=""/>
      <w:lvlJc w:val="left"/>
    </w:lvl>
    <w:lvl w:ilvl="7" w:tplc="51FA770A">
      <w:numFmt w:val="decimal"/>
      <w:lvlText w:val=""/>
      <w:lvlJc w:val="left"/>
    </w:lvl>
    <w:lvl w:ilvl="8" w:tplc="609CC9D8">
      <w:numFmt w:val="decimal"/>
      <w:lvlText w:val=""/>
      <w:lvlJc w:val="left"/>
    </w:lvl>
  </w:abstractNum>
  <w:abstractNum w:abstractNumId="22" w15:restartNumberingAfterBreak="0">
    <w:nsid w:val="3194431A"/>
    <w:multiLevelType w:val="hybridMultilevel"/>
    <w:tmpl w:val="017E94F6"/>
    <w:lvl w:ilvl="0" w:tplc="07D60B62">
      <w:start w:val="1"/>
      <w:numFmt w:val="decimal"/>
      <w:lvlText w:val="%1."/>
      <w:lvlJc w:val="left"/>
      <w:pPr>
        <w:ind w:left="720" w:hanging="360"/>
      </w:pPr>
    </w:lvl>
    <w:lvl w:ilvl="1" w:tplc="1E24BDFC">
      <w:numFmt w:val="decimal"/>
      <w:lvlText w:val=""/>
      <w:lvlJc w:val="left"/>
    </w:lvl>
    <w:lvl w:ilvl="2" w:tplc="E40AD42A">
      <w:numFmt w:val="decimal"/>
      <w:lvlText w:val=""/>
      <w:lvlJc w:val="left"/>
    </w:lvl>
    <w:lvl w:ilvl="3" w:tplc="E3EC5210">
      <w:numFmt w:val="decimal"/>
      <w:lvlText w:val=""/>
      <w:lvlJc w:val="left"/>
    </w:lvl>
    <w:lvl w:ilvl="4" w:tplc="B77A4678">
      <w:numFmt w:val="decimal"/>
      <w:lvlText w:val=""/>
      <w:lvlJc w:val="left"/>
    </w:lvl>
    <w:lvl w:ilvl="5" w:tplc="C52A8F56">
      <w:numFmt w:val="decimal"/>
      <w:lvlText w:val=""/>
      <w:lvlJc w:val="left"/>
    </w:lvl>
    <w:lvl w:ilvl="6" w:tplc="4058F83A">
      <w:numFmt w:val="decimal"/>
      <w:lvlText w:val=""/>
      <w:lvlJc w:val="left"/>
    </w:lvl>
    <w:lvl w:ilvl="7" w:tplc="4EF2ECE6">
      <w:numFmt w:val="decimal"/>
      <w:lvlText w:val=""/>
      <w:lvlJc w:val="left"/>
    </w:lvl>
    <w:lvl w:ilvl="8" w:tplc="BC220DBE">
      <w:numFmt w:val="decimal"/>
      <w:lvlText w:val=""/>
      <w:lvlJc w:val="left"/>
    </w:lvl>
  </w:abstractNum>
  <w:abstractNum w:abstractNumId="23" w15:restartNumberingAfterBreak="0">
    <w:nsid w:val="332416D2"/>
    <w:multiLevelType w:val="hybridMultilevel"/>
    <w:tmpl w:val="6BA2C73C"/>
    <w:lvl w:ilvl="0" w:tplc="DD442C42">
      <w:start w:val="1"/>
      <w:numFmt w:val="bullet"/>
      <w:lvlText w:val="•"/>
      <w:lvlJc w:val="left"/>
      <w:pPr>
        <w:ind w:left="1080" w:hanging="360"/>
      </w:pPr>
    </w:lvl>
    <w:lvl w:ilvl="1" w:tplc="473C30EA">
      <w:numFmt w:val="decimal"/>
      <w:lvlText w:val=""/>
      <w:lvlJc w:val="left"/>
    </w:lvl>
    <w:lvl w:ilvl="2" w:tplc="CC36EB72">
      <w:numFmt w:val="decimal"/>
      <w:lvlText w:val=""/>
      <w:lvlJc w:val="left"/>
    </w:lvl>
    <w:lvl w:ilvl="3" w:tplc="0CCE8DAA">
      <w:numFmt w:val="decimal"/>
      <w:lvlText w:val=""/>
      <w:lvlJc w:val="left"/>
    </w:lvl>
    <w:lvl w:ilvl="4" w:tplc="599C52B2">
      <w:numFmt w:val="decimal"/>
      <w:lvlText w:val=""/>
      <w:lvlJc w:val="left"/>
    </w:lvl>
    <w:lvl w:ilvl="5" w:tplc="01C68702">
      <w:numFmt w:val="decimal"/>
      <w:lvlText w:val=""/>
      <w:lvlJc w:val="left"/>
    </w:lvl>
    <w:lvl w:ilvl="6" w:tplc="B910344A">
      <w:numFmt w:val="decimal"/>
      <w:lvlText w:val=""/>
      <w:lvlJc w:val="left"/>
    </w:lvl>
    <w:lvl w:ilvl="7" w:tplc="6202546A">
      <w:numFmt w:val="decimal"/>
      <w:lvlText w:val=""/>
      <w:lvlJc w:val="left"/>
    </w:lvl>
    <w:lvl w:ilvl="8" w:tplc="D582857C">
      <w:numFmt w:val="decimal"/>
      <w:lvlText w:val=""/>
      <w:lvlJc w:val="left"/>
    </w:lvl>
  </w:abstractNum>
  <w:abstractNum w:abstractNumId="24" w15:restartNumberingAfterBreak="0">
    <w:nsid w:val="347521A6"/>
    <w:multiLevelType w:val="hybridMultilevel"/>
    <w:tmpl w:val="08E6D6C6"/>
    <w:lvl w:ilvl="0" w:tplc="EA2A150E">
      <w:start w:val="1"/>
      <w:numFmt w:val="lowerLetter"/>
      <w:lvlText w:val="%1)"/>
      <w:lvlJc w:val="left"/>
      <w:pPr>
        <w:ind w:left="1080" w:hanging="360"/>
      </w:pPr>
    </w:lvl>
    <w:lvl w:ilvl="1" w:tplc="1F74EB98">
      <w:numFmt w:val="decimal"/>
      <w:lvlText w:val=""/>
      <w:lvlJc w:val="left"/>
    </w:lvl>
    <w:lvl w:ilvl="2" w:tplc="BA2A55FE">
      <w:numFmt w:val="decimal"/>
      <w:lvlText w:val=""/>
      <w:lvlJc w:val="left"/>
    </w:lvl>
    <w:lvl w:ilvl="3" w:tplc="4A8C2A8E">
      <w:numFmt w:val="decimal"/>
      <w:lvlText w:val=""/>
      <w:lvlJc w:val="left"/>
    </w:lvl>
    <w:lvl w:ilvl="4" w:tplc="FB3A643C">
      <w:numFmt w:val="decimal"/>
      <w:lvlText w:val=""/>
      <w:lvlJc w:val="left"/>
    </w:lvl>
    <w:lvl w:ilvl="5" w:tplc="CE96C9EE">
      <w:numFmt w:val="decimal"/>
      <w:lvlText w:val=""/>
      <w:lvlJc w:val="left"/>
    </w:lvl>
    <w:lvl w:ilvl="6" w:tplc="225A5ACA">
      <w:numFmt w:val="decimal"/>
      <w:lvlText w:val=""/>
      <w:lvlJc w:val="left"/>
    </w:lvl>
    <w:lvl w:ilvl="7" w:tplc="84D8CE7C">
      <w:numFmt w:val="decimal"/>
      <w:lvlText w:val=""/>
      <w:lvlJc w:val="left"/>
    </w:lvl>
    <w:lvl w:ilvl="8" w:tplc="EAD22EDA">
      <w:numFmt w:val="decimal"/>
      <w:lvlText w:val=""/>
      <w:lvlJc w:val="left"/>
    </w:lvl>
  </w:abstractNum>
  <w:abstractNum w:abstractNumId="25" w15:restartNumberingAfterBreak="0">
    <w:nsid w:val="365C2E75"/>
    <w:multiLevelType w:val="hybridMultilevel"/>
    <w:tmpl w:val="E94817CE"/>
    <w:lvl w:ilvl="0" w:tplc="8B84C5E2">
      <w:start w:val="1"/>
      <w:numFmt w:val="decimal"/>
      <w:lvlText w:val="%1."/>
      <w:lvlJc w:val="left"/>
      <w:pPr>
        <w:ind w:left="720" w:hanging="360"/>
      </w:pPr>
    </w:lvl>
    <w:lvl w:ilvl="1" w:tplc="021C4274">
      <w:numFmt w:val="decimal"/>
      <w:lvlText w:val=""/>
      <w:lvlJc w:val="left"/>
    </w:lvl>
    <w:lvl w:ilvl="2" w:tplc="E6D2BF9A">
      <w:numFmt w:val="decimal"/>
      <w:lvlText w:val=""/>
      <w:lvlJc w:val="left"/>
    </w:lvl>
    <w:lvl w:ilvl="3" w:tplc="26525F9C">
      <w:numFmt w:val="decimal"/>
      <w:lvlText w:val=""/>
      <w:lvlJc w:val="left"/>
    </w:lvl>
    <w:lvl w:ilvl="4" w:tplc="807CA10E">
      <w:numFmt w:val="decimal"/>
      <w:lvlText w:val=""/>
      <w:lvlJc w:val="left"/>
    </w:lvl>
    <w:lvl w:ilvl="5" w:tplc="40C8C0E0">
      <w:numFmt w:val="decimal"/>
      <w:lvlText w:val=""/>
      <w:lvlJc w:val="left"/>
    </w:lvl>
    <w:lvl w:ilvl="6" w:tplc="E83E320C">
      <w:numFmt w:val="decimal"/>
      <w:lvlText w:val=""/>
      <w:lvlJc w:val="left"/>
    </w:lvl>
    <w:lvl w:ilvl="7" w:tplc="7E086E1E">
      <w:numFmt w:val="decimal"/>
      <w:lvlText w:val=""/>
      <w:lvlJc w:val="left"/>
    </w:lvl>
    <w:lvl w:ilvl="8" w:tplc="D730DB08">
      <w:numFmt w:val="decimal"/>
      <w:lvlText w:val=""/>
      <w:lvlJc w:val="left"/>
    </w:lvl>
  </w:abstractNum>
  <w:abstractNum w:abstractNumId="26" w15:restartNumberingAfterBreak="0">
    <w:nsid w:val="366F6E4B"/>
    <w:multiLevelType w:val="hybridMultilevel"/>
    <w:tmpl w:val="F938984A"/>
    <w:lvl w:ilvl="0" w:tplc="D2629658">
      <w:start w:val="1"/>
      <w:numFmt w:val="decimal"/>
      <w:lvlText w:val="%1."/>
      <w:lvlJc w:val="left"/>
      <w:pPr>
        <w:ind w:left="720" w:hanging="360"/>
      </w:pPr>
    </w:lvl>
    <w:lvl w:ilvl="1" w:tplc="4D08C1EA">
      <w:numFmt w:val="decimal"/>
      <w:lvlText w:val=""/>
      <w:lvlJc w:val="left"/>
    </w:lvl>
    <w:lvl w:ilvl="2" w:tplc="AD9E30C6">
      <w:numFmt w:val="decimal"/>
      <w:lvlText w:val=""/>
      <w:lvlJc w:val="left"/>
    </w:lvl>
    <w:lvl w:ilvl="3" w:tplc="A6F814E6">
      <w:numFmt w:val="decimal"/>
      <w:lvlText w:val=""/>
      <w:lvlJc w:val="left"/>
    </w:lvl>
    <w:lvl w:ilvl="4" w:tplc="40C883BC">
      <w:numFmt w:val="decimal"/>
      <w:lvlText w:val=""/>
      <w:lvlJc w:val="left"/>
    </w:lvl>
    <w:lvl w:ilvl="5" w:tplc="33BAF338">
      <w:numFmt w:val="decimal"/>
      <w:lvlText w:val=""/>
      <w:lvlJc w:val="left"/>
    </w:lvl>
    <w:lvl w:ilvl="6" w:tplc="5EDCA7AC">
      <w:numFmt w:val="decimal"/>
      <w:lvlText w:val=""/>
      <w:lvlJc w:val="left"/>
    </w:lvl>
    <w:lvl w:ilvl="7" w:tplc="0D829772">
      <w:numFmt w:val="decimal"/>
      <w:lvlText w:val=""/>
      <w:lvlJc w:val="left"/>
    </w:lvl>
    <w:lvl w:ilvl="8" w:tplc="90FED72A">
      <w:numFmt w:val="decimal"/>
      <w:lvlText w:val=""/>
      <w:lvlJc w:val="left"/>
    </w:lvl>
  </w:abstractNum>
  <w:abstractNum w:abstractNumId="27" w15:restartNumberingAfterBreak="0">
    <w:nsid w:val="39A23BD7"/>
    <w:multiLevelType w:val="hybridMultilevel"/>
    <w:tmpl w:val="CB9A4BFA"/>
    <w:lvl w:ilvl="0" w:tplc="0A9A349A">
      <w:start w:val="1"/>
      <w:numFmt w:val="lowerLetter"/>
      <w:lvlText w:val="%1)"/>
      <w:lvlJc w:val="left"/>
      <w:pPr>
        <w:ind w:left="1080" w:hanging="360"/>
      </w:pPr>
    </w:lvl>
    <w:lvl w:ilvl="1" w:tplc="675A87AE">
      <w:numFmt w:val="decimal"/>
      <w:lvlText w:val=""/>
      <w:lvlJc w:val="left"/>
    </w:lvl>
    <w:lvl w:ilvl="2" w:tplc="7EE8291C">
      <w:numFmt w:val="decimal"/>
      <w:lvlText w:val=""/>
      <w:lvlJc w:val="left"/>
    </w:lvl>
    <w:lvl w:ilvl="3" w:tplc="6A76A940">
      <w:numFmt w:val="decimal"/>
      <w:lvlText w:val=""/>
      <w:lvlJc w:val="left"/>
    </w:lvl>
    <w:lvl w:ilvl="4" w:tplc="6FFA26D6">
      <w:numFmt w:val="decimal"/>
      <w:lvlText w:val=""/>
      <w:lvlJc w:val="left"/>
    </w:lvl>
    <w:lvl w:ilvl="5" w:tplc="5602DC94">
      <w:numFmt w:val="decimal"/>
      <w:lvlText w:val=""/>
      <w:lvlJc w:val="left"/>
    </w:lvl>
    <w:lvl w:ilvl="6" w:tplc="9410D08E">
      <w:numFmt w:val="decimal"/>
      <w:lvlText w:val=""/>
      <w:lvlJc w:val="left"/>
    </w:lvl>
    <w:lvl w:ilvl="7" w:tplc="634E2CF0">
      <w:numFmt w:val="decimal"/>
      <w:lvlText w:val=""/>
      <w:lvlJc w:val="left"/>
    </w:lvl>
    <w:lvl w:ilvl="8" w:tplc="774AB84C">
      <w:numFmt w:val="decimal"/>
      <w:lvlText w:val=""/>
      <w:lvlJc w:val="left"/>
    </w:lvl>
  </w:abstractNum>
  <w:abstractNum w:abstractNumId="28" w15:restartNumberingAfterBreak="0">
    <w:nsid w:val="3A434E3F"/>
    <w:multiLevelType w:val="hybridMultilevel"/>
    <w:tmpl w:val="138676A2"/>
    <w:lvl w:ilvl="0" w:tplc="8482FA30">
      <w:start w:val="1"/>
      <w:numFmt w:val="bullet"/>
      <w:lvlText w:val="•"/>
      <w:lvlJc w:val="left"/>
      <w:pPr>
        <w:ind w:left="1080" w:hanging="360"/>
      </w:pPr>
    </w:lvl>
    <w:lvl w:ilvl="1" w:tplc="CA20AE74">
      <w:numFmt w:val="decimal"/>
      <w:lvlText w:val=""/>
      <w:lvlJc w:val="left"/>
    </w:lvl>
    <w:lvl w:ilvl="2" w:tplc="3C76FCC6">
      <w:numFmt w:val="decimal"/>
      <w:lvlText w:val=""/>
      <w:lvlJc w:val="left"/>
    </w:lvl>
    <w:lvl w:ilvl="3" w:tplc="C95E9C18">
      <w:numFmt w:val="decimal"/>
      <w:lvlText w:val=""/>
      <w:lvlJc w:val="left"/>
    </w:lvl>
    <w:lvl w:ilvl="4" w:tplc="AFFA8394">
      <w:numFmt w:val="decimal"/>
      <w:lvlText w:val=""/>
      <w:lvlJc w:val="left"/>
    </w:lvl>
    <w:lvl w:ilvl="5" w:tplc="2494B5A0">
      <w:numFmt w:val="decimal"/>
      <w:lvlText w:val=""/>
      <w:lvlJc w:val="left"/>
    </w:lvl>
    <w:lvl w:ilvl="6" w:tplc="3EACC5EA">
      <w:numFmt w:val="decimal"/>
      <w:lvlText w:val=""/>
      <w:lvlJc w:val="left"/>
    </w:lvl>
    <w:lvl w:ilvl="7" w:tplc="1F96FD5A">
      <w:numFmt w:val="decimal"/>
      <w:lvlText w:val=""/>
      <w:lvlJc w:val="left"/>
    </w:lvl>
    <w:lvl w:ilvl="8" w:tplc="19646F46">
      <w:numFmt w:val="decimal"/>
      <w:lvlText w:val=""/>
      <w:lvlJc w:val="left"/>
    </w:lvl>
  </w:abstractNum>
  <w:abstractNum w:abstractNumId="29" w15:restartNumberingAfterBreak="0">
    <w:nsid w:val="3B0208CE"/>
    <w:multiLevelType w:val="hybridMultilevel"/>
    <w:tmpl w:val="FFE6E558"/>
    <w:lvl w:ilvl="0" w:tplc="EDFC9A0E">
      <w:start w:val="1"/>
      <w:numFmt w:val="decimal"/>
      <w:lvlText w:val="%1."/>
      <w:lvlJc w:val="left"/>
      <w:pPr>
        <w:ind w:left="720" w:hanging="360"/>
      </w:pPr>
    </w:lvl>
    <w:lvl w:ilvl="1" w:tplc="70B086C4">
      <w:numFmt w:val="decimal"/>
      <w:lvlText w:val=""/>
      <w:lvlJc w:val="left"/>
    </w:lvl>
    <w:lvl w:ilvl="2" w:tplc="84EA6C42">
      <w:numFmt w:val="decimal"/>
      <w:lvlText w:val=""/>
      <w:lvlJc w:val="left"/>
    </w:lvl>
    <w:lvl w:ilvl="3" w:tplc="AA58A33E">
      <w:numFmt w:val="decimal"/>
      <w:lvlText w:val=""/>
      <w:lvlJc w:val="left"/>
    </w:lvl>
    <w:lvl w:ilvl="4" w:tplc="2B329426">
      <w:numFmt w:val="decimal"/>
      <w:lvlText w:val=""/>
      <w:lvlJc w:val="left"/>
    </w:lvl>
    <w:lvl w:ilvl="5" w:tplc="1F5422D0">
      <w:numFmt w:val="decimal"/>
      <w:lvlText w:val=""/>
      <w:lvlJc w:val="left"/>
    </w:lvl>
    <w:lvl w:ilvl="6" w:tplc="0E3A18CC">
      <w:numFmt w:val="decimal"/>
      <w:lvlText w:val=""/>
      <w:lvlJc w:val="left"/>
    </w:lvl>
    <w:lvl w:ilvl="7" w:tplc="8D78CFF6">
      <w:numFmt w:val="decimal"/>
      <w:lvlText w:val=""/>
      <w:lvlJc w:val="left"/>
    </w:lvl>
    <w:lvl w:ilvl="8" w:tplc="BEF686DC">
      <w:numFmt w:val="decimal"/>
      <w:lvlText w:val=""/>
      <w:lvlJc w:val="left"/>
    </w:lvl>
  </w:abstractNum>
  <w:abstractNum w:abstractNumId="30" w15:restartNumberingAfterBreak="0">
    <w:nsid w:val="3DA92A66"/>
    <w:multiLevelType w:val="hybridMultilevel"/>
    <w:tmpl w:val="A0D0EF64"/>
    <w:lvl w:ilvl="0" w:tplc="62BAF576">
      <w:start w:val="1"/>
      <w:numFmt w:val="lowerLetter"/>
      <w:lvlText w:val="%1)"/>
      <w:lvlJc w:val="left"/>
      <w:pPr>
        <w:ind w:left="1080" w:hanging="360"/>
      </w:pPr>
    </w:lvl>
    <w:lvl w:ilvl="1" w:tplc="728A7EE8">
      <w:numFmt w:val="decimal"/>
      <w:lvlText w:val=""/>
      <w:lvlJc w:val="left"/>
    </w:lvl>
    <w:lvl w:ilvl="2" w:tplc="FE800B9E">
      <w:numFmt w:val="decimal"/>
      <w:lvlText w:val=""/>
      <w:lvlJc w:val="left"/>
    </w:lvl>
    <w:lvl w:ilvl="3" w:tplc="15A4A844">
      <w:numFmt w:val="decimal"/>
      <w:lvlText w:val=""/>
      <w:lvlJc w:val="left"/>
    </w:lvl>
    <w:lvl w:ilvl="4" w:tplc="C41C1302">
      <w:numFmt w:val="decimal"/>
      <w:lvlText w:val=""/>
      <w:lvlJc w:val="left"/>
    </w:lvl>
    <w:lvl w:ilvl="5" w:tplc="A71EBAB2">
      <w:numFmt w:val="decimal"/>
      <w:lvlText w:val=""/>
      <w:lvlJc w:val="left"/>
    </w:lvl>
    <w:lvl w:ilvl="6" w:tplc="B8FC3B06">
      <w:numFmt w:val="decimal"/>
      <w:lvlText w:val=""/>
      <w:lvlJc w:val="left"/>
    </w:lvl>
    <w:lvl w:ilvl="7" w:tplc="A63A7ABC">
      <w:numFmt w:val="decimal"/>
      <w:lvlText w:val=""/>
      <w:lvlJc w:val="left"/>
    </w:lvl>
    <w:lvl w:ilvl="8" w:tplc="1B341606">
      <w:numFmt w:val="decimal"/>
      <w:lvlText w:val=""/>
      <w:lvlJc w:val="left"/>
    </w:lvl>
  </w:abstractNum>
  <w:abstractNum w:abstractNumId="31" w15:restartNumberingAfterBreak="0">
    <w:nsid w:val="3DC7321A"/>
    <w:multiLevelType w:val="hybridMultilevel"/>
    <w:tmpl w:val="B5AC283C"/>
    <w:lvl w:ilvl="0" w:tplc="0A469B8A">
      <w:start w:val="1"/>
      <w:numFmt w:val="decimal"/>
      <w:lvlText w:val="%1."/>
      <w:lvlJc w:val="left"/>
      <w:pPr>
        <w:ind w:left="720" w:hanging="360"/>
      </w:pPr>
    </w:lvl>
    <w:lvl w:ilvl="1" w:tplc="AE32634C">
      <w:numFmt w:val="decimal"/>
      <w:lvlText w:val=""/>
      <w:lvlJc w:val="left"/>
    </w:lvl>
    <w:lvl w:ilvl="2" w:tplc="D99483FC">
      <w:numFmt w:val="decimal"/>
      <w:lvlText w:val=""/>
      <w:lvlJc w:val="left"/>
    </w:lvl>
    <w:lvl w:ilvl="3" w:tplc="CF244BC4">
      <w:numFmt w:val="decimal"/>
      <w:lvlText w:val=""/>
      <w:lvlJc w:val="left"/>
    </w:lvl>
    <w:lvl w:ilvl="4" w:tplc="FE943C8E">
      <w:numFmt w:val="decimal"/>
      <w:lvlText w:val=""/>
      <w:lvlJc w:val="left"/>
    </w:lvl>
    <w:lvl w:ilvl="5" w:tplc="7F905F8C">
      <w:numFmt w:val="decimal"/>
      <w:lvlText w:val=""/>
      <w:lvlJc w:val="left"/>
    </w:lvl>
    <w:lvl w:ilvl="6" w:tplc="06F09918">
      <w:numFmt w:val="decimal"/>
      <w:lvlText w:val=""/>
      <w:lvlJc w:val="left"/>
    </w:lvl>
    <w:lvl w:ilvl="7" w:tplc="97B20854">
      <w:numFmt w:val="decimal"/>
      <w:lvlText w:val=""/>
      <w:lvlJc w:val="left"/>
    </w:lvl>
    <w:lvl w:ilvl="8" w:tplc="CDAAB108">
      <w:numFmt w:val="decimal"/>
      <w:lvlText w:val=""/>
      <w:lvlJc w:val="left"/>
    </w:lvl>
  </w:abstractNum>
  <w:abstractNum w:abstractNumId="32" w15:restartNumberingAfterBreak="0">
    <w:nsid w:val="3FB41572"/>
    <w:multiLevelType w:val="hybridMultilevel"/>
    <w:tmpl w:val="EA125F0C"/>
    <w:lvl w:ilvl="0" w:tplc="D86060FC">
      <w:start w:val="1"/>
      <w:numFmt w:val="lowerLetter"/>
      <w:lvlText w:val="%1)"/>
      <w:lvlJc w:val="left"/>
      <w:pPr>
        <w:ind w:left="1080" w:hanging="360"/>
      </w:pPr>
    </w:lvl>
    <w:lvl w:ilvl="1" w:tplc="3F46BF84">
      <w:numFmt w:val="decimal"/>
      <w:lvlText w:val=""/>
      <w:lvlJc w:val="left"/>
    </w:lvl>
    <w:lvl w:ilvl="2" w:tplc="A9744CDA">
      <w:numFmt w:val="decimal"/>
      <w:lvlText w:val=""/>
      <w:lvlJc w:val="left"/>
    </w:lvl>
    <w:lvl w:ilvl="3" w:tplc="B8A0429A">
      <w:numFmt w:val="decimal"/>
      <w:lvlText w:val=""/>
      <w:lvlJc w:val="left"/>
    </w:lvl>
    <w:lvl w:ilvl="4" w:tplc="7166DF0C">
      <w:numFmt w:val="decimal"/>
      <w:lvlText w:val=""/>
      <w:lvlJc w:val="left"/>
    </w:lvl>
    <w:lvl w:ilvl="5" w:tplc="7FD8FE7C">
      <w:numFmt w:val="decimal"/>
      <w:lvlText w:val=""/>
      <w:lvlJc w:val="left"/>
    </w:lvl>
    <w:lvl w:ilvl="6" w:tplc="74F8D182">
      <w:numFmt w:val="decimal"/>
      <w:lvlText w:val=""/>
      <w:lvlJc w:val="left"/>
    </w:lvl>
    <w:lvl w:ilvl="7" w:tplc="E7BE0E18">
      <w:numFmt w:val="decimal"/>
      <w:lvlText w:val=""/>
      <w:lvlJc w:val="left"/>
    </w:lvl>
    <w:lvl w:ilvl="8" w:tplc="076C362A">
      <w:numFmt w:val="decimal"/>
      <w:lvlText w:val=""/>
      <w:lvlJc w:val="left"/>
    </w:lvl>
  </w:abstractNum>
  <w:abstractNum w:abstractNumId="33" w15:restartNumberingAfterBreak="0">
    <w:nsid w:val="4180169C"/>
    <w:multiLevelType w:val="hybridMultilevel"/>
    <w:tmpl w:val="1C7C1564"/>
    <w:lvl w:ilvl="0" w:tplc="226036CC">
      <w:start w:val="1"/>
      <w:numFmt w:val="bullet"/>
      <w:lvlText w:val="•"/>
      <w:lvlJc w:val="left"/>
      <w:pPr>
        <w:ind w:left="1080" w:hanging="360"/>
      </w:pPr>
    </w:lvl>
    <w:lvl w:ilvl="1" w:tplc="853E055E">
      <w:numFmt w:val="decimal"/>
      <w:lvlText w:val=""/>
      <w:lvlJc w:val="left"/>
    </w:lvl>
    <w:lvl w:ilvl="2" w:tplc="20BE5A0A">
      <w:numFmt w:val="decimal"/>
      <w:lvlText w:val=""/>
      <w:lvlJc w:val="left"/>
    </w:lvl>
    <w:lvl w:ilvl="3" w:tplc="A8BCE8F8">
      <w:numFmt w:val="decimal"/>
      <w:lvlText w:val=""/>
      <w:lvlJc w:val="left"/>
    </w:lvl>
    <w:lvl w:ilvl="4" w:tplc="36D88368">
      <w:numFmt w:val="decimal"/>
      <w:lvlText w:val=""/>
      <w:lvlJc w:val="left"/>
    </w:lvl>
    <w:lvl w:ilvl="5" w:tplc="AD68F66A">
      <w:numFmt w:val="decimal"/>
      <w:lvlText w:val=""/>
      <w:lvlJc w:val="left"/>
    </w:lvl>
    <w:lvl w:ilvl="6" w:tplc="CDA23C62">
      <w:numFmt w:val="decimal"/>
      <w:lvlText w:val=""/>
      <w:lvlJc w:val="left"/>
    </w:lvl>
    <w:lvl w:ilvl="7" w:tplc="DB40C268">
      <w:numFmt w:val="decimal"/>
      <w:lvlText w:val=""/>
      <w:lvlJc w:val="left"/>
    </w:lvl>
    <w:lvl w:ilvl="8" w:tplc="C08A11B6">
      <w:numFmt w:val="decimal"/>
      <w:lvlText w:val=""/>
      <w:lvlJc w:val="left"/>
    </w:lvl>
  </w:abstractNum>
  <w:abstractNum w:abstractNumId="34" w15:restartNumberingAfterBreak="0">
    <w:nsid w:val="41CB5CF2"/>
    <w:multiLevelType w:val="hybridMultilevel"/>
    <w:tmpl w:val="FE8A7C8E"/>
    <w:lvl w:ilvl="0" w:tplc="D15071C8">
      <w:start w:val="1"/>
      <w:numFmt w:val="bullet"/>
      <w:lvlText w:val="•"/>
      <w:lvlJc w:val="left"/>
      <w:pPr>
        <w:ind w:left="1080" w:hanging="360"/>
      </w:pPr>
    </w:lvl>
    <w:lvl w:ilvl="1" w:tplc="7D189B2A">
      <w:numFmt w:val="decimal"/>
      <w:lvlText w:val=""/>
      <w:lvlJc w:val="left"/>
    </w:lvl>
    <w:lvl w:ilvl="2" w:tplc="00A2881C">
      <w:numFmt w:val="decimal"/>
      <w:lvlText w:val=""/>
      <w:lvlJc w:val="left"/>
    </w:lvl>
    <w:lvl w:ilvl="3" w:tplc="182471DA">
      <w:numFmt w:val="decimal"/>
      <w:lvlText w:val=""/>
      <w:lvlJc w:val="left"/>
    </w:lvl>
    <w:lvl w:ilvl="4" w:tplc="2B862B36">
      <w:numFmt w:val="decimal"/>
      <w:lvlText w:val=""/>
      <w:lvlJc w:val="left"/>
    </w:lvl>
    <w:lvl w:ilvl="5" w:tplc="14484EC6">
      <w:numFmt w:val="decimal"/>
      <w:lvlText w:val=""/>
      <w:lvlJc w:val="left"/>
    </w:lvl>
    <w:lvl w:ilvl="6" w:tplc="6CA8CE40">
      <w:numFmt w:val="decimal"/>
      <w:lvlText w:val=""/>
      <w:lvlJc w:val="left"/>
    </w:lvl>
    <w:lvl w:ilvl="7" w:tplc="297CC2C4">
      <w:numFmt w:val="decimal"/>
      <w:lvlText w:val=""/>
      <w:lvlJc w:val="left"/>
    </w:lvl>
    <w:lvl w:ilvl="8" w:tplc="4F028326">
      <w:numFmt w:val="decimal"/>
      <w:lvlText w:val=""/>
      <w:lvlJc w:val="left"/>
    </w:lvl>
  </w:abstractNum>
  <w:abstractNum w:abstractNumId="35" w15:restartNumberingAfterBreak="0">
    <w:nsid w:val="42AD2B61"/>
    <w:multiLevelType w:val="hybridMultilevel"/>
    <w:tmpl w:val="E806B6DC"/>
    <w:lvl w:ilvl="0" w:tplc="9BDA6D6C">
      <w:start w:val="1"/>
      <w:numFmt w:val="bullet"/>
      <w:lvlText w:val="–"/>
      <w:lvlJc w:val="left"/>
      <w:pPr>
        <w:ind w:left="1440" w:hanging="360"/>
      </w:pPr>
    </w:lvl>
    <w:lvl w:ilvl="1" w:tplc="5F943C3E">
      <w:numFmt w:val="decimal"/>
      <w:lvlText w:val=""/>
      <w:lvlJc w:val="left"/>
    </w:lvl>
    <w:lvl w:ilvl="2" w:tplc="AADEAB4A">
      <w:numFmt w:val="decimal"/>
      <w:lvlText w:val=""/>
      <w:lvlJc w:val="left"/>
    </w:lvl>
    <w:lvl w:ilvl="3" w:tplc="C7A206BE">
      <w:numFmt w:val="decimal"/>
      <w:lvlText w:val=""/>
      <w:lvlJc w:val="left"/>
    </w:lvl>
    <w:lvl w:ilvl="4" w:tplc="E0E699EE">
      <w:numFmt w:val="decimal"/>
      <w:lvlText w:val=""/>
      <w:lvlJc w:val="left"/>
    </w:lvl>
    <w:lvl w:ilvl="5" w:tplc="C63A42AA">
      <w:numFmt w:val="decimal"/>
      <w:lvlText w:val=""/>
      <w:lvlJc w:val="left"/>
    </w:lvl>
    <w:lvl w:ilvl="6" w:tplc="099CEFAE">
      <w:numFmt w:val="decimal"/>
      <w:lvlText w:val=""/>
      <w:lvlJc w:val="left"/>
    </w:lvl>
    <w:lvl w:ilvl="7" w:tplc="71F431BC">
      <w:numFmt w:val="decimal"/>
      <w:lvlText w:val=""/>
      <w:lvlJc w:val="left"/>
    </w:lvl>
    <w:lvl w:ilvl="8" w:tplc="6058978C">
      <w:numFmt w:val="decimal"/>
      <w:lvlText w:val=""/>
      <w:lvlJc w:val="left"/>
    </w:lvl>
  </w:abstractNum>
  <w:abstractNum w:abstractNumId="36" w15:restartNumberingAfterBreak="0">
    <w:nsid w:val="43473D78"/>
    <w:multiLevelType w:val="hybridMultilevel"/>
    <w:tmpl w:val="B8342C4E"/>
    <w:lvl w:ilvl="0" w:tplc="1B0A9DB4">
      <w:start w:val="1"/>
      <w:numFmt w:val="decimal"/>
      <w:lvlText w:val="%1."/>
      <w:lvlJc w:val="left"/>
      <w:pPr>
        <w:ind w:left="720" w:hanging="360"/>
      </w:pPr>
    </w:lvl>
    <w:lvl w:ilvl="1" w:tplc="78F0F5C6">
      <w:numFmt w:val="decimal"/>
      <w:lvlText w:val=""/>
      <w:lvlJc w:val="left"/>
    </w:lvl>
    <w:lvl w:ilvl="2" w:tplc="3C282D34">
      <w:numFmt w:val="decimal"/>
      <w:lvlText w:val=""/>
      <w:lvlJc w:val="left"/>
    </w:lvl>
    <w:lvl w:ilvl="3" w:tplc="86944FBE">
      <w:numFmt w:val="decimal"/>
      <w:lvlText w:val=""/>
      <w:lvlJc w:val="left"/>
    </w:lvl>
    <w:lvl w:ilvl="4" w:tplc="8F6E1520">
      <w:numFmt w:val="decimal"/>
      <w:lvlText w:val=""/>
      <w:lvlJc w:val="left"/>
    </w:lvl>
    <w:lvl w:ilvl="5" w:tplc="C2F2774A">
      <w:numFmt w:val="decimal"/>
      <w:lvlText w:val=""/>
      <w:lvlJc w:val="left"/>
    </w:lvl>
    <w:lvl w:ilvl="6" w:tplc="C3D2017A">
      <w:numFmt w:val="decimal"/>
      <w:lvlText w:val=""/>
      <w:lvlJc w:val="left"/>
    </w:lvl>
    <w:lvl w:ilvl="7" w:tplc="F24E25EE">
      <w:numFmt w:val="decimal"/>
      <w:lvlText w:val=""/>
      <w:lvlJc w:val="left"/>
    </w:lvl>
    <w:lvl w:ilvl="8" w:tplc="94A2A72E">
      <w:numFmt w:val="decimal"/>
      <w:lvlText w:val=""/>
      <w:lvlJc w:val="left"/>
    </w:lvl>
  </w:abstractNum>
  <w:abstractNum w:abstractNumId="37" w15:restartNumberingAfterBreak="0">
    <w:nsid w:val="44635114"/>
    <w:multiLevelType w:val="hybridMultilevel"/>
    <w:tmpl w:val="7E6A04AA"/>
    <w:lvl w:ilvl="0" w:tplc="6DF25F94">
      <w:start w:val="1"/>
      <w:numFmt w:val="bullet"/>
      <w:lvlText w:val="•"/>
      <w:lvlJc w:val="left"/>
      <w:pPr>
        <w:ind w:left="1080" w:hanging="360"/>
      </w:pPr>
    </w:lvl>
    <w:lvl w:ilvl="1" w:tplc="2278C3E8">
      <w:numFmt w:val="decimal"/>
      <w:lvlText w:val=""/>
      <w:lvlJc w:val="left"/>
    </w:lvl>
    <w:lvl w:ilvl="2" w:tplc="4C84B192">
      <w:numFmt w:val="decimal"/>
      <w:lvlText w:val=""/>
      <w:lvlJc w:val="left"/>
    </w:lvl>
    <w:lvl w:ilvl="3" w:tplc="C79C253A">
      <w:numFmt w:val="decimal"/>
      <w:lvlText w:val=""/>
      <w:lvlJc w:val="left"/>
    </w:lvl>
    <w:lvl w:ilvl="4" w:tplc="AC6892A0">
      <w:numFmt w:val="decimal"/>
      <w:lvlText w:val=""/>
      <w:lvlJc w:val="left"/>
    </w:lvl>
    <w:lvl w:ilvl="5" w:tplc="A3B4AAFC">
      <w:numFmt w:val="decimal"/>
      <w:lvlText w:val=""/>
      <w:lvlJc w:val="left"/>
    </w:lvl>
    <w:lvl w:ilvl="6" w:tplc="1E2CE1C4">
      <w:numFmt w:val="decimal"/>
      <w:lvlText w:val=""/>
      <w:lvlJc w:val="left"/>
    </w:lvl>
    <w:lvl w:ilvl="7" w:tplc="D36ED100">
      <w:numFmt w:val="decimal"/>
      <w:lvlText w:val=""/>
      <w:lvlJc w:val="left"/>
    </w:lvl>
    <w:lvl w:ilvl="8" w:tplc="72D258C8">
      <w:numFmt w:val="decimal"/>
      <w:lvlText w:val=""/>
      <w:lvlJc w:val="left"/>
    </w:lvl>
  </w:abstractNum>
  <w:abstractNum w:abstractNumId="38" w15:restartNumberingAfterBreak="0">
    <w:nsid w:val="46B428F4"/>
    <w:multiLevelType w:val="hybridMultilevel"/>
    <w:tmpl w:val="C846A5F8"/>
    <w:lvl w:ilvl="0" w:tplc="BC2A0A96">
      <w:start w:val="1"/>
      <w:numFmt w:val="lowerLetter"/>
      <w:lvlText w:val="%1)"/>
      <w:lvlJc w:val="left"/>
      <w:pPr>
        <w:ind w:left="1080" w:hanging="360"/>
      </w:pPr>
    </w:lvl>
    <w:lvl w:ilvl="1" w:tplc="983822B6">
      <w:numFmt w:val="decimal"/>
      <w:lvlText w:val=""/>
      <w:lvlJc w:val="left"/>
    </w:lvl>
    <w:lvl w:ilvl="2" w:tplc="FB92A7B2">
      <w:numFmt w:val="decimal"/>
      <w:lvlText w:val=""/>
      <w:lvlJc w:val="left"/>
    </w:lvl>
    <w:lvl w:ilvl="3" w:tplc="D576C266">
      <w:numFmt w:val="decimal"/>
      <w:lvlText w:val=""/>
      <w:lvlJc w:val="left"/>
    </w:lvl>
    <w:lvl w:ilvl="4" w:tplc="6114BCFA">
      <w:numFmt w:val="decimal"/>
      <w:lvlText w:val=""/>
      <w:lvlJc w:val="left"/>
    </w:lvl>
    <w:lvl w:ilvl="5" w:tplc="6B96E80C">
      <w:numFmt w:val="decimal"/>
      <w:lvlText w:val=""/>
      <w:lvlJc w:val="left"/>
    </w:lvl>
    <w:lvl w:ilvl="6" w:tplc="CC16F2B2">
      <w:numFmt w:val="decimal"/>
      <w:lvlText w:val=""/>
      <w:lvlJc w:val="left"/>
    </w:lvl>
    <w:lvl w:ilvl="7" w:tplc="2C54E80C">
      <w:numFmt w:val="decimal"/>
      <w:lvlText w:val=""/>
      <w:lvlJc w:val="left"/>
    </w:lvl>
    <w:lvl w:ilvl="8" w:tplc="DCAE8D1A">
      <w:numFmt w:val="decimal"/>
      <w:lvlText w:val=""/>
      <w:lvlJc w:val="left"/>
    </w:lvl>
  </w:abstractNum>
  <w:abstractNum w:abstractNumId="39" w15:restartNumberingAfterBreak="0">
    <w:nsid w:val="4B7342E0"/>
    <w:multiLevelType w:val="hybridMultilevel"/>
    <w:tmpl w:val="82F44AFC"/>
    <w:lvl w:ilvl="0" w:tplc="1908ABEA">
      <w:start w:val="1"/>
      <w:numFmt w:val="lowerLetter"/>
      <w:lvlText w:val="%1)"/>
      <w:lvlJc w:val="left"/>
      <w:pPr>
        <w:ind w:left="1080" w:hanging="360"/>
      </w:pPr>
    </w:lvl>
    <w:lvl w:ilvl="1" w:tplc="DDC688CE">
      <w:numFmt w:val="decimal"/>
      <w:lvlText w:val=""/>
      <w:lvlJc w:val="left"/>
    </w:lvl>
    <w:lvl w:ilvl="2" w:tplc="E1481BEE">
      <w:numFmt w:val="decimal"/>
      <w:lvlText w:val=""/>
      <w:lvlJc w:val="left"/>
    </w:lvl>
    <w:lvl w:ilvl="3" w:tplc="C68467A0">
      <w:numFmt w:val="decimal"/>
      <w:lvlText w:val=""/>
      <w:lvlJc w:val="left"/>
    </w:lvl>
    <w:lvl w:ilvl="4" w:tplc="DD1AE608">
      <w:numFmt w:val="decimal"/>
      <w:lvlText w:val=""/>
      <w:lvlJc w:val="left"/>
    </w:lvl>
    <w:lvl w:ilvl="5" w:tplc="85800CC0">
      <w:numFmt w:val="decimal"/>
      <w:lvlText w:val=""/>
      <w:lvlJc w:val="left"/>
    </w:lvl>
    <w:lvl w:ilvl="6" w:tplc="8F66B616">
      <w:numFmt w:val="decimal"/>
      <w:lvlText w:val=""/>
      <w:lvlJc w:val="left"/>
    </w:lvl>
    <w:lvl w:ilvl="7" w:tplc="E3D4D698">
      <w:numFmt w:val="decimal"/>
      <w:lvlText w:val=""/>
      <w:lvlJc w:val="left"/>
    </w:lvl>
    <w:lvl w:ilvl="8" w:tplc="22BE437E">
      <w:numFmt w:val="decimal"/>
      <w:lvlText w:val=""/>
      <w:lvlJc w:val="left"/>
    </w:lvl>
  </w:abstractNum>
  <w:abstractNum w:abstractNumId="40" w15:restartNumberingAfterBreak="0">
    <w:nsid w:val="4D754B02"/>
    <w:multiLevelType w:val="hybridMultilevel"/>
    <w:tmpl w:val="AA8C51AC"/>
    <w:lvl w:ilvl="0" w:tplc="A9A47612">
      <w:start w:val="1"/>
      <w:numFmt w:val="lowerLetter"/>
      <w:lvlText w:val="%1)"/>
      <w:lvlJc w:val="left"/>
      <w:pPr>
        <w:ind w:left="1080" w:hanging="360"/>
      </w:pPr>
    </w:lvl>
    <w:lvl w:ilvl="1" w:tplc="226A7E5A">
      <w:numFmt w:val="decimal"/>
      <w:lvlText w:val=""/>
      <w:lvlJc w:val="left"/>
    </w:lvl>
    <w:lvl w:ilvl="2" w:tplc="E88A99CA">
      <w:numFmt w:val="decimal"/>
      <w:lvlText w:val=""/>
      <w:lvlJc w:val="left"/>
    </w:lvl>
    <w:lvl w:ilvl="3" w:tplc="78FE21E0">
      <w:numFmt w:val="decimal"/>
      <w:lvlText w:val=""/>
      <w:lvlJc w:val="left"/>
    </w:lvl>
    <w:lvl w:ilvl="4" w:tplc="D434545A">
      <w:numFmt w:val="decimal"/>
      <w:lvlText w:val=""/>
      <w:lvlJc w:val="left"/>
    </w:lvl>
    <w:lvl w:ilvl="5" w:tplc="7BC46CA6">
      <w:numFmt w:val="decimal"/>
      <w:lvlText w:val=""/>
      <w:lvlJc w:val="left"/>
    </w:lvl>
    <w:lvl w:ilvl="6" w:tplc="950A1F8A">
      <w:numFmt w:val="decimal"/>
      <w:lvlText w:val=""/>
      <w:lvlJc w:val="left"/>
    </w:lvl>
    <w:lvl w:ilvl="7" w:tplc="70F4C5B0">
      <w:numFmt w:val="decimal"/>
      <w:lvlText w:val=""/>
      <w:lvlJc w:val="left"/>
    </w:lvl>
    <w:lvl w:ilvl="8" w:tplc="7B0CF7AC">
      <w:numFmt w:val="decimal"/>
      <w:lvlText w:val=""/>
      <w:lvlJc w:val="left"/>
    </w:lvl>
  </w:abstractNum>
  <w:abstractNum w:abstractNumId="41" w15:restartNumberingAfterBreak="0">
    <w:nsid w:val="51FB4495"/>
    <w:multiLevelType w:val="hybridMultilevel"/>
    <w:tmpl w:val="90021D24"/>
    <w:lvl w:ilvl="0" w:tplc="3614F368">
      <w:start w:val="1"/>
      <w:numFmt w:val="lowerLetter"/>
      <w:lvlText w:val="%1)"/>
      <w:lvlJc w:val="left"/>
      <w:pPr>
        <w:ind w:left="1080" w:hanging="360"/>
      </w:pPr>
    </w:lvl>
    <w:lvl w:ilvl="1" w:tplc="9072F064">
      <w:numFmt w:val="decimal"/>
      <w:lvlText w:val=""/>
      <w:lvlJc w:val="left"/>
    </w:lvl>
    <w:lvl w:ilvl="2" w:tplc="C2DC1998">
      <w:numFmt w:val="decimal"/>
      <w:lvlText w:val=""/>
      <w:lvlJc w:val="left"/>
    </w:lvl>
    <w:lvl w:ilvl="3" w:tplc="5CF23D7C">
      <w:numFmt w:val="decimal"/>
      <w:lvlText w:val=""/>
      <w:lvlJc w:val="left"/>
    </w:lvl>
    <w:lvl w:ilvl="4" w:tplc="1F5667AE">
      <w:numFmt w:val="decimal"/>
      <w:lvlText w:val=""/>
      <w:lvlJc w:val="left"/>
    </w:lvl>
    <w:lvl w:ilvl="5" w:tplc="D55A5CB4">
      <w:numFmt w:val="decimal"/>
      <w:lvlText w:val=""/>
      <w:lvlJc w:val="left"/>
    </w:lvl>
    <w:lvl w:ilvl="6" w:tplc="DDBC159A">
      <w:numFmt w:val="decimal"/>
      <w:lvlText w:val=""/>
      <w:lvlJc w:val="left"/>
    </w:lvl>
    <w:lvl w:ilvl="7" w:tplc="088A0742">
      <w:numFmt w:val="decimal"/>
      <w:lvlText w:val=""/>
      <w:lvlJc w:val="left"/>
    </w:lvl>
    <w:lvl w:ilvl="8" w:tplc="B0CAE4AA">
      <w:numFmt w:val="decimal"/>
      <w:lvlText w:val=""/>
      <w:lvlJc w:val="left"/>
    </w:lvl>
  </w:abstractNum>
  <w:abstractNum w:abstractNumId="42" w15:restartNumberingAfterBreak="0">
    <w:nsid w:val="5A4E3C60"/>
    <w:multiLevelType w:val="hybridMultilevel"/>
    <w:tmpl w:val="FAFC5162"/>
    <w:lvl w:ilvl="0" w:tplc="9EAA713E">
      <w:start w:val="1"/>
      <w:numFmt w:val="lowerLetter"/>
      <w:lvlText w:val="%1)"/>
      <w:lvlJc w:val="left"/>
      <w:pPr>
        <w:ind w:left="1080" w:hanging="360"/>
      </w:pPr>
    </w:lvl>
    <w:lvl w:ilvl="1" w:tplc="C3AE7136">
      <w:numFmt w:val="decimal"/>
      <w:lvlText w:val=""/>
      <w:lvlJc w:val="left"/>
    </w:lvl>
    <w:lvl w:ilvl="2" w:tplc="C4B010D0">
      <w:numFmt w:val="decimal"/>
      <w:lvlText w:val=""/>
      <w:lvlJc w:val="left"/>
    </w:lvl>
    <w:lvl w:ilvl="3" w:tplc="3AE4AB98">
      <w:numFmt w:val="decimal"/>
      <w:lvlText w:val=""/>
      <w:lvlJc w:val="left"/>
    </w:lvl>
    <w:lvl w:ilvl="4" w:tplc="776E29FE">
      <w:numFmt w:val="decimal"/>
      <w:lvlText w:val=""/>
      <w:lvlJc w:val="left"/>
    </w:lvl>
    <w:lvl w:ilvl="5" w:tplc="5FE8CB86">
      <w:numFmt w:val="decimal"/>
      <w:lvlText w:val=""/>
      <w:lvlJc w:val="left"/>
    </w:lvl>
    <w:lvl w:ilvl="6" w:tplc="57747354">
      <w:numFmt w:val="decimal"/>
      <w:lvlText w:val=""/>
      <w:lvlJc w:val="left"/>
    </w:lvl>
    <w:lvl w:ilvl="7" w:tplc="D2F6A822">
      <w:numFmt w:val="decimal"/>
      <w:lvlText w:val=""/>
      <w:lvlJc w:val="left"/>
    </w:lvl>
    <w:lvl w:ilvl="8" w:tplc="94D6452A">
      <w:numFmt w:val="decimal"/>
      <w:lvlText w:val=""/>
      <w:lvlJc w:val="left"/>
    </w:lvl>
  </w:abstractNum>
  <w:abstractNum w:abstractNumId="43" w15:restartNumberingAfterBreak="0">
    <w:nsid w:val="69F06360"/>
    <w:multiLevelType w:val="hybridMultilevel"/>
    <w:tmpl w:val="593EF8FC"/>
    <w:lvl w:ilvl="0" w:tplc="6434A3B0">
      <w:start w:val="1"/>
      <w:numFmt w:val="bullet"/>
      <w:lvlText w:val="•"/>
      <w:lvlJc w:val="left"/>
      <w:pPr>
        <w:ind w:left="1080" w:hanging="360"/>
      </w:pPr>
    </w:lvl>
    <w:lvl w:ilvl="1" w:tplc="4022CD94">
      <w:numFmt w:val="decimal"/>
      <w:lvlText w:val=""/>
      <w:lvlJc w:val="left"/>
    </w:lvl>
    <w:lvl w:ilvl="2" w:tplc="394A4E0E">
      <w:numFmt w:val="decimal"/>
      <w:lvlText w:val=""/>
      <w:lvlJc w:val="left"/>
    </w:lvl>
    <w:lvl w:ilvl="3" w:tplc="CBB2ECF4">
      <w:numFmt w:val="decimal"/>
      <w:lvlText w:val=""/>
      <w:lvlJc w:val="left"/>
    </w:lvl>
    <w:lvl w:ilvl="4" w:tplc="EB7ED8E0">
      <w:numFmt w:val="decimal"/>
      <w:lvlText w:val=""/>
      <w:lvlJc w:val="left"/>
    </w:lvl>
    <w:lvl w:ilvl="5" w:tplc="83A6E2AA">
      <w:numFmt w:val="decimal"/>
      <w:lvlText w:val=""/>
      <w:lvlJc w:val="left"/>
    </w:lvl>
    <w:lvl w:ilvl="6" w:tplc="33B87F9C">
      <w:numFmt w:val="decimal"/>
      <w:lvlText w:val=""/>
      <w:lvlJc w:val="left"/>
    </w:lvl>
    <w:lvl w:ilvl="7" w:tplc="2772B796">
      <w:numFmt w:val="decimal"/>
      <w:lvlText w:val=""/>
      <w:lvlJc w:val="left"/>
    </w:lvl>
    <w:lvl w:ilvl="8" w:tplc="8B9ECCF4">
      <w:numFmt w:val="decimal"/>
      <w:lvlText w:val=""/>
      <w:lvlJc w:val="left"/>
    </w:lvl>
  </w:abstractNum>
  <w:abstractNum w:abstractNumId="44" w15:restartNumberingAfterBreak="0">
    <w:nsid w:val="6B3F12DB"/>
    <w:multiLevelType w:val="hybridMultilevel"/>
    <w:tmpl w:val="0840B9DE"/>
    <w:lvl w:ilvl="0" w:tplc="01A43B6C">
      <w:start w:val="1"/>
      <w:numFmt w:val="lowerLetter"/>
      <w:lvlText w:val="%1)"/>
      <w:lvlJc w:val="left"/>
      <w:pPr>
        <w:ind w:left="1080" w:hanging="360"/>
      </w:pPr>
    </w:lvl>
    <w:lvl w:ilvl="1" w:tplc="FBB6FE68">
      <w:numFmt w:val="decimal"/>
      <w:lvlText w:val=""/>
      <w:lvlJc w:val="left"/>
    </w:lvl>
    <w:lvl w:ilvl="2" w:tplc="99AA9914">
      <w:numFmt w:val="decimal"/>
      <w:lvlText w:val=""/>
      <w:lvlJc w:val="left"/>
    </w:lvl>
    <w:lvl w:ilvl="3" w:tplc="241E1E7C">
      <w:numFmt w:val="decimal"/>
      <w:lvlText w:val=""/>
      <w:lvlJc w:val="left"/>
    </w:lvl>
    <w:lvl w:ilvl="4" w:tplc="F0DCEB16">
      <w:numFmt w:val="decimal"/>
      <w:lvlText w:val=""/>
      <w:lvlJc w:val="left"/>
    </w:lvl>
    <w:lvl w:ilvl="5" w:tplc="3364DB36">
      <w:numFmt w:val="decimal"/>
      <w:lvlText w:val=""/>
      <w:lvlJc w:val="left"/>
    </w:lvl>
    <w:lvl w:ilvl="6" w:tplc="27044654">
      <w:numFmt w:val="decimal"/>
      <w:lvlText w:val=""/>
      <w:lvlJc w:val="left"/>
    </w:lvl>
    <w:lvl w:ilvl="7" w:tplc="662C387C">
      <w:numFmt w:val="decimal"/>
      <w:lvlText w:val=""/>
      <w:lvlJc w:val="left"/>
    </w:lvl>
    <w:lvl w:ilvl="8" w:tplc="5B9012BC">
      <w:numFmt w:val="decimal"/>
      <w:lvlText w:val=""/>
      <w:lvlJc w:val="left"/>
    </w:lvl>
  </w:abstractNum>
  <w:abstractNum w:abstractNumId="45" w15:restartNumberingAfterBreak="0">
    <w:nsid w:val="6FDC2109"/>
    <w:multiLevelType w:val="hybridMultilevel"/>
    <w:tmpl w:val="0E58C55E"/>
    <w:lvl w:ilvl="0" w:tplc="3CDAC43E">
      <w:start w:val="1"/>
      <w:numFmt w:val="decimal"/>
      <w:lvlText w:val="%1."/>
      <w:lvlJc w:val="left"/>
      <w:pPr>
        <w:ind w:left="720" w:hanging="360"/>
      </w:pPr>
    </w:lvl>
    <w:lvl w:ilvl="1" w:tplc="1B922D02">
      <w:numFmt w:val="decimal"/>
      <w:lvlText w:val=""/>
      <w:lvlJc w:val="left"/>
    </w:lvl>
    <w:lvl w:ilvl="2" w:tplc="0832D4BE">
      <w:numFmt w:val="decimal"/>
      <w:lvlText w:val=""/>
      <w:lvlJc w:val="left"/>
    </w:lvl>
    <w:lvl w:ilvl="3" w:tplc="0C7EADF8">
      <w:numFmt w:val="decimal"/>
      <w:lvlText w:val=""/>
      <w:lvlJc w:val="left"/>
    </w:lvl>
    <w:lvl w:ilvl="4" w:tplc="9112F648">
      <w:numFmt w:val="decimal"/>
      <w:lvlText w:val=""/>
      <w:lvlJc w:val="left"/>
    </w:lvl>
    <w:lvl w:ilvl="5" w:tplc="E02C7B0C">
      <w:numFmt w:val="decimal"/>
      <w:lvlText w:val=""/>
      <w:lvlJc w:val="left"/>
    </w:lvl>
    <w:lvl w:ilvl="6" w:tplc="15A02414">
      <w:numFmt w:val="decimal"/>
      <w:lvlText w:val=""/>
      <w:lvlJc w:val="left"/>
    </w:lvl>
    <w:lvl w:ilvl="7" w:tplc="83E8CA32">
      <w:numFmt w:val="decimal"/>
      <w:lvlText w:val=""/>
      <w:lvlJc w:val="left"/>
    </w:lvl>
    <w:lvl w:ilvl="8" w:tplc="7278C030">
      <w:numFmt w:val="decimal"/>
      <w:lvlText w:val=""/>
      <w:lvlJc w:val="left"/>
    </w:lvl>
  </w:abstractNum>
  <w:abstractNum w:abstractNumId="46" w15:restartNumberingAfterBreak="0">
    <w:nsid w:val="72480053"/>
    <w:multiLevelType w:val="hybridMultilevel"/>
    <w:tmpl w:val="2904E6C6"/>
    <w:lvl w:ilvl="0" w:tplc="C930E68A">
      <w:start w:val="1"/>
      <w:numFmt w:val="bullet"/>
      <w:lvlText w:val="•"/>
      <w:lvlJc w:val="left"/>
      <w:pPr>
        <w:ind w:left="1080" w:hanging="360"/>
      </w:pPr>
    </w:lvl>
    <w:lvl w:ilvl="1" w:tplc="FF784B0C">
      <w:numFmt w:val="decimal"/>
      <w:lvlText w:val=""/>
      <w:lvlJc w:val="left"/>
    </w:lvl>
    <w:lvl w:ilvl="2" w:tplc="A3D0FC34">
      <w:numFmt w:val="decimal"/>
      <w:lvlText w:val=""/>
      <w:lvlJc w:val="left"/>
    </w:lvl>
    <w:lvl w:ilvl="3" w:tplc="F224FC8C">
      <w:numFmt w:val="decimal"/>
      <w:lvlText w:val=""/>
      <w:lvlJc w:val="left"/>
    </w:lvl>
    <w:lvl w:ilvl="4" w:tplc="40A45024">
      <w:numFmt w:val="decimal"/>
      <w:lvlText w:val=""/>
      <w:lvlJc w:val="left"/>
    </w:lvl>
    <w:lvl w:ilvl="5" w:tplc="DB46B7D6">
      <w:numFmt w:val="decimal"/>
      <w:lvlText w:val=""/>
      <w:lvlJc w:val="left"/>
    </w:lvl>
    <w:lvl w:ilvl="6" w:tplc="18E8CDCC">
      <w:numFmt w:val="decimal"/>
      <w:lvlText w:val=""/>
      <w:lvlJc w:val="left"/>
    </w:lvl>
    <w:lvl w:ilvl="7" w:tplc="AF0AA898">
      <w:numFmt w:val="decimal"/>
      <w:lvlText w:val=""/>
      <w:lvlJc w:val="left"/>
    </w:lvl>
    <w:lvl w:ilvl="8" w:tplc="5EA2F0E6">
      <w:numFmt w:val="decimal"/>
      <w:lvlText w:val=""/>
      <w:lvlJc w:val="left"/>
    </w:lvl>
  </w:abstractNum>
  <w:abstractNum w:abstractNumId="47" w15:restartNumberingAfterBreak="0">
    <w:nsid w:val="734B5B06"/>
    <w:multiLevelType w:val="hybridMultilevel"/>
    <w:tmpl w:val="5DA29DA8"/>
    <w:lvl w:ilvl="0" w:tplc="E69C6E5C">
      <w:start w:val="1"/>
      <w:numFmt w:val="decimal"/>
      <w:lvlText w:val="%1."/>
      <w:lvlJc w:val="left"/>
      <w:pPr>
        <w:ind w:left="720" w:hanging="360"/>
      </w:pPr>
    </w:lvl>
    <w:lvl w:ilvl="1" w:tplc="3146CCC4">
      <w:numFmt w:val="decimal"/>
      <w:lvlText w:val=""/>
      <w:lvlJc w:val="left"/>
    </w:lvl>
    <w:lvl w:ilvl="2" w:tplc="2348D6D4">
      <w:numFmt w:val="decimal"/>
      <w:lvlText w:val=""/>
      <w:lvlJc w:val="left"/>
    </w:lvl>
    <w:lvl w:ilvl="3" w:tplc="0E0AE514">
      <w:numFmt w:val="decimal"/>
      <w:lvlText w:val=""/>
      <w:lvlJc w:val="left"/>
    </w:lvl>
    <w:lvl w:ilvl="4" w:tplc="B114BFFE">
      <w:numFmt w:val="decimal"/>
      <w:lvlText w:val=""/>
      <w:lvlJc w:val="left"/>
    </w:lvl>
    <w:lvl w:ilvl="5" w:tplc="0248DDAE">
      <w:numFmt w:val="decimal"/>
      <w:lvlText w:val=""/>
      <w:lvlJc w:val="left"/>
    </w:lvl>
    <w:lvl w:ilvl="6" w:tplc="E7CAC876">
      <w:numFmt w:val="decimal"/>
      <w:lvlText w:val=""/>
      <w:lvlJc w:val="left"/>
    </w:lvl>
    <w:lvl w:ilvl="7" w:tplc="EA1A9546">
      <w:numFmt w:val="decimal"/>
      <w:lvlText w:val=""/>
      <w:lvlJc w:val="left"/>
    </w:lvl>
    <w:lvl w:ilvl="8" w:tplc="4DB0D2DC">
      <w:numFmt w:val="decimal"/>
      <w:lvlText w:val=""/>
      <w:lvlJc w:val="left"/>
    </w:lvl>
  </w:abstractNum>
  <w:abstractNum w:abstractNumId="48" w15:restartNumberingAfterBreak="0">
    <w:nsid w:val="76671B45"/>
    <w:multiLevelType w:val="hybridMultilevel"/>
    <w:tmpl w:val="9E42BC8C"/>
    <w:lvl w:ilvl="0" w:tplc="F842B920">
      <w:start w:val="1"/>
      <w:numFmt w:val="decimal"/>
      <w:lvlText w:val="%1."/>
      <w:lvlJc w:val="left"/>
      <w:pPr>
        <w:ind w:left="720" w:hanging="360"/>
      </w:pPr>
    </w:lvl>
    <w:lvl w:ilvl="1" w:tplc="903CCA6A">
      <w:numFmt w:val="decimal"/>
      <w:lvlText w:val=""/>
      <w:lvlJc w:val="left"/>
    </w:lvl>
    <w:lvl w:ilvl="2" w:tplc="DE32B38C">
      <w:numFmt w:val="decimal"/>
      <w:lvlText w:val=""/>
      <w:lvlJc w:val="left"/>
    </w:lvl>
    <w:lvl w:ilvl="3" w:tplc="8BBC4F02">
      <w:numFmt w:val="decimal"/>
      <w:lvlText w:val=""/>
      <w:lvlJc w:val="left"/>
    </w:lvl>
    <w:lvl w:ilvl="4" w:tplc="7326E050">
      <w:numFmt w:val="decimal"/>
      <w:lvlText w:val=""/>
      <w:lvlJc w:val="left"/>
    </w:lvl>
    <w:lvl w:ilvl="5" w:tplc="FFA4FAD6">
      <w:numFmt w:val="decimal"/>
      <w:lvlText w:val=""/>
      <w:lvlJc w:val="left"/>
    </w:lvl>
    <w:lvl w:ilvl="6" w:tplc="B0FC5CE6">
      <w:numFmt w:val="decimal"/>
      <w:lvlText w:val=""/>
      <w:lvlJc w:val="left"/>
    </w:lvl>
    <w:lvl w:ilvl="7" w:tplc="5FDCE2EE">
      <w:numFmt w:val="decimal"/>
      <w:lvlText w:val=""/>
      <w:lvlJc w:val="left"/>
    </w:lvl>
    <w:lvl w:ilvl="8" w:tplc="8646B2FC">
      <w:numFmt w:val="decimal"/>
      <w:lvlText w:val=""/>
      <w:lvlJc w:val="left"/>
    </w:lvl>
  </w:abstractNum>
  <w:abstractNum w:abstractNumId="49" w15:restartNumberingAfterBreak="0">
    <w:nsid w:val="78192EC1"/>
    <w:multiLevelType w:val="hybridMultilevel"/>
    <w:tmpl w:val="D4426A56"/>
    <w:lvl w:ilvl="0" w:tplc="E564BA40">
      <w:start w:val="1"/>
      <w:numFmt w:val="decimal"/>
      <w:lvlText w:val="%1."/>
      <w:lvlJc w:val="left"/>
      <w:pPr>
        <w:ind w:left="720" w:hanging="360"/>
      </w:pPr>
    </w:lvl>
    <w:lvl w:ilvl="1" w:tplc="CCC08E0E">
      <w:numFmt w:val="decimal"/>
      <w:lvlText w:val=""/>
      <w:lvlJc w:val="left"/>
    </w:lvl>
    <w:lvl w:ilvl="2" w:tplc="4C16738C">
      <w:numFmt w:val="decimal"/>
      <w:lvlText w:val=""/>
      <w:lvlJc w:val="left"/>
    </w:lvl>
    <w:lvl w:ilvl="3" w:tplc="39A4D108">
      <w:numFmt w:val="decimal"/>
      <w:lvlText w:val=""/>
      <w:lvlJc w:val="left"/>
    </w:lvl>
    <w:lvl w:ilvl="4" w:tplc="BB16D0C8">
      <w:numFmt w:val="decimal"/>
      <w:lvlText w:val=""/>
      <w:lvlJc w:val="left"/>
    </w:lvl>
    <w:lvl w:ilvl="5" w:tplc="212C072E">
      <w:numFmt w:val="decimal"/>
      <w:lvlText w:val=""/>
      <w:lvlJc w:val="left"/>
    </w:lvl>
    <w:lvl w:ilvl="6" w:tplc="C456CF62">
      <w:numFmt w:val="decimal"/>
      <w:lvlText w:val=""/>
      <w:lvlJc w:val="left"/>
    </w:lvl>
    <w:lvl w:ilvl="7" w:tplc="89C49406">
      <w:numFmt w:val="decimal"/>
      <w:lvlText w:val=""/>
      <w:lvlJc w:val="left"/>
    </w:lvl>
    <w:lvl w:ilvl="8" w:tplc="16C4AED2">
      <w:numFmt w:val="decimal"/>
      <w:lvlText w:val=""/>
      <w:lvlJc w:val="left"/>
    </w:lvl>
  </w:abstractNum>
  <w:abstractNum w:abstractNumId="50" w15:restartNumberingAfterBreak="0">
    <w:nsid w:val="79271FE8"/>
    <w:multiLevelType w:val="hybridMultilevel"/>
    <w:tmpl w:val="8A6484C2"/>
    <w:lvl w:ilvl="0" w:tplc="B0FC3EF8">
      <w:start w:val="1"/>
      <w:numFmt w:val="lowerLetter"/>
      <w:lvlText w:val="%1)"/>
      <w:lvlJc w:val="left"/>
      <w:pPr>
        <w:ind w:left="1080" w:hanging="360"/>
      </w:pPr>
    </w:lvl>
    <w:lvl w:ilvl="1" w:tplc="153E61A6">
      <w:numFmt w:val="decimal"/>
      <w:lvlText w:val=""/>
      <w:lvlJc w:val="left"/>
    </w:lvl>
    <w:lvl w:ilvl="2" w:tplc="B1AA7684">
      <w:numFmt w:val="decimal"/>
      <w:lvlText w:val=""/>
      <w:lvlJc w:val="left"/>
    </w:lvl>
    <w:lvl w:ilvl="3" w:tplc="01D83994">
      <w:numFmt w:val="decimal"/>
      <w:lvlText w:val=""/>
      <w:lvlJc w:val="left"/>
    </w:lvl>
    <w:lvl w:ilvl="4" w:tplc="5A5A9F8C">
      <w:numFmt w:val="decimal"/>
      <w:lvlText w:val=""/>
      <w:lvlJc w:val="left"/>
    </w:lvl>
    <w:lvl w:ilvl="5" w:tplc="572E08F0">
      <w:numFmt w:val="decimal"/>
      <w:lvlText w:val=""/>
      <w:lvlJc w:val="left"/>
    </w:lvl>
    <w:lvl w:ilvl="6" w:tplc="484E47FA">
      <w:numFmt w:val="decimal"/>
      <w:lvlText w:val=""/>
      <w:lvlJc w:val="left"/>
    </w:lvl>
    <w:lvl w:ilvl="7" w:tplc="A392B1E6">
      <w:numFmt w:val="decimal"/>
      <w:lvlText w:val=""/>
      <w:lvlJc w:val="left"/>
    </w:lvl>
    <w:lvl w:ilvl="8" w:tplc="460E0E50">
      <w:numFmt w:val="decimal"/>
      <w:lvlText w:val=""/>
      <w:lvlJc w:val="left"/>
    </w:lvl>
  </w:abstractNum>
  <w:num w:numId="1" w16cid:durableId="465977864">
    <w:abstractNumId w:val="10"/>
    <w:lvlOverride w:ilvl="0">
      <w:startOverride w:val="1"/>
    </w:lvlOverride>
  </w:num>
  <w:num w:numId="2" w16cid:durableId="1073624249">
    <w:abstractNumId w:val="7"/>
    <w:lvlOverride w:ilvl="0">
      <w:startOverride w:val="1"/>
    </w:lvlOverride>
  </w:num>
  <w:num w:numId="3" w16cid:durableId="114523114">
    <w:abstractNumId w:val="17"/>
    <w:lvlOverride w:ilvl="0">
      <w:startOverride w:val="1"/>
    </w:lvlOverride>
  </w:num>
  <w:num w:numId="4" w16cid:durableId="1015153759">
    <w:abstractNumId w:val="25"/>
    <w:lvlOverride w:ilvl="0">
      <w:startOverride w:val="1"/>
    </w:lvlOverride>
  </w:num>
  <w:num w:numId="5" w16cid:durableId="11882619">
    <w:abstractNumId w:val="29"/>
    <w:lvlOverride w:ilvl="0">
      <w:startOverride w:val="1"/>
    </w:lvlOverride>
  </w:num>
  <w:num w:numId="6" w16cid:durableId="1111437966">
    <w:abstractNumId w:val="8"/>
    <w:lvlOverride w:ilvl="0">
      <w:startOverride w:val="1"/>
    </w:lvlOverride>
  </w:num>
  <w:num w:numId="7" w16cid:durableId="473641872">
    <w:abstractNumId w:val="2"/>
    <w:lvlOverride w:ilvl="0">
      <w:startOverride w:val="1"/>
    </w:lvlOverride>
  </w:num>
  <w:num w:numId="8" w16cid:durableId="925113336">
    <w:abstractNumId w:val="47"/>
    <w:lvlOverride w:ilvl="0">
      <w:startOverride w:val="1"/>
    </w:lvlOverride>
  </w:num>
  <w:num w:numId="9" w16cid:durableId="16005906">
    <w:abstractNumId w:val="45"/>
    <w:lvlOverride w:ilvl="0">
      <w:startOverride w:val="1"/>
    </w:lvlOverride>
  </w:num>
  <w:num w:numId="10" w16cid:durableId="1001856766">
    <w:abstractNumId w:val="31"/>
    <w:lvlOverride w:ilvl="0">
      <w:startOverride w:val="1"/>
    </w:lvlOverride>
  </w:num>
  <w:num w:numId="11" w16cid:durableId="1465394036">
    <w:abstractNumId w:val="49"/>
    <w:lvlOverride w:ilvl="0">
      <w:startOverride w:val="1"/>
    </w:lvlOverride>
  </w:num>
  <w:num w:numId="12" w16cid:durableId="190802981">
    <w:abstractNumId w:val="22"/>
    <w:lvlOverride w:ilvl="0">
      <w:startOverride w:val="1"/>
    </w:lvlOverride>
  </w:num>
  <w:num w:numId="13" w16cid:durableId="898973886">
    <w:abstractNumId w:val="14"/>
    <w:lvlOverride w:ilvl="0">
      <w:startOverride w:val="1"/>
    </w:lvlOverride>
  </w:num>
  <w:num w:numId="14" w16cid:durableId="1522477074">
    <w:abstractNumId w:val="3"/>
    <w:lvlOverride w:ilvl="0">
      <w:startOverride w:val="1"/>
    </w:lvlOverride>
  </w:num>
  <w:num w:numId="15" w16cid:durableId="2058242909">
    <w:abstractNumId w:val="28"/>
    <w:lvlOverride w:ilvl="0">
      <w:startOverride w:val="1"/>
    </w:lvlOverride>
  </w:num>
  <w:num w:numId="16" w16cid:durableId="1463227865">
    <w:abstractNumId w:val="11"/>
    <w:lvlOverride w:ilvl="0">
      <w:startOverride w:val="1"/>
    </w:lvlOverride>
  </w:num>
  <w:num w:numId="17" w16cid:durableId="427386876">
    <w:abstractNumId w:val="33"/>
    <w:lvlOverride w:ilvl="0">
      <w:startOverride w:val="1"/>
    </w:lvlOverride>
  </w:num>
  <w:num w:numId="18" w16cid:durableId="162357375">
    <w:abstractNumId w:val="26"/>
    <w:lvlOverride w:ilvl="0">
      <w:startOverride w:val="1"/>
    </w:lvlOverride>
  </w:num>
  <w:num w:numId="19" w16cid:durableId="1623732245">
    <w:abstractNumId w:val="1"/>
    <w:lvlOverride w:ilvl="0">
      <w:startOverride w:val="1"/>
    </w:lvlOverride>
  </w:num>
  <w:num w:numId="20" w16cid:durableId="1121651962">
    <w:abstractNumId w:val="48"/>
    <w:lvlOverride w:ilvl="0">
      <w:startOverride w:val="1"/>
    </w:lvlOverride>
  </w:num>
  <w:num w:numId="21" w16cid:durableId="1749308555">
    <w:abstractNumId w:val="23"/>
    <w:lvlOverride w:ilvl="0">
      <w:startOverride w:val="1"/>
    </w:lvlOverride>
  </w:num>
  <w:num w:numId="22" w16cid:durableId="1452481551">
    <w:abstractNumId w:val="43"/>
    <w:lvlOverride w:ilvl="0">
      <w:startOverride w:val="1"/>
    </w:lvlOverride>
  </w:num>
  <w:num w:numId="23" w16cid:durableId="193902602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F1F"/>
    <w:rsid w:val="00000B03"/>
    <w:rsid w:val="000A32A5"/>
    <w:rsid w:val="001B1DFB"/>
    <w:rsid w:val="001C52FC"/>
    <w:rsid w:val="003B19CA"/>
    <w:rsid w:val="00A66307"/>
    <w:rsid w:val="00AB463F"/>
    <w:rsid w:val="00B462B1"/>
    <w:rsid w:val="00DA4F4B"/>
    <w:rsid w:val="00E67010"/>
    <w:rsid w:val="00EC7EF7"/>
    <w:rsid w:val="00EC7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53316"/>
  <w15:docId w15:val="{7A47B17F-003F-E748-8904-F94F9CFF2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60"/>
      <w:outlineLvl w:val="1"/>
    </w:pPr>
    <w:rPr>
      <w:b/>
      <w:bCs/>
      <w:color w:val="2E5090"/>
      <w:sz w:val="26"/>
      <w:szCs w:val="26"/>
    </w:rPr>
  </w:style>
  <w:style w:type="paragraph" w:styleId="Heading3">
    <w:name w:val="heading 3"/>
    <w:uiPriority w:val="9"/>
    <w:unhideWhenUsed/>
    <w:qFormat/>
    <w:pPr>
      <w:spacing w:before="200" w:after="120"/>
      <w:outlineLvl w:val="2"/>
    </w:pPr>
    <w:rPr>
      <w:b/>
      <w:bCs/>
      <w:color w:val="3B7DD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462B1"/>
    <w:pPr>
      <w:spacing w:after="100"/>
    </w:pPr>
  </w:style>
  <w:style w:type="paragraph" w:styleId="TOC2">
    <w:name w:val="toc 2"/>
    <w:basedOn w:val="Normal"/>
    <w:next w:val="Normal"/>
    <w:autoRedefine/>
    <w:uiPriority w:val="39"/>
    <w:unhideWhenUsed/>
    <w:rsid w:val="00B462B1"/>
    <w:pPr>
      <w:spacing w:after="100"/>
      <w:ind w:left="220"/>
    </w:pPr>
  </w:style>
  <w:style w:type="paragraph" w:styleId="TOC3">
    <w:name w:val="toc 3"/>
    <w:basedOn w:val="Normal"/>
    <w:next w:val="Normal"/>
    <w:autoRedefine/>
    <w:uiPriority w:val="39"/>
    <w:unhideWhenUsed/>
    <w:rsid w:val="00B462B1"/>
    <w:pPr>
      <w:spacing w:after="100"/>
      <w:ind w:left="440"/>
    </w:pPr>
  </w:style>
  <w:style w:type="paragraph" w:styleId="Header">
    <w:name w:val="header"/>
    <w:basedOn w:val="Normal"/>
    <w:link w:val="HeaderChar"/>
    <w:uiPriority w:val="99"/>
    <w:unhideWhenUsed/>
    <w:rsid w:val="00000B03"/>
    <w:pPr>
      <w:tabs>
        <w:tab w:val="center" w:pos="4680"/>
        <w:tab w:val="right" w:pos="9360"/>
      </w:tabs>
    </w:pPr>
  </w:style>
  <w:style w:type="character" w:customStyle="1" w:styleId="HeaderChar">
    <w:name w:val="Header Char"/>
    <w:basedOn w:val="DefaultParagraphFont"/>
    <w:link w:val="Header"/>
    <w:uiPriority w:val="99"/>
    <w:rsid w:val="00000B03"/>
  </w:style>
  <w:style w:type="paragraph" w:styleId="Footer">
    <w:name w:val="footer"/>
    <w:basedOn w:val="Normal"/>
    <w:link w:val="FooterChar"/>
    <w:uiPriority w:val="99"/>
    <w:unhideWhenUsed/>
    <w:rsid w:val="00000B03"/>
    <w:pPr>
      <w:tabs>
        <w:tab w:val="center" w:pos="4680"/>
        <w:tab w:val="right" w:pos="9360"/>
      </w:tabs>
    </w:pPr>
  </w:style>
  <w:style w:type="character" w:customStyle="1" w:styleId="FooterChar">
    <w:name w:val="Footer Char"/>
    <w:basedOn w:val="DefaultParagraphFont"/>
    <w:link w:val="Footer"/>
    <w:uiPriority w:val="99"/>
    <w:rsid w:val="00000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12581</Words>
  <Characters>71715</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maragioglio</cp:lastModifiedBy>
  <cp:revision>2</cp:revision>
  <dcterms:created xsi:type="dcterms:W3CDTF">2026-03-24T18:55:00Z</dcterms:created>
  <dcterms:modified xsi:type="dcterms:W3CDTF">2026-03-24T18:55:00Z</dcterms:modified>
</cp:coreProperties>
</file>