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5CA13" w14:textId="77777777" w:rsidR="00D71FA1" w:rsidRDefault="00D71FA1" w:rsidP="00D71FA1">
      <w:pPr>
        <w:spacing w:before="100" w:beforeAutospacing="1" w:after="100" w:afterAutospacing="1" w:line="480" w:lineRule="auto"/>
        <w:ind w:firstLine="720"/>
        <w:rPr>
          <w:rFonts w:ascii="Times New Roman" w:eastAsia="Times New Roman" w:hAnsi="Times New Roman" w:cs="Times New Roman"/>
          <w:kern w:val="0"/>
          <w14:ligatures w14:val="none"/>
        </w:rPr>
      </w:pPr>
      <w:r w:rsidRPr="00D71FA1">
        <w:rPr>
          <w:rFonts w:ascii="Times New Roman" w:eastAsia="Times New Roman" w:hAnsi="Times New Roman" w:cs="Times New Roman"/>
          <w:kern w:val="0"/>
          <w14:ligatures w14:val="none"/>
        </w:rPr>
        <w:t>Throughout this course, I developed a much deeper understanding of how security must be integrated into every stage of software development rather than treated as an afterthought. One of the most important takeaways was the adoption of secure coding standards early in the development process. Instead of waiting until the end to identify vulnerabilities, secure coding emphasizes writing code that is resilient from the start. This includes practices such as input validation, proper error handling, and minimizing exposure of sensitive data. Applying these principles reduces the likelihood of introducing critical vulnerabilities and lowers the cost and effort required to fix issues later. This mindset aligns with industry-recognized secure development practices that stress building security into the software lifecycle rather than adding it later (National Institute of Standards and Technology, 2020; OWASP Foundation, 2021).</w:t>
      </w:r>
    </w:p>
    <w:p w14:paraId="0849C04A" w14:textId="3289BF89" w:rsidR="00D71FA1" w:rsidRPr="00D71FA1" w:rsidRDefault="00D71FA1" w:rsidP="00D71FA1">
      <w:pPr>
        <w:spacing w:before="100" w:beforeAutospacing="1" w:after="100" w:afterAutospacing="1" w:line="480" w:lineRule="auto"/>
        <w:ind w:firstLine="720"/>
        <w:rPr>
          <w:rFonts w:ascii="Times New Roman" w:eastAsia="Times New Roman" w:hAnsi="Times New Roman" w:cs="Times New Roman"/>
          <w:kern w:val="0"/>
          <w14:ligatures w14:val="none"/>
        </w:rPr>
      </w:pPr>
      <w:r w:rsidRPr="00D71FA1">
        <w:rPr>
          <w:rFonts w:ascii="Times New Roman" w:eastAsia="Times New Roman" w:hAnsi="Times New Roman" w:cs="Times New Roman"/>
          <w:kern w:val="0"/>
          <w14:ligatures w14:val="none"/>
        </w:rPr>
        <w:t>Another key area of learning was evaluating risk and understanding the cost-benefit tradeoffs of mitigation strategies. Not all vulnerabilities carry the same level of risk, and attempting to eliminate every possible threat is often impractical. Instead, effective security requires prioritizing risks based on their likelihood and potential impact. Throughout the course, I learned how to assess threats in a structured way and determine which mitigation strategies provide the greatest value. For example, implementing multi-factor authentication or encrypting sensitive data may require additional development time, but the reduction in risk often justifies the investment. This approach reflects established risk management frameworks that emphasize balancing security controls with organizational resources (National Institute of Standards and Technology, 2012).</w:t>
      </w:r>
    </w:p>
    <w:p w14:paraId="106298F9" w14:textId="77777777" w:rsidR="00D71FA1" w:rsidRPr="00D71FA1" w:rsidRDefault="00D71FA1" w:rsidP="00D71FA1">
      <w:pPr>
        <w:spacing w:before="100" w:beforeAutospacing="1" w:after="100" w:afterAutospacing="1" w:line="480" w:lineRule="auto"/>
        <w:ind w:firstLine="720"/>
        <w:rPr>
          <w:rFonts w:ascii="Times New Roman" w:eastAsia="Times New Roman" w:hAnsi="Times New Roman" w:cs="Times New Roman"/>
          <w:kern w:val="0"/>
          <w14:ligatures w14:val="none"/>
        </w:rPr>
      </w:pPr>
      <w:r w:rsidRPr="00D71FA1">
        <w:rPr>
          <w:rFonts w:ascii="Times New Roman" w:eastAsia="Times New Roman" w:hAnsi="Times New Roman" w:cs="Times New Roman"/>
          <w:kern w:val="0"/>
          <w14:ligatures w14:val="none"/>
        </w:rPr>
        <w:t xml:space="preserve">The concept of zero trust further expanded my perspective on modern security practices. Zero trust operates under the principle that no user or system should be automatically trusted, </w:t>
      </w:r>
      <w:r w:rsidRPr="00D71FA1">
        <w:rPr>
          <w:rFonts w:ascii="Times New Roman" w:eastAsia="Times New Roman" w:hAnsi="Times New Roman" w:cs="Times New Roman"/>
          <w:kern w:val="0"/>
          <w14:ligatures w14:val="none"/>
        </w:rPr>
        <w:lastRenderedPageBreak/>
        <w:t xml:space="preserve">regardless of whether they are inside or outside the network. This model requires continuous verification, strict access controls, and the enforcement of least-privilege principles. Adopting a zero trust approach changes how systems are designed, shifting away from traditional perimeter-based security toward a more dynamic and layered defense strategy. It also highlights the importance of monitoring and authentication at every level, ensuring that access is granted only when necessary and </w:t>
      </w:r>
      <w:proofErr w:type="gramStart"/>
      <w:r w:rsidRPr="00D71FA1">
        <w:rPr>
          <w:rFonts w:ascii="Times New Roman" w:eastAsia="Times New Roman" w:hAnsi="Times New Roman" w:cs="Times New Roman"/>
          <w:kern w:val="0"/>
          <w14:ligatures w14:val="none"/>
        </w:rPr>
        <w:t>verified at all times</w:t>
      </w:r>
      <w:proofErr w:type="gramEnd"/>
      <w:r w:rsidRPr="00D71FA1">
        <w:rPr>
          <w:rFonts w:ascii="Times New Roman" w:eastAsia="Times New Roman" w:hAnsi="Times New Roman" w:cs="Times New Roman"/>
          <w:kern w:val="0"/>
          <w14:ligatures w14:val="none"/>
        </w:rPr>
        <w:t xml:space="preserve"> (National Institute of Standards and Technology, 2020).</w:t>
      </w:r>
    </w:p>
    <w:p w14:paraId="799FC3C9" w14:textId="6BAEE27A" w:rsidR="00D71FA1" w:rsidRPr="00D71FA1" w:rsidRDefault="00D71FA1" w:rsidP="00D71FA1">
      <w:pPr>
        <w:spacing w:before="100" w:beforeAutospacing="1" w:after="100" w:afterAutospacing="1" w:line="480" w:lineRule="auto"/>
        <w:ind w:firstLine="720"/>
        <w:rPr>
          <w:rFonts w:ascii="Times New Roman" w:eastAsia="Times New Roman" w:hAnsi="Times New Roman" w:cs="Times New Roman"/>
          <w:kern w:val="0"/>
          <w14:ligatures w14:val="none"/>
        </w:rPr>
      </w:pPr>
      <w:r w:rsidRPr="00D71FA1">
        <w:rPr>
          <w:rFonts w:ascii="Times New Roman" w:eastAsia="Times New Roman" w:hAnsi="Times New Roman" w:cs="Times New Roman"/>
          <w:kern w:val="0"/>
          <w14:ligatures w14:val="none"/>
        </w:rPr>
        <w:t>Finally, the implementation and recommendation of security policies play a critical role in maintaining a secure environment. Technical solutions alone are not enough; organizations must also establish clear policies that guide user behavior and system usage. These policies may include password requirements, access control procedures, data handling guidelines, and incident response protocols. Throughout this course, I learned that effective policies must be both enforceable and practical, balancing security needs with usability. As a future professional, I recognize the importance of advocating for policies that promote security awareness while supporting productivity. Overall, this course has reinforced that strong security is achieved through a combination of secure coding practices, risk-based decision-making, zero trust principles, and well-defined organizational policies (OWASP Foundation, 2021).</w:t>
      </w:r>
    </w:p>
    <w:p w14:paraId="0126E6F1" w14:textId="5848EC64" w:rsidR="00D71FA1" w:rsidRPr="00D71FA1" w:rsidRDefault="00D71FA1" w:rsidP="00D71FA1">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71FA1">
        <w:rPr>
          <w:rFonts w:ascii="Times New Roman" w:eastAsia="Times New Roman" w:hAnsi="Times New Roman" w:cs="Times New Roman"/>
          <w:kern w:val="0"/>
          <w:sz w:val="27"/>
          <w:szCs w:val="27"/>
          <w14:ligatures w14:val="none"/>
        </w:rPr>
        <w:t>References</w:t>
      </w:r>
    </w:p>
    <w:p w14:paraId="4C7654D6" w14:textId="77777777" w:rsidR="00D71FA1" w:rsidRPr="00D71FA1" w:rsidRDefault="00D71FA1" w:rsidP="00D71FA1">
      <w:pPr>
        <w:spacing w:before="100" w:beforeAutospacing="1" w:after="100" w:afterAutospacing="1" w:line="240" w:lineRule="auto"/>
        <w:rPr>
          <w:rFonts w:ascii="Times New Roman" w:eastAsia="Times New Roman" w:hAnsi="Times New Roman" w:cs="Times New Roman"/>
          <w:kern w:val="0"/>
          <w14:ligatures w14:val="none"/>
        </w:rPr>
      </w:pPr>
      <w:r w:rsidRPr="00D71FA1">
        <w:rPr>
          <w:rFonts w:ascii="Times New Roman" w:eastAsia="Times New Roman" w:hAnsi="Times New Roman" w:cs="Times New Roman"/>
          <w:kern w:val="0"/>
          <w14:ligatures w14:val="none"/>
        </w:rPr>
        <w:t xml:space="preserve">National Institute of Standards and Technology. (2012). </w:t>
      </w:r>
      <w:r w:rsidRPr="00D71FA1">
        <w:rPr>
          <w:rFonts w:ascii="Times New Roman" w:eastAsia="Times New Roman" w:hAnsi="Times New Roman" w:cs="Times New Roman"/>
          <w:i/>
          <w:iCs/>
          <w:kern w:val="0"/>
          <w14:ligatures w14:val="none"/>
        </w:rPr>
        <w:t>Guide for conducting risk assessments (SP 800-30 Rev. 1)</w:t>
      </w:r>
      <w:r w:rsidRPr="00D71FA1">
        <w:rPr>
          <w:rFonts w:ascii="Times New Roman" w:eastAsia="Times New Roman" w:hAnsi="Times New Roman" w:cs="Times New Roman"/>
          <w:kern w:val="0"/>
          <w14:ligatures w14:val="none"/>
        </w:rPr>
        <w:t xml:space="preserve">. U.S. Department of Commerce. </w:t>
      </w:r>
      <w:hyperlink r:id="rId6" w:tgtFrame="_new" w:history="1">
        <w:r w:rsidRPr="00D71FA1">
          <w:rPr>
            <w:rFonts w:ascii="Times New Roman" w:eastAsia="Times New Roman" w:hAnsi="Times New Roman" w:cs="Times New Roman"/>
            <w:color w:val="0000FF"/>
            <w:kern w:val="0"/>
            <w:u w:val="single"/>
            <w14:ligatures w14:val="none"/>
          </w:rPr>
          <w:t>https://nvlpubs.nist.gov/nistpubs/Legacy/SP/nistspecialpublication800-30r1.pdf</w:t>
        </w:r>
      </w:hyperlink>
    </w:p>
    <w:p w14:paraId="72A172CD" w14:textId="77777777" w:rsidR="00D71FA1" w:rsidRPr="00D71FA1" w:rsidRDefault="00D71FA1" w:rsidP="00D71FA1">
      <w:pPr>
        <w:spacing w:before="100" w:beforeAutospacing="1" w:after="100" w:afterAutospacing="1" w:line="240" w:lineRule="auto"/>
        <w:rPr>
          <w:rFonts w:ascii="Times New Roman" w:eastAsia="Times New Roman" w:hAnsi="Times New Roman" w:cs="Times New Roman"/>
          <w:kern w:val="0"/>
          <w14:ligatures w14:val="none"/>
        </w:rPr>
      </w:pPr>
      <w:r w:rsidRPr="00D71FA1">
        <w:rPr>
          <w:rFonts w:ascii="Times New Roman" w:eastAsia="Times New Roman" w:hAnsi="Times New Roman" w:cs="Times New Roman"/>
          <w:kern w:val="0"/>
          <w14:ligatures w14:val="none"/>
        </w:rPr>
        <w:t xml:space="preserve">National Institute of Standards and Technology. (2020). </w:t>
      </w:r>
      <w:r w:rsidRPr="00D71FA1">
        <w:rPr>
          <w:rFonts w:ascii="Times New Roman" w:eastAsia="Times New Roman" w:hAnsi="Times New Roman" w:cs="Times New Roman"/>
          <w:i/>
          <w:iCs/>
          <w:kern w:val="0"/>
          <w14:ligatures w14:val="none"/>
        </w:rPr>
        <w:t>Zero trust architecture (SP 800-207)</w:t>
      </w:r>
      <w:r w:rsidRPr="00D71FA1">
        <w:rPr>
          <w:rFonts w:ascii="Times New Roman" w:eastAsia="Times New Roman" w:hAnsi="Times New Roman" w:cs="Times New Roman"/>
          <w:kern w:val="0"/>
          <w14:ligatures w14:val="none"/>
        </w:rPr>
        <w:t xml:space="preserve">. U.S. Department of Commerce. </w:t>
      </w:r>
      <w:hyperlink r:id="rId7" w:tgtFrame="_new" w:history="1">
        <w:r w:rsidRPr="00D71FA1">
          <w:rPr>
            <w:rFonts w:ascii="Times New Roman" w:eastAsia="Times New Roman" w:hAnsi="Times New Roman" w:cs="Times New Roman"/>
            <w:color w:val="0000FF"/>
            <w:kern w:val="0"/>
            <w:u w:val="single"/>
            <w14:ligatures w14:val="none"/>
          </w:rPr>
          <w:t>https://nvlpubs.nist.gov/nistpubs/SpecialPublications/NIST.SP.800-207.pdf</w:t>
        </w:r>
      </w:hyperlink>
    </w:p>
    <w:p w14:paraId="36BE1EB4" w14:textId="77777777" w:rsidR="00D71FA1" w:rsidRPr="00D71FA1" w:rsidRDefault="00D71FA1" w:rsidP="00D71FA1">
      <w:pPr>
        <w:spacing w:before="100" w:beforeAutospacing="1" w:after="100" w:afterAutospacing="1" w:line="240" w:lineRule="auto"/>
        <w:rPr>
          <w:rFonts w:ascii="Times New Roman" w:eastAsia="Times New Roman" w:hAnsi="Times New Roman" w:cs="Times New Roman"/>
          <w:kern w:val="0"/>
          <w14:ligatures w14:val="none"/>
        </w:rPr>
      </w:pPr>
      <w:r w:rsidRPr="00D71FA1">
        <w:rPr>
          <w:rFonts w:ascii="Times New Roman" w:eastAsia="Times New Roman" w:hAnsi="Times New Roman" w:cs="Times New Roman"/>
          <w:kern w:val="0"/>
          <w14:ligatures w14:val="none"/>
        </w:rPr>
        <w:t xml:space="preserve">OWASP Foundation. (2021). </w:t>
      </w:r>
      <w:r w:rsidRPr="00D71FA1">
        <w:rPr>
          <w:rFonts w:ascii="Times New Roman" w:eastAsia="Times New Roman" w:hAnsi="Times New Roman" w:cs="Times New Roman"/>
          <w:i/>
          <w:iCs/>
          <w:kern w:val="0"/>
          <w14:ligatures w14:val="none"/>
        </w:rPr>
        <w:t>OWASP Top 10: The ten most critical web application security risks</w:t>
      </w:r>
      <w:r w:rsidRPr="00D71FA1">
        <w:rPr>
          <w:rFonts w:ascii="Times New Roman" w:eastAsia="Times New Roman" w:hAnsi="Times New Roman" w:cs="Times New Roman"/>
          <w:kern w:val="0"/>
          <w14:ligatures w14:val="none"/>
        </w:rPr>
        <w:t xml:space="preserve">. </w:t>
      </w:r>
      <w:hyperlink r:id="rId8" w:tgtFrame="_new" w:history="1">
        <w:r w:rsidRPr="00D71FA1">
          <w:rPr>
            <w:rFonts w:ascii="Times New Roman" w:eastAsia="Times New Roman" w:hAnsi="Times New Roman" w:cs="Times New Roman"/>
            <w:color w:val="0000FF"/>
            <w:kern w:val="0"/>
            <w:u w:val="single"/>
            <w14:ligatures w14:val="none"/>
          </w:rPr>
          <w:t>https://owasp.org/www-project-top-ten/</w:t>
        </w:r>
      </w:hyperlink>
    </w:p>
    <w:sectPr w:rsidR="00D71FA1" w:rsidRPr="00D71FA1">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9B26C" w14:textId="77777777" w:rsidR="00632F84" w:rsidRDefault="00632F84" w:rsidP="00D71FA1">
      <w:pPr>
        <w:spacing w:after="0" w:line="240" w:lineRule="auto"/>
      </w:pPr>
      <w:r>
        <w:separator/>
      </w:r>
    </w:p>
  </w:endnote>
  <w:endnote w:type="continuationSeparator" w:id="0">
    <w:p w14:paraId="49EDF0AF" w14:textId="77777777" w:rsidR="00632F84" w:rsidRDefault="00632F84" w:rsidP="00D71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E0986" w14:textId="77777777" w:rsidR="00D71FA1" w:rsidRDefault="00D71F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F7BF0" w14:textId="77777777" w:rsidR="00D71FA1" w:rsidRDefault="00D71F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77FB9" w14:textId="77777777" w:rsidR="00D71FA1" w:rsidRDefault="00D71F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728DD" w14:textId="77777777" w:rsidR="00632F84" w:rsidRDefault="00632F84" w:rsidP="00D71FA1">
      <w:pPr>
        <w:spacing w:after="0" w:line="240" w:lineRule="auto"/>
      </w:pPr>
      <w:r>
        <w:separator/>
      </w:r>
    </w:p>
  </w:footnote>
  <w:footnote w:type="continuationSeparator" w:id="0">
    <w:p w14:paraId="5EE4CC5F" w14:textId="77777777" w:rsidR="00632F84" w:rsidRDefault="00632F84" w:rsidP="00D71F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9014E" w14:textId="77777777" w:rsidR="00D71FA1" w:rsidRDefault="00D71F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FDD50" w14:textId="62867419" w:rsidR="00D71FA1" w:rsidRDefault="00D71FA1" w:rsidP="00D71FA1">
    <w:pPr>
      <w:pStyle w:val="Header"/>
      <w:jc w:val="right"/>
    </w:pPr>
    <w:r>
      <w:t>Devin Capdevila</w:t>
    </w:r>
  </w:p>
  <w:p w14:paraId="1E0DF502" w14:textId="351C343F" w:rsidR="00D71FA1" w:rsidRDefault="00D71FA1" w:rsidP="00D71FA1">
    <w:pPr>
      <w:pStyle w:val="Header"/>
      <w:jc w:val="center"/>
    </w:pPr>
    <w:r w:rsidRPr="00D71FA1">
      <w:t>8-2 Journal: Portfolio Reflection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3FCA0" w14:textId="77777777" w:rsidR="00D71FA1" w:rsidRDefault="00D71F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FA1"/>
    <w:rsid w:val="0002513C"/>
    <w:rsid w:val="0008739B"/>
    <w:rsid w:val="001860D5"/>
    <w:rsid w:val="001F1BFB"/>
    <w:rsid w:val="003177C6"/>
    <w:rsid w:val="0035520D"/>
    <w:rsid w:val="00632F84"/>
    <w:rsid w:val="006F25E9"/>
    <w:rsid w:val="009A04DC"/>
    <w:rsid w:val="00A70592"/>
    <w:rsid w:val="00B36911"/>
    <w:rsid w:val="00D71FA1"/>
    <w:rsid w:val="00D72770"/>
    <w:rsid w:val="00DC6866"/>
    <w:rsid w:val="00F82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3438C"/>
  <w15:chartTrackingRefBased/>
  <w15:docId w15:val="{2CF77965-9116-7844-AFE3-7D5925F7E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1F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F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F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1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FA1"/>
    <w:rPr>
      <w:rFonts w:eastAsiaTheme="majorEastAsia" w:cstheme="majorBidi"/>
      <w:color w:val="272727" w:themeColor="text1" w:themeTint="D8"/>
    </w:rPr>
  </w:style>
  <w:style w:type="paragraph" w:styleId="Title">
    <w:name w:val="Title"/>
    <w:basedOn w:val="Normal"/>
    <w:next w:val="Normal"/>
    <w:link w:val="TitleChar"/>
    <w:uiPriority w:val="10"/>
    <w:qFormat/>
    <w:rsid w:val="00D71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FA1"/>
    <w:pPr>
      <w:spacing w:before="160"/>
      <w:jc w:val="center"/>
    </w:pPr>
    <w:rPr>
      <w:i/>
      <w:iCs/>
      <w:color w:val="404040" w:themeColor="text1" w:themeTint="BF"/>
    </w:rPr>
  </w:style>
  <w:style w:type="character" w:customStyle="1" w:styleId="QuoteChar">
    <w:name w:val="Quote Char"/>
    <w:basedOn w:val="DefaultParagraphFont"/>
    <w:link w:val="Quote"/>
    <w:uiPriority w:val="29"/>
    <w:rsid w:val="00D71FA1"/>
    <w:rPr>
      <w:i/>
      <w:iCs/>
      <w:color w:val="404040" w:themeColor="text1" w:themeTint="BF"/>
    </w:rPr>
  </w:style>
  <w:style w:type="paragraph" w:styleId="ListParagraph">
    <w:name w:val="List Paragraph"/>
    <w:basedOn w:val="Normal"/>
    <w:uiPriority w:val="34"/>
    <w:qFormat/>
    <w:rsid w:val="00D71FA1"/>
    <w:pPr>
      <w:ind w:left="720"/>
      <w:contextualSpacing/>
    </w:pPr>
  </w:style>
  <w:style w:type="character" w:styleId="IntenseEmphasis">
    <w:name w:val="Intense Emphasis"/>
    <w:basedOn w:val="DefaultParagraphFont"/>
    <w:uiPriority w:val="21"/>
    <w:qFormat/>
    <w:rsid w:val="00D71FA1"/>
    <w:rPr>
      <w:i/>
      <w:iCs/>
      <w:color w:val="0F4761" w:themeColor="accent1" w:themeShade="BF"/>
    </w:rPr>
  </w:style>
  <w:style w:type="paragraph" w:styleId="IntenseQuote">
    <w:name w:val="Intense Quote"/>
    <w:basedOn w:val="Normal"/>
    <w:next w:val="Normal"/>
    <w:link w:val="IntenseQuoteChar"/>
    <w:uiPriority w:val="30"/>
    <w:qFormat/>
    <w:rsid w:val="00D71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FA1"/>
    <w:rPr>
      <w:i/>
      <w:iCs/>
      <w:color w:val="0F4761" w:themeColor="accent1" w:themeShade="BF"/>
    </w:rPr>
  </w:style>
  <w:style w:type="character" w:styleId="IntenseReference">
    <w:name w:val="Intense Reference"/>
    <w:basedOn w:val="DefaultParagraphFont"/>
    <w:uiPriority w:val="32"/>
    <w:qFormat/>
    <w:rsid w:val="00D71FA1"/>
    <w:rPr>
      <w:b/>
      <w:bCs/>
      <w:smallCaps/>
      <w:color w:val="0F4761" w:themeColor="accent1" w:themeShade="BF"/>
      <w:spacing w:val="5"/>
    </w:rPr>
  </w:style>
  <w:style w:type="paragraph" w:styleId="NormalWeb">
    <w:name w:val="Normal (Web)"/>
    <w:basedOn w:val="Normal"/>
    <w:uiPriority w:val="99"/>
    <w:semiHidden/>
    <w:unhideWhenUsed/>
    <w:rsid w:val="00D71FA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D71FA1"/>
  </w:style>
  <w:style w:type="character" w:styleId="Emphasis">
    <w:name w:val="Emphasis"/>
    <w:basedOn w:val="DefaultParagraphFont"/>
    <w:uiPriority w:val="20"/>
    <w:qFormat/>
    <w:rsid w:val="00D71FA1"/>
    <w:rPr>
      <w:i/>
      <w:iCs/>
    </w:rPr>
  </w:style>
  <w:style w:type="character" w:styleId="Hyperlink">
    <w:name w:val="Hyperlink"/>
    <w:basedOn w:val="DefaultParagraphFont"/>
    <w:uiPriority w:val="99"/>
    <w:semiHidden/>
    <w:unhideWhenUsed/>
    <w:rsid w:val="00D71FA1"/>
    <w:rPr>
      <w:color w:val="0000FF"/>
      <w:u w:val="single"/>
    </w:rPr>
  </w:style>
  <w:style w:type="paragraph" w:styleId="Header">
    <w:name w:val="header"/>
    <w:basedOn w:val="Normal"/>
    <w:link w:val="HeaderChar"/>
    <w:uiPriority w:val="99"/>
    <w:unhideWhenUsed/>
    <w:rsid w:val="00D71F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1FA1"/>
  </w:style>
  <w:style w:type="paragraph" w:styleId="Footer">
    <w:name w:val="footer"/>
    <w:basedOn w:val="Normal"/>
    <w:link w:val="FooterChar"/>
    <w:uiPriority w:val="99"/>
    <w:unhideWhenUsed/>
    <w:rsid w:val="00D71F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1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www-project-top-ten/" TargetMode="External"/><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yperlink" Target="https://nvlpubs.nist.gov/nistpubs/SpecialPublications/NIST.SP.800-207.pdf" TargetMode="Externa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nvlpubs.nist.gov/nistpubs/Legacy/SP/nistspecialpublication800-30r1.pdf"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642</Words>
  <Characters>3661</Characters>
  <Application>Microsoft Office Word</Application>
  <DocSecurity>0</DocSecurity>
  <Lines>30</Lines>
  <Paragraphs>8</Paragraphs>
  <ScaleCrop>false</ScaleCrop>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Capdevila, Devin</dc:creator>
  <cp:keywords/>
  <dc:description/>
  <cp:lastModifiedBy>Capdevila, Devin</cp:lastModifiedBy>
  <cp:revision>2</cp:revision>
  <dcterms:created xsi:type="dcterms:W3CDTF">2026-04-21T17:35:00Z</dcterms:created>
  <dcterms:modified xsi:type="dcterms:W3CDTF">2026-04-21T17:38:00Z</dcterms:modified>
</cp:coreProperties>
</file>