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line="480" w:lineRule="auto" w:after="0" w:before="0"/>
        <w:jc w:val="center"/>
      </w:pPr>
    </w:p>
    <w:p>
      <w:pPr>
        <w:keepNext w:val="0"/>
        <w:spacing w:line="480" w:lineRule="auto" w:after="0" w:before="0"/>
        <w:jc w:val="center"/>
      </w:pPr>
    </w:p>
    <w:p>
      <w:pPr>
        <w:keepNext w:val="0"/>
        <w:spacing w:line="480" w:lineRule="auto" w:after="0" w:before="0"/>
        <w:jc w:val="center"/>
      </w:pPr>
    </w:p>
    <w:p>
      <w:pPr>
        <w:keepNext w:val="0"/>
        <w:spacing w:line="480" w:lineRule="auto" w:after="0" w:before="0"/>
        <w:jc w:val="center"/>
      </w:pPr>
    </w:p>
    <w:p>
      <w:pPr>
        <w:keepNext w:val="0"/>
        <w:spacing w:line="480" w:lineRule="auto" w:after="0" w:before="0"/>
        <w:jc w:val="center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>Manual de Usuario</w:t>
      </w:r>
    </w:p>
    <w:p>
      <w:pPr>
        <w:keepNext w:val="0"/>
        <w:spacing w:line="480" w:lineRule="auto" w:after="0" w:before="0"/>
        <w:jc w:val="center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>Geovisor Ecopedagógico de Sevilla, Valle del Cauca</w:t>
      </w:r>
    </w:p>
    <w:p>
      <w:pPr>
        <w:keepNext w:val="0"/>
        <w:spacing w:line="480" w:lineRule="auto" w:after="0" w:before="0"/>
        <w:jc w:val="center"/>
      </w:pPr>
    </w:p>
    <w:p>
      <w:pPr>
        <w:keepNext w:val="0"/>
        <w:spacing w:line="480" w:lineRule="auto" w:after="0" w:before="0"/>
        <w:jc w:val="center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Cristóbal Valencia Cerón y José David Molina Delgado</w:t>
      </w:r>
    </w:p>
    <w:p>
      <w:pPr>
        <w:keepNext w:val="0"/>
        <w:spacing w:line="480" w:lineRule="auto" w:after="0" w:before="0"/>
        <w:jc w:val="center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Facultad de Ingeniería, Universidad Santiago de Cali</w:t>
      </w:r>
    </w:p>
    <w:p>
      <w:pPr>
        <w:keepNext w:val="0"/>
        <w:spacing w:line="480" w:lineRule="auto" w:after="0" w:before="0"/>
        <w:jc w:val="center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Programa de Ingeniería de Sistemas</w:t>
      </w:r>
    </w:p>
    <w:p>
      <w:pPr>
        <w:keepNext w:val="0"/>
        <w:spacing w:line="480" w:lineRule="auto" w:after="0" w:before="0"/>
        <w:jc w:val="center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Trabajo de grado</w:t>
      </w:r>
    </w:p>
    <w:p>
      <w:pPr>
        <w:keepNext w:val="0"/>
        <w:spacing w:line="480" w:lineRule="auto" w:after="0" w:before="0"/>
        <w:jc w:val="center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Dirección: Diego Fernando Loaiza y Silvia Andrea Quijano Pérez — Grupo de Investigación COMBA I+D</w:t>
      </w:r>
    </w:p>
    <w:p>
      <w:pPr>
        <w:keepNext w:val="0"/>
        <w:spacing w:line="480" w:lineRule="auto" w:after="0" w:before="0"/>
        <w:jc w:val="center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2026</w:t>
      </w:r>
    </w:p>
    <w:p>
      <w:r>
        <w:br w:type="page"/>
      </w:r>
    </w:p>
    <w:p>
      <w:pPr>
        <w:keepNext/>
        <w:spacing w:line="480" w:lineRule="auto" w:after="0" w:before="0"/>
        <w:jc w:val="center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>Resumen</w:t>
      </w:r>
    </w:p>
    <w:p>
      <w:pPr>
        <w:keepNext w:val="0"/>
        <w:spacing w:line="480" w:lineRule="auto" w:after="0" w:before="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El Geovisor Ecopedagógico es una herramienta web que permite explorar las transformaciones socioecosistémicas del municipio de Sevilla, Valle del Cauca, mediante mapas interactivos, fichas pedagógicas y recorridos guiados. Este manual describe, paso a paso, cómo utilizarla. Está dirigido a estudiantes de básica secundaria de 10 a 15 años, a docentes y al público general. La herramienta no requiere instalación: funciona en cualquier navegador moderno y, después de la primera visita, también sin conexión a internet. El documento se organiza en once secciones apoyadas en nueve figuras que resumen visualmente cada procedimiento.</w:t>
      </w:r>
    </w:p>
    <w:p>
      <w:pPr>
        <w:spacing w:line="480" w:lineRule="auto" w:after="0"/>
        <w:ind w:firstLine="720"/>
      </w:pPr>
      <w:r>
        <w:rPr>
          <w:rFonts w:ascii="Times New Roman" w:hAnsi="Times New Roman" w:cs="Times New Roman"/>
          <w:b w:val="0"/>
          <w:i/>
          <w:color w:val="000000"/>
          <w:sz w:val="24"/>
        </w:rPr>
        <w:t xml:space="preserve">Palabras clave: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geovisor, ecopedagogía, cartografía digital, educación ambiental, Sevilla</w:t>
      </w:r>
    </w:p>
    <w:p>
      <w:r>
        <w:br w:type="page"/>
      </w:r>
    </w:p>
    <w:p>
      <w:pPr>
        <w:keepNext/>
        <w:spacing w:line="480" w:lineRule="auto" w:after="0" w:before="0"/>
        <w:jc w:val="center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>Qué es el Geovisor</w:t>
      </w:r>
    </w:p>
    <w:p>
      <w:pPr>
        <w:keepNext w:val="0"/>
        <w:spacing w:line="480" w:lineRule="auto" w:after="0" w:before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El Geovisor es una aplicación de mapas que muestra las transformaciones del territorio de Sevilla: sus aguas, bosques, páramos, suelos, actores sociales y el Paisaje Cultural Cafetero. Cada capa del mapa incluye una ficha pedagógica con explicaciones, preguntas de reflexión, vocabulario y material multimedia.</w:t>
      </w:r>
    </w:p>
    <w:p>
      <w:pPr>
        <w:keepNext/>
        <w:spacing w:line="480" w:lineRule="auto" w:after="0" w:before="0"/>
        <w:jc w:val="left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>Qué se puede hacer</w:t>
      </w:r>
    </w:p>
    <w:p>
      <w:pPr>
        <w:pStyle w:val="ListBullet"/>
        <w:spacing w:line="480" w:lineRule="auto" w:after="0" w:before="0"/>
        <w:ind w:left="1080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Explorar 23 capas geográficas del municipio, agrupadas en seis categorías.</w:t>
      </w:r>
    </w:p>
    <w:p>
      <w:pPr>
        <w:pStyle w:val="ListBullet"/>
        <w:spacing w:line="480" w:lineRule="auto" w:after="0" w:before="0"/>
        <w:ind w:left="1080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Consultar 23 fichas pedagógicas con galería de imágenes y videos.</w:t>
      </w:r>
    </w:p>
    <w:p>
      <w:pPr>
        <w:pStyle w:val="ListBullet"/>
        <w:spacing w:line="480" w:lineRule="auto" w:after="0" w:before="0"/>
        <w:ind w:left="1080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Seguir cuatro recorridos guiados temáticos, parada por parada.</w:t>
      </w:r>
    </w:p>
    <w:p>
      <w:pPr>
        <w:pStyle w:val="ListBullet"/>
        <w:spacing w:line="480" w:lineRule="auto" w:after="0" w:before="0"/>
        <w:ind w:left="1080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Medir distancias y áreas sobre el mapa.</w:t>
      </w:r>
    </w:p>
    <w:p>
      <w:pPr>
        <w:pStyle w:val="ListBullet"/>
        <w:spacing w:line="480" w:lineRule="auto" w:after="0" w:before="0"/>
        <w:ind w:left="1080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Exportar la vista actual como imagen y compartirla mediante un enlace.</w:t>
      </w:r>
    </w:p>
    <w:p>
      <w:pPr>
        <w:pStyle w:val="ListBullet"/>
        <w:spacing w:line="480" w:lineRule="auto" w:after="0" w:before="0"/>
        <w:ind w:left="1080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Consultar un glosario de términos y una guía rápida de uso.</w:t>
      </w:r>
    </w:p>
    <w:p>
      <w:pPr>
        <w:pStyle w:val="ListBullet"/>
        <w:spacing w:line="480" w:lineRule="auto" w:after="0" w:before="0"/>
        <w:ind w:left="1080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Utilizar el mapa sin conexión después de la primera visita.</w:t>
      </w:r>
    </w:p>
    <w:p>
      <w:pPr>
        <w:keepNext w:val="0"/>
        <w:spacing w:line="480" w:lineRule="auto" w:after="0" w:before="0"/>
        <w:jc w:val="left"/>
      </w:pPr>
    </w:p>
    <w:p>
      <w:pPr>
        <w:keepNext/>
        <w:spacing w:line="480" w:lineRule="auto" w:after="0" w:before="0"/>
        <w:jc w:val="left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>Figura 1</w:t>
      </w:r>
    </w:p>
    <w:p>
      <w:pPr>
        <w:keepNext/>
        <w:spacing w:line="480" w:lineRule="auto" w:after="120" w:before="0"/>
        <w:jc w:val="left"/>
      </w:pPr>
      <w:r>
        <w:rPr>
          <w:rFonts w:ascii="Times New Roman" w:hAnsi="Times New Roman" w:cs="Times New Roman"/>
          <w:b w:val="0"/>
          <w:i/>
          <w:color w:val="000000"/>
          <w:sz w:val="24"/>
        </w:rPr>
        <w:t>Flujo básico de uso, del inicio a la consulta de una ficha</w:t>
      </w:r>
    </w:p>
    <w:p>
      <w:pPr>
        <w:keepNext/>
        <w:spacing w:line="240" w:lineRule="auto" w:after="120" w:before="0"/>
        <w:jc w:val="center"/>
      </w:pPr>
      <w:r>
        <w:drawing>
          <wp:inline xmlns:a="http://schemas.openxmlformats.org/drawingml/2006/main" xmlns:pic="http://schemas.openxmlformats.org/drawingml/2006/picture">
            <wp:extent cx="5943600" cy="54584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u-0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58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240" w:before="0"/>
      </w:pPr>
      <w:r>
        <w:rPr>
          <w:rFonts w:ascii="Times New Roman" w:hAnsi="Times New Roman" w:cs="Times New Roman"/>
          <w:b w:val="0"/>
          <w:i/>
          <w:color w:val="000000"/>
          <w:sz w:val="20"/>
        </w:rPr>
        <w:t xml:space="preserve">Nota. </w:t>
      </w:r>
      <w:r>
        <w:rPr>
          <w:rFonts w:ascii="Times New Roman" w:hAnsi="Times New Roman" w:cs="Times New Roman"/>
          <w:b w:val="0"/>
          <w:i w:val="0"/>
          <w:color w:val="000000"/>
          <w:sz w:val="20"/>
        </w:rPr>
        <w:t>El recorrido mínimo para obtener contenido pedagógico consta de cinco pasos.</w:t>
      </w:r>
    </w:p>
    <w:p>
      <w:pPr>
        <w:keepNext/>
        <w:spacing w:line="480" w:lineRule="auto" w:after="0" w:before="0"/>
        <w:jc w:val="center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>Antes de Empezar</w:t>
      </w:r>
    </w:p>
    <w:p>
      <w:pPr>
        <w:keepNext w:val="0"/>
        <w:spacing w:line="480" w:lineRule="auto" w:after="0" w:before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Solo se necesita un navegador moderno —Chrome, Firefox, Edge o Safari— y, la primera vez, conexión a internet. No hay que instalar programas ni crear una cuenta. La herramienta funciona igualmente en computador, tableta o teléfono, y puede instalarse como aplicación desde el propio navegador.</w:t>
      </w:r>
    </w:p>
    <w:p>
      <w:pPr>
        <w:keepNext/>
        <w:spacing w:line="480" w:lineRule="auto" w:after="0" w:before="0"/>
        <w:jc w:val="center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>Cómo Moverse por la Aplicación</w:t>
      </w:r>
    </w:p>
    <w:p>
      <w:pPr>
        <w:keepNext w:val="0"/>
        <w:spacing w:line="480" w:lineRule="auto" w:after="0" w:before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La aplicación tiene cinco secciones principales, accesibles desde la barra superior en cualquier momento.</w:t>
      </w:r>
    </w:p>
    <w:p>
      <w:pPr>
        <w:keepNext/>
        <w:spacing w:line="480" w:lineRule="auto" w:after="0" w:before="0"/>
        <w:jc w:val="left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>Tabla 1</w:t>
      </w:r>
    </w:p>
    <w:p>
      <w:pPr>
        <w:keepNext/>
        <w:spacing w:line="480" w:lineRule="auto" w:after="120" w:before="0"/>
        <w:jc w:val="left"/>
      </w:pPr>
      <w:r>
        <w:rPr>
          <w:rFonts w:ascii="Times New Roman" w:hAnsi="Times New Roman" w:cs="Times New Roman"/>
          <w:b w:val="0"/>
          <w:i/>
          <w:color w:val="000000"/>
          <w:sz w:val="24"/>
        </w:rPr>
        <w:t>Secciones de la aplicación y su propósito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/>
        </w:trPr>
        <w:tc>
          <w:tcPr>
            <w:tcW w:type="dxa" w:w="2304"/>
            <w:tcBorders>
              <w:top w:val="single" w:sz="8" w:color="000000"/>
              <w:bottom w:val="single" w:sz="6" w:color="000000"/>
              <w:left w:val="nil"/>
              <w:right w:val="nil"/>
            </w:tcBorders>
          </w:tcPr>
          <w:p>
            <w:pPr>
              <w:keepNext/>
              <w:spacing w:line="240" w:lineRule="auto" w:after="60" w:before="60"/>
            </w:pPr>
            <w:r/>
            <w:r>
              <w:rPr>
                <w:rFonts w:ascii="Times New Roman" w:hAnsi="Times New Roman" w:cs="Times New Roman"/>
                <w:b/>
                <w:i w:val="0"/>
                <w:color w:val="000000"/>
                <w:sz w:val="22"/>
              </w:rPr>
              <w:t>Sección</w:t>
            </w:r>
          </w:p>
        </w:tc>
        <w:tc>
          <w:tcPr>
            <w:tcW w:type="dxa" w:w="7056"/>
            <w:tcBorders>
              <w:top w:val="single" w:sz="8" w:color="000000"/>
              <w:bottom w:val="single" w:sz="6" w:color="000000"/>
              <w:left w:val="nil"/>
              <w:right w:val="nil"/>
            </w:tcBorders>
          </w:tcPr>
          <w:p>
            <w:pPr>
              <w:keepNext/>
              <w:spacing w:line="240" w:lineRule="auto" w:after="60" w:before="60"/>
            </w:pPr>
            <w:r/>
            <w:r>
              <w:rPr>
                <w:rFonts w:ascii="Times New Roman" w:hAnsi="Times New Roman" w:cs="Times New Roman"/>
                <w:b/>
                <w:i w:val="0"/>
                <w:color w:val="000000"/>
                <w:sz w:val="22"/>
              </w:rPr>
              <w:t>Para qué sirve</w:t>
            </w:r>
          </w:p>
        </w:tc>
      </w:tr>
      <w:tr>
        <w:trPr>
          <w:cantSplit/>
        </w:trPr>
        <w:tc>
          <w:tcPr>
            <w:tcW w:type="dxa" w:w="2304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line="240" w:lineRule="auto" w:after="60" w:before="60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Inicio</w:t>
            </w:r>
          </w:p>
        </w:tc>
        <w:tc>
          <w:tcPr>
            <w:tcW w:type="dxa" w:w="7056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line="240" w:lineRule="auto" w:after="60" w:before="60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Presentación del territorio y accesos rápidos</w:t>
            </w:r>
          </w:p>
        </w:tc>
      </w:tr>
      <w:tr>
        <w:trPr>
          <w:cantSplit/>
        </w:trPr>
        <w:tc>
          <w:tcPr>
            <w:tcW w:type="dxa" w:w="2304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line="240" w:lineRule="auto" w:after="60" w:before="60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Visor</w:t>
            </w:r>
          </w:p>
        </w:tc>
        <w:tc>
          <w:tcPr>
            <w:tcW w:type="dxa" w:w="7056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line="240" w:lineRule="auto" w:after="60" w:before="60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El mapa interactivo; es el corazón de la herramienta</w:t>
            </w:r>
          </w:p>
        </w:tc>
      </w:tr>
      <w:tr>
        <w:trPr>
          <w:cantSplit/>
        </w:trPr>
        <w:tc>
          <w:tcPr>
            <w:tcW w:type="dxa" w:w="2304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line="240" w:lineRule="auto" w:after="60" w:before="60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Recorridos</w:t>
            </w:r>
          </w:p>
        </w:tc>
        <w:tc>
          <w:tcPr>
            <w:tcW w:type="dxa" w:w="7056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line="240" w:lineRule="auto" w:after="60" w:before="60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Rutas temáticas guiadas, parada por parada</w:t>
            </w:r>
          </w:p>
        </w:tc>
      </w:tr>
      <w:tr>
        <w:trPr>
          <w:cantSplit/>
        </w:trPr>
        <w:tc>
          <w:tcPr>
            <w:tcW w:type="dxa" w:w="2304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line="240" w:lineRule="auto" w:after="60" w:before="60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Glosario</w:t>
            </w:r>
          </w:p>
        </w:tc>
        <w:tc>
          <w:tcPr>
            <w:tcW w:type="dxa" w:w="7056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line="240" w:lineRule="auto" w:after="60" w:before="60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Términos clave con su definición y enlace al visor</w:t>
            </w:r>
          </w:p>
        </w:tc>
      </w:tr>
      <w:tr>
        <w:trPr>
          <w:cantSplit/>
        </w:trPr>
        <w:tc>
          <w:tcPr>
            <w:tcW w:type="dxa" w:w="2304"/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keepNext/>
              <w:spacing w:line="240" w:lineRule="auto" w:after="60" w:before="60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Guía</w:t>
            </w:r>
          </w:p>
        </w:tc>
        <w:tc>
          <w:tcPr>
            <w:tcW w:type="dxa" w:w="7056"/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keepNext/>
              <w:spacing w:line="240" w:lineRule="auto" w:after="60" w:before="60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Instrucciones rápidas de uso</w:t>
            </w:r>
          </w:p>
        </w:tc>
      </w:tr>
    </w:tbl>
    <w:p>
      <w:pPr>
        <w:keepNext w:val="0"/>
        <w:spacing w:line="240" w:lineRule="auto" w:after="120" w:before="0"/>
        <w:jc w:val="left"/>
      </w:pPr>
    </w:p>
    <w:p>
      <w:pPr>
        <w:keepNext/>
        <w:spacing w:line="480" w:lineRule="auto" w:after="0" w:before="0"/>
        <w:jc w:val="left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>Figura 2</w:t>
      </w:r>
    </w:p>
    <w:p>
      <w:pPr>
        <w:keepNext/>
        <w:spacing w:line="480" w:lineRule="auto" w:after="120" w:before="0"/>
        <w:jc w:val="left"/>
      </w:pPr>
      <w:r>
        <w:rPr>
          <w:rFonts w:ascii="Times New Roman" w:hAnsi="Times New Roman" w:cs="Times New Roman"/>
          <w:b w:val="0"/>
          <w:i/>
          <w:color w:val="000000"/>
          <w:sz w:val="24"/>
        </w:rPr>
        <w:t>Mapa de navegación entre las secciones de la aplicación</w:t>
      </w:r>
    </w:p>
    <w:p>
      <w:pPr>
        <w:keepNext/>
        <w:spacing w:line="240" w:lineRule="auto" w:after="120" w:before="0"/>
        <w:jc w:val="center"/>
      </w:pPr>
      <w:r>
        <w:drawing>
          <wp:inline xmlns:a="http://schemas.openxmlformats.org/drawingml/2006/main" xmlns:pic="http://schemas.openxmlformats.org/drawingml/2006/picture">
            <wp:extent cx="5943600" cy="335040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u-0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04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240" w:before="0"/>
      </w:pPr>
      <w:r>
        <w:rPr>
          <w:rFonts w:ascii="Times New Roman" w:hAnsi="Times New Roman" w:cs="Times New Roman"/>
          <w:b w:val="0"/>
          <w:i/>
          <w:color w:val="000000"/>
          <w:sz w:val="20"/>
        </w:rPr>
        <w:t xml:space="preserve">Nota. </w:t>
      </w:r>
      <w:r>
        <w:rPr>
          <w:rFonts w:ascii="Times New Roman" w:hAnsi="Times New Roman" w:cs="Times New Roman"/>
          <w:b w:val="0"/>
          <w:i w:val="0"/>
          <w:color w:val="000000"/>
          <w:sz w:val="20"/>
        </w:rPr>
        <w:t>Desde Recorridos y Glosario se llega también al Visor, que concentra la exploración cartográfica.</w:t>
      </w:r>
    </w:p>
    <w:p>
      <w:pPr>
        <w:keepNext/>
        <w:spacing w:line="480" w:lineRule="auto" w:after="0" w:before="0"/>
        <w:jc w:val="center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>La Pantalla del Visor</w:t>
      </w:r>
    </w:p>
    <w:p>
      <w:pPr>
        <w:keepNext w:val="0"/>
        <w:spacing w:line="480" w:lineRule="auto" w:after="0" w:before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El Visor se organiza en tres zonas, inspiradas en los visores geográficos profesionales pero simplificadas para el aula.</w:t>
      </w:r>
    </w:p>
    <w:p>
      <w:pPr>
        <w:keepNext/>
        <w:spacing w:line="480" w:lineRule="auto" w:after="0" w:before="0"/>
        <w:jc w:val="left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>Figura 3</w:t>
      </w:r>
    </w:p>
    <w:p>
      <w:pPr>
        <w:keepNext/>
        <w:spacing w:line="480" w:lineRule="auto" w:after="120" w:before="0"/>
        <w:jc w:val="left"/>
      </w:pPr>
      <w:r>
        <w:rPr>
          <w:rFonts w:ascii="Times New Roman" w:hAnsi="Times New Roman" w:cs="Times New Roman"/>
          <w:b w:val="0"/>
          <w:i/>
          <w:color w:val="000000"/>
          <w:sz w:val="24"/>
        </w:rPr>
        <w:t>Anatomía de la pantalla del Visor y sus tres zonas</w:t>
      </w:r>
    </w:p>
    <w:p>
      <w:pPr>
        <w:keepNext/>
        <w:spacing w:line="240" w:lineRule="auto" w:after="120" w:before="0"/>
        <w:jc w:val="center"/>
      </w:pPr>
      <w:r>
        <w:drawing>
          <wp:inline xmlns:a="http://schemas.openxmlformats.org/drawingml/2006/main" xmlns:pic="http://schemas.openxmlformats.org/drawingml/2006/picture">
            <wp:extent cx="5943600" cy="139976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u-0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97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240" w:before="0"/>
      </w:pPr>
      <w:r>
        <w:rPr>
          <w:rFonts w:ascii="Times New Roman" w:hAnsi="Times New Roman" w:cs="Times New Roman"/>
          <w:b w:val="0"/>
          <w:i/>
          <w:color w:val="000000"/>
          <w:sz w:val="20"/>
        </w:rPr>
        <w:t xml:space="preserve">Nota. </w:t>
      </w:r>
      <w:r>
        <w:rPr>
          <w:rFonts w:ascii="Times New Roman" w:hAnsi="Times New Roman" w:cs="Times New Roman"/>
          <w:b w:val="0"/>
          <w:i w:val="0"/>
          <w:color w:val="000000"/>
          <w:sz w:val="20"/>
        </w:rPr>
        <w:t>El panel derecho permanece oculto hasta que se hace clic sobre un elemento del mapa.</w:t>
      </w:r>
    </w:p>
    <w:p>
      <w:pPr>
        <w:keepNext/>
        <w:spacing w:line="480" w:lineRule="auto" w:after="0" w:before="0"/>
        <w:jc w:val="left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>Panel izquierdo</w:t>
      </w:r>
    </w:p>
    <w:p>
      <w:pPr>
        <w:keepNext w:val="0"/>
        <w:spacing w:line="480" w:lineRule="auto" w:after="0" w:before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Contiene las seis categorías de capas organizadas en un acordeón. Al abrir una categoría y marcar una capa, esta muestra su control de opacidad y su leyenda de colores. Debajo de cada capa se indica la entidad que produce sus datos (CVC, IDEAM o IGAC); las capas rotuladas como Ilustrativo son ejemplos preparados para el prototipo y no datos oficiales.</w:t>
      </w:r>
    </w:p>
    <w:p>
      <w:pPr>
        <w:keepNext/>
        <w:spacing w:line="480" w:lineRule="auto" w:after="0" w:before="0"/>
        <w:jc w:val="left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>Área central</w:t>
      </w:r>
    </w:p>
    <w:p>
      <w:pPr>
        <w:keepNext w:val="0"/>
        <w:spacing w:line="480" w:lineRule="auto" w:after="0" w:before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Es el mapa. Permite acercar y alejar con la rueda del ratón o con los botones de más y menos, desplazarse arrastrando, y cambiar el mapa base entre callejero, satélite y topográfico. En la parte inferior aparecen la escala gráfica y las coordenadas del cursor.</w:t>
      </w:r>
    </w:p>
    <w:p>
      <w:pPr>
        <w:keepNext/>
        <w:spacing w:line="480" w:lineRule="auto" w:after="0" w:before="0"/>
        <w:jc w:val="left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>Panel derecho</w:t>
      </w:r>
    </w:p>
    <w:p>
      <w:pPr>
        <w:keepNext w:val="0"/>
        <w:spacing w:line="480" w:lineRule="auto" w:after="0" w:before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Al hacer clic sobre un elemento del mapa aparece un globo con su información básica y un botón para abrir la ficha pedagógica completa, que se despliega en este panel.</w:t>
      </w:r>
    </w:p>
    <w:p>
      <w:pPr>
        <w:keepNext/>
        <w:spacing w:line="480" w:lineRule="auto" w:after="0" w:before="0"/>
        <w:jc w:val="center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>Explorar Capas Paso a Paso</w:t>
      </w:r>
    </w:p>
    <w:p>
      <w:pPr>
        <w:pStyle w:val="ListNumber"/>
        <w:spacing w:line="480" w:lineRule="auto" w:after="0" w:before="0"/>
        <w:ind w:left="1080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Abrir el Visor desde la barra superior.</w:t>
      </w:r>
    </w:p>
    <w:p>
      <w:pPr>
        <w:pStyle w:val="ListNumber"/>
        <w:spacing w:line="480" w:lineRule="auto" w:after="0" w:before="0"/>
        <w:ind w:left="1080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Hacer clic en una categoría, por ejemplo Agua, para desplegarla.</w:t>
      </w:r>
    </w:p>
    <w:p>
      <w:pPr>
        <w:pStyle w:val="ListNumber"/>
        <w:spacing w:line="480" w:lineRule="auto" w:after="0" w:before="0"/>
        <w:ind w:left="1080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Marcar la casilla de una capa, por ejemplo Cuencas Hidrográficas.</w:t>
      </w:r>
    </w:p>
    <w:p>
      <w:pPr>
        <w:pStyle w:val="ListNumber"/>
        <w:spacing w:line="480" w:lineRule="auto" w:after="0" w:before="0"/>
        <w:ind w:left="1080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La capa aparece en el mapa con su simbología y su leyenda.</w:t>
      </w:r>
    </w:p>
    <w:p>
      <w:pPr>
        <w:pStyle w:val="ListNumber"/>
        <w:spacing w:line="480" w:lineRule="auto" w:after="0" w:before="0"/>
        <w:ind w:left="1080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Ajustar la opacidad con el deslizador para ver el mapa de fondo.</w:t>
      </w:r>
    </w:p>
    <w:p>
      <w:pPr>
        <w:pStyle w:val="ListNumber"/>
        <w:spacing w:line="480" w:lineRule="auto" w:after="0" w:before="0"/>
        <w:ind w:left="1080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Usar el botón de zoom a la extensión para encuadrar la capa completa.</w:t>
      </w:r>
    </w:p>
    <w:p>
      <w:pPr>
        <w:keepNext w:val="0"/>
        <w:spacing w:line="480" w:lineRule="auto" w:after="0" w:before="0"/>
        <w:jc w:val="left"/>
      </w:pPr>
    </w:p>
    <w:p>
      <w:pPr>
        <w:keepNext w:val="0"/>
        <w:spacing w:line="480" w:lineRule="auto" w:after="0" w:before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Se pueden activar varias capas a la vez para compararlas. Por ejemplo, superponer las cuencas hidrográficas y las áreas protegidas permite observar qué parte del agua del municipio nace en territorio conservado.</w:t>
      </w:r>
    </w:p>
    <w:p>
      <w:pPr>
        <w:keepNext/>
        <w:spacing w:line="480" w:lineRule="auto" w:after="0" w:before="0"/>
        <w:jc w:val="left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>Figura 4</w:t>
      </w:r>
    </w:p>
    <w:p>
      <w:pPr>
        <w:keepNext/>
        <w:spacing w:line="480" w:lineRule="auto" w:after="120" w:before="0"/>
        <w:jc w:val="left"/>
      </w:pPr>
      <w:r>
        <w:rPr>
          <w:rFonts w:ascii="Times New Roman" w:hAnsi="Times New Roman" w:cs="Times New Roman"/>
          <w:b w:val="0"/>
          <w:i/>
          <w:color w:val="000000"/>
          <w:sz w:val="24"/>
        </w:rPr>
        <w:t>Pasos para activar una capa y ajustar su presentación</w:t>
      </w:r>
    </w:p>
    <w:p>
      <w:pPr>
        <w:keepNext/>
        <w:spacing w:line="240" w:lineRule="auto" w:after="120" w:before="0"/>
        <w:jc w:val="center"/>
      </w:pPr>
      <w:r>
        <w:drawing>
          <wp:inline xmlns:a="http://schemas.openxmlformats.org/drawingml/2006/main" xmlns:pic="http://schemas.openxmlformats.org/drawingml/2006/picture">
            <wp:extent cx="5943600" cy="123572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u-0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57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240" w:before="0"/>
      </w:pPr>
      <w:r>
        <w:rPr>
          <w:rFonts w:ascii="Times New Roman" w:hAnsi="Times New Roman" w:cs="Times New Roman"/>
          <w:b w:val="0"/>
          <w:i/>
          <w:color w:val="000000"/>
          <w:sz w:val="20"/>
        </w:rPr>
        <w:t xml:space="preserve">Nota. </w:t>
      </w:r>
      <w:r>
        <w:rPr>
          <w:rFonts w:ascii="Times New Roman" w:hAnsi="Times New Roman" w:cs="Times New Roman"/>
          <w:b w:val="0"/>
          <w:i w:val="0"/>
          <w:color w:val="000000"/>
          <w:sz w:val="20"/>
        </w:rPr>
        <w:t>La opacidad y el encuadre son ajustes opcionales, disponibles una vez la capa está activa.</w:t>
      </w:r>
    </w:p>
    <w:p>
      <w:pPr>
        <w:keepNext/>
        <w:spacing w:line="480" w:lineRule="auto" w:after="0" w:before="0"/>
        <w:jc w:val="center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>Consultar una Ficha Pedagógica</w:t>
      </w:r>
    </w:p>
    <w:p>
      <w:pPr>
        <w:keepNext w:val="0"/>
        <w:spacing w:line="480" w:lineRule="auto" w:after="0" w:before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Las fichas son el contenido educativo del Geovisor. Cada capa tiene la suya y se abre desde el globo de información, al hacer clic sobre un elemento del mapa.</w:t>
      </w:r>
    </w:p>
    <w:p>
      <w:pPr>
        <w:keepNext/>
        <w:spacing w:line="480" w:lineRule="auto" w:after="0" w:before="0"/>
        <w:jc w:val="left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>Figura 5</w:t>
      </w:r>
    </w:p>
    <w:p>
      <w:pPr>
        <w:keepNext/>
        <w:spacing w:line="480" w:lineRule="auto" w:after="120" w:before="0"/>
        <w:jc w:val="left"/>
      </w:pPr>
      <w:r>
        <w:rPr>
          <w:rFonts w:ascii="Times New Roman" w:hAnsi="Times New Roman" w:cs="Times New Roman"/>
          <w:b w:val="0"/>
          <w:i/>
          <w:color w:val="000000"/>
          <w:sz w:val="24"/>
        </w:rPr>
        <w:t>Componentes de una ficha pedagógica</w:t>
      </w:r>
    </w:p>
    <w:p>
      <w:pPr>
        <w:keepNext/>
        <w:spacing w:line="240" w:lineRule="auto" w:after="120" w:before="0"/>
        <w:jc w:val="center"/>
      </w:pPr>
      <w:r>
        <w:drawing>
          <wp:inline xmlns:a="http://schemas.openxmlformats.org/drawingml/2006/main" xmlns:pic="http://schemas.openxmlformats.org/drawingml/2006/picture">
            <wp:extent cx="5943600" cy="136460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u-0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646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240" w:before="0"/>
      </w:pPr>
      <w:r>
        <w:rPr>
          <w:rFonts w:ascii="Times New Roman" w:hAnsi="Times New Roman" w:cs="Times New Roman"/>
          <w:b w:val="0"/>
          <w:i/>
          <w:color w:val="000000"/>
          <w:sz w:val="20"/>
        </w:rPr>
        <w:t xml:space="preserve">Nota. </w:t>
      </w:r>
      <w:r>
        <w:rPr>
          <w:rFonts w:ascii="Times New Roman" w:hAnsi="Times New Roman" w:cs="Times New Roman"/>
          <w:b w:val="0"/>
          <w:i w:val="0"/>
          <w:color w:val="000000"/>
          <w:sz w:val="20"/>
        </w:rPr>
        <w:t>Las preguntas de reflexión están pensadas para trabajarse en grupo, no para tener una única respuesta correcta.</w:t>
      </w:r>
    </w:p>
    <w:p>
      <w:pPr>
        <w:keepNext/>
        <w:spacing w:line="480" w:lineRule="auto" w:after="0" w:before="0"/>
        <w:jc w:val="center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>Recorridos Guiados</w:t>
      </w:r>
    </w:p>
    <w:p>
      <w:pPr>
        <w:keepNext w:val="0"/>
        <w:spacing w:line="480" w:lineRule="auto" w:after="0" w:before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Un recorrido es una ruta temática con varias paradas. El mapa se desplaza de una parada a otra mientras se lee una breve narración en cada punto. Es la forma más sencilla de usar el Geovisor en una clase, porque el itinerario ya está preparado.</w:t>
      </w:r>
    </w:p>
    <w:p>
      <w:pPr>
        <w:keepNext/>
        <w:spacing w:line="480" w:lineRule="auto" w:after="0" w:before="0"/>
        <w:jc w:val="left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>Tabla 2</w:t>
      </w:r>
    </w:p>
    <w:p>
      <w:pPr>
        <w:keepNext/>
        <w:spacing w:line="480" w:lineRule="auto" w:after="120" w:before="0"/>
        <w:jc w:val="left"/>
      </w:pPr>
      <w:r>
        <w:rPr>
          <w:rFonts w:ascii="Times New Roman" w:hAnsi="Times New Roman" w:cs="Times New Roman"/>
          <w:b w:val="0"/>
          <w:i/>
          <w:color w:val="000000"/>
          <w:sz w:val="24"/>
        </w:rPr>
        <w:t>Recorridos guiados disponibles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cantSplit/>
        </w:trPr>
        <w:tc>
          <w:tcPr>
            <w:tcW w:type="dxa" w:w="4176"/>
            <w:tcBorders>
              <w:top w:val="single" w:sz="8" w:color="000000"/>
              <w:bottom w:val="single" w:sz="6" w:color="000000"/>
              <w:left w:val="nil"/>
              <w:right w:val="nil"/>
            </w:tcBorders>
          </w:tcPr>
          <w:p>
            <w:pPr>
              <w:keepNext/>
              <w:spacing w:line="240" w:lineRule="auto" w:after="60" w:before="60"/>
            </w:pPr>
            <w:r/>
            <w:r>
              <w:rPr>
                <w:rFonts w:ascii="Times New Roman" w:hAnsi="Times New Roman" w:cs="Times New Roman"/>
                <w:b/>
                <w:i w:val="0"/>
                <w:color w:val="000000"/>
                <w:sz w:val="22"/>
              </w:rPr>
              <w:t>Recorrido</w:t>
            </w:r>
          </w:p>
        </w:tc>
        <w:tc>
          <w:tcPr>
            <w:tcW w:type="dxa" w:w="1440"/>
            <w:tcBorders>
              <w:top w:val="single" w:sz="8" w:color="000000"/>
              <w:bottom w:val="single" w:sz="6" w:color="000000"/>
              <w:left w:val="nil"/>
              <w:right w:val="nil"/>
            </w:tcBorders>
          </w:tcPr>
          <w:p>
            <w:pPr>
              <w:keepNext/>
              <w:spacing w:line="240" w:lineRule="auto" w:after="60" w:before="60"/>
            </w:pPr>
            <w:r/>
            <w:r>
              <w:rPr>
                <w:rFonts w:ascii="Times New Roman" w:hAnsi="Times New Roman" w:cs="Times New Roman"/>
                <w:b/>
                <w:i w:val="0"/>
                <w:color w:val="000000"/>
                <w:sz w:val="22"/>
              </w:rPr>
              <w:t>Paradas</w:t>
            </w:r>
          </w:p>
        </w:tc>
        <w:tc>
          <w:tcPr>
            <w:tcW w:type="dxa" w:w="1872"/>
            <w:tcBorders>
              <w:top w:val="single" w:sz="8" w:color="000000"/>
              <w:bottom w:val="single" w:sz="6" w:color="000000"/>
              <w:left w:val="nil"/>
              <w:right w:val="nil"/>
            </w:tcBorders>
          </w:tcPr>
          <w:p>
            <w:pPr>
              <w:keepNext/>
              <w:spacing w:line="240" w:lineRule="auto" w:after="60" w:before="60"/>
            </w:pPr>
            <w:r/>
            <w:r>
              <w:rPr>
                <w:rFonts w:ascii="Times New Roman" w:hAnsi="Times New Roman" w:cs="Times New Roman"/>
                <w:b/>
                <w:i w:val="0"/>
                <w:color w:val="000000"/>
                <w:sz w:val="22"/>
              </w:rPr>
              <w:t>Duración</w:t>
            </w:r>
          </w:p>
        </w:tc>
        <w:tc>
          <w:tcPr>
            <w:tcW w:type="dxa" w:w="1872"/>
            <w:tcBorders>
              <w:top w:val="single" w:sz="8" w:color="000000"/>
              <w:bottom w:val="single" w:sz="6" w:color="000000"/>
              <w:left w:val="nil"/>
              <w:right w:val="nil"/>
            </w:tcBorders>
          </w:tcPr>
          <w:p>
            <w:pPr>
              <w:keepNext/>
              <w:spacing w:line="240" w:lineRule="auto" w:after="60" w:before="60"/>
            </w:pPr>
            <w:r/>
            <w:r>
              <w:rPr>
                <w:rFonts w:ascii="Times New Roman" w:hAnsi="Times New Roman" w:cs="Times New Roman"/>
                <w:b/>
                <w:i w:val="0"/>
                <w:color w:val="000000"/>
                <w:sz w:val="22"/>
              </w:rPr>
              <w:t>Nivel</w:t>
            </w:r>
          </w:p>
        </w:tc>
      </w:tr>
      <w:tr>
        <w:trPr>
          <w:cantSplit/>
        </w:trPr>
        <w:tc>
          <w:tcPr>
            <w:tcW w:type="dxa" w:w="4176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line="240" w:lineRule="auto" w:after="60" w:before="60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Las huellas del café</w:t>
            </w:r>
          </w:p>
        </w:tc>
        <w:tc>
          <w:tcPr>
            <w:tcW w:type="dxa" w:w="1440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line="240" w:lineRule="auto" w:after="60" w:before="60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4</w:t>
            </w:r>
          </w:p>
        </w:tc>
        <w:tc>
          <w:tcPr>
            <w:tcW w:type="dxa" w:w="1872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line="240" w:lineRule="auto" w:after="60" w:before="60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20 min</w:t>
            </w:r>
          </w:p>
        </w:tc>
        <w:tc>
          <w:tcPr>
            <w:tcW w:type="dxa" w:w="1872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line="240" w:lineRule="auto" w:after="60" w:before="60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Grados 6 a 9</w:t>
            </w:r>
          </w:p>
        </w:tc>
      </w:tr>
      <w:tr>
        <w:trPr>
          <w:cantSplit/>
        </w:trPr>
        <w:tc>
          <w:tcPr>
            <w:tcW w:type="dxa" w:w="4176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line="240" w:lineRule="auto" w:after="60" w:before="60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El agua en Sevilla</w:t>
            </w:r>
          </w:p>
        </w:tc>
        <w:tc>
          <w:tcPr>
            <w:tcW w:type="dxa" w:w="1440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line="240" w:lineRule="auto" w:after="60" w:before="60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5</w:t>
            </w:r>
          </w:p>
        </w:tc>
        <w:tc>
          <w:tcPr>
            <w:tcW w:type="dxa" w:w="1872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line="240" w:lineRule="auto" w:after="60" w:before="60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25 min</w:t>
            </w:r>
          </w:p>
        </w:tc>
        <w:tc>
          <w:tcPr>
            <w:tcW w:type="dxa" w:w="1872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line="240" w:lineRule="auto" w:after="60" w:before="60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Grados 7 a 9</w:t>
            </w:r>
          </w:p>
        </w:tc>
      </w:tr>
      <w:tr>
        <w:trPr>
          <w:cantSplit/>
        </w:trPr>
        <w:tc>
          <w:tcPr>
            <w:tcW w:type="dxa" w:w="4176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line="240" w:lineRule="auto" w:after="60" w:before="60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El páramo: fábrica de agua</w:t>
            </w:r>
          </w:p>
        </w:tc>
        <w:tc>
          <w:tcPr>
            <w:tcW w:type="dxa" w:w="1440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line="240" w:lineRule="auto" w:after="60" w:before="60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3</w:t>
            </w:r>
          </w:p>
        </w:tc>
        <w:tc>
          <w:tcPr>
            <w:tcW w:type="dxa" w:w="1872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line="240" w:lineRule="auto" w:after="60" w:before="60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15 min</w:t>
            </w:r>
          </w:p>
        </w:tc>
        <w:tc>
          <w:tcPr>
            <w:tcW w:type="dxa" w:w="1872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line="240" w:lineRule="auto" w:after="60" w:before="60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Grados 8 a 11</w:t>
            </w:r>
          </w:p>
        </w:tc>
      </w:tr>
      <w:tr>
        <w:trPr>
          <w:cantSplit/>
        </w:trPr>
        <w:tc>
          <w:tcPr>
            <w:tcW w:type="dxa" w:w="4176"/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keepNext/>
              <w:spacing w:line="240" w:lineRule="auto" w:after="60" w:before="60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Territorios de vida</w:t>
            </w:r>
          </w:p>
        </w:tc>
        <w:tc>
          <w:tcPr>
            <w:tcW w:type="dxa" w:w="1440"/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keepNext/>
              <w:spacing w:line="240" w:lineRule="auto" w:after="60" w:before="60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4</w:t>
            </w:r>
          </w:p>
        </w:tc>
        <w:tc>
          <w:tcPr>
            <w:tcW w:type="dxa" w:w="1872"/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keepNext/>
              <w:spacing w:line="240" w:lineRule="auto" w:after="60" w:before="60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20 min</w:t>
            </w:r>
          </w:p>
        </w:tc>
        <w:tc>
          <w:tcPr>
            <w:tcW w:type="dxa" w:w="1872"/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keepNext/>
              <w:spacing w:line="240" w:lineRule="auto" w:after="60" w:before="60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Grados 8 a 11</w:t>
            </w:r>
          </w:p>
        </w:tc>
      </w:tr>
    </w:tbl>
    <w:p>
      <w:pPr>
        <w:spacing w:line="240" w:lineRule="auto" w:after="240" w:before="120"/>
      </w:pPr>
      <w:r>
        <w:rPr>
          <w:rFonts w:ascii="Times New Roman" w:hAnsi="Times New Roman" w:cs="Times New Roman"/>
          <w:b w:val="0"/>
          <w:i/>
          <w:color w:val="000000"/>
          <w:sz w:val="20"/>
        </w:rPr>
        <w:t xml:space="preserve">Nota. </w:t>
      </w:r>
      <w:r>
        <w:rPr>
          <w:rFonts w:ascii="Times New Roman" w:hAnsi="Times New Roman" w:cs="Times New Roman"/>
          <w:b w:val="0"/>
          <w:i w:val="0"/>
          <w:color w:val="000000"/>
          <w:sz w:val="20"/>
        </w:rPr>
        <w:t>La duración es orientativa y no incluye el tiempo de discusión en aula.</w:t>
      </w:r>
    </w:p>
    <w:p>
      <w:pPr>
        <w:keepNext/>
        <w:spacing w:line="480" w:lineRule="auto" w:after="0" w:before="0"/>
        <w:jc w:val="left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>Figura 6</w:t>
      </w:r>
    </w:p>
    <w:p>
      <w:pPr>
        <w:keepNext/>
        <w:spacing w:line="480" w:lineRule="auto" w:after="120" w:before="0"/>
        <w:jc w:val="left"/>
      </w:pPr>
      <w:r>
        <w:rPr>
          <w:rFonts w:ascii="Times New Roman" w:hAnsi="Times New Roman" w:cs="Times New Roman"/>
          <w:b w:val="0"/>
          <w:i/>
          <w:color w:val="000000"/>
          <w:sz w:val="24"/>
        </w:rPr>
        <w:t>Navegación de un recorrido guiado</w:t>
      </w:r>
    </w:p>
    <w:p>
      <w:pPr>
        <w:keepNext/>
        <w:spacing w:line="240" w:lineRule="auto" w:after="120" w:before="0"/>
        <w:jc w:val="center"/>
      </w:pPr>
      <w:r>
        <w:drawing>
          <wp:inline xmlns:a="http://schemas.openxmlformats.org/drawingml/2006/main" xmlns:pic="http://schemas.openxmlformats.org/drawingml/2006/picture">
            <wp:extent cx="5943600" cy="56100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u-0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1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240" w:before="0"/>
      </w:pPr>
      <w:r>
        <w:rPr>
          <w:rFonts w:ascii="Times New Roman" w:hAnsi="Times New Roman" w:cs="Times New Roman"/>
          <w:b w:val="0"/>
          <w:i/>
          <w:color w:val="000000"/>
          <w:sz w:val="20"/>
        </w:rPr>
        <w:t xml:space="preserve">Nota. </w:t>
      </w:r>
      <w:r>
        <w:rPr>
          <w:rFonts w:ascii="Times New Roman" w:hAnsi="Times New Roman" w:cs="Times New Roman"/>
          <w:b w:val="0"/>
          <w:i w:val="0"/>
          <w:color w:val="000000"/>
          <w:sz w:val="20"/>
        </w:rPr>
        <w:t>Los botones Siguiente y Anterior permiten avanzar y retroceder; el recorrido puede abandonarse en cualquier momento.</w:t>
      </w:r>
    </w:p>
    <w:p>
      <w:pPr>
        <w:keepNext/>
        <w:spacing w:line="480" w:lineRule="auto" w:after="0" w:before="0"/>
        <w:jc w:val="center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>Herramientas del Visor</w:t>
      </w:r>
    </w:p>
    <w:p>
      <w:pPr>
        <w:keepNext w:val="0"/>
        <w:spacing w:line="480" w:lineRule="auto" w:after="0" w:before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Además de explorar capas, el Visor incorpora cuatro herramientas de trabajo accesibles desde la barra lateral derecha del mapa.</w:t>
      </w:r>
    </w:p>
    <w:p>
      <w:pPr>
        <w:keepNext/>
        <w:spacing w:line="480" w:lineRule="auto" w:after="0" w:before="0"/>
        <w:jc w:val="left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>Figura 7</w:t>
      </w:r>
    </w:p>
    <w:p>
      <w:pPr>
        <w:keepNext/>
        <w:spacing w:line="480" w:lineRule="auto" w:after="120" w:before="0"/>
        <w:jc w:val="left"/>
      </w:pPr>
      <w:r>
        <w:rPr>
          <w:rFonts w:ascii="Times New Roman" w:hAnsi="Times New Roman" w:cs="Times New Roman"/>
          <w:b w:val="0"/>
          <w:i/>
          <w:color w:val="000000"/>
          <w:sz w:val="24"/>
        </w:rPr>
        <w:t>Herramientas disponibles en el Visor</w:t>
      </w:r>
    </w:p>
    <w:p>
      <w:pPr>
        <w:keepNext/>
        <w:spacing w:line="240" w:lineRule="auto" w:after="120" w:before="0"/>
        <w:jc w:val="center"/>
      </w:pPr>
      <w:r>
        <w:drawing>
          <wp:inline xmlns:a="http://schemas.openxmlformats.org/drawingml/2006/main" xmlns:pic="http://schemas.openxmlformats.org/drawingml/2006/picture">
            <wp:extent cx="5943600" cy="206907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u-07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690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240" w:before="0"/>
      </w:pPr>
      <w:r>
        <w:rPr>
          <w:rFonts w:ascii="Times New Roman" w:hAnsi="Times New Roman" w:cs="Times New Roman"/>
          <w:b w:val="0"/>
          <w:i/>
          <w:color w:val="000000"/>
          <w:sz w:val="20"/>
        </w:rPr>
        <w:t xml:space="preserve">Nota. </w:t>
      </w:r>
      <w:r>
        <w:rPr>
          <w:rFonts w:ascii="Times New Roman" w:hAnsi="Times New Roman" w:cs="Times New Roman"/>
          <w:b w:val="0"/>
          <w:i w:val="0"/>
          <w:color w:val="000000"/>
          <w:sz w:val="20"/>
        </w:rPr>
        <w:t>Las cuatro herramientas funcionan sobre las capas que estén activas en ese momento.</w:t>
      </w:r>
    </w:p>
    <w:p>
      <w:pPr>
        <w:keepNext/>
        <w:spacing w:line="480" w:lineRule="auto" w:after="0" w:before="0"/>
        <w:jc w:val="left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>Medir</w:t>
      </w:r>
    </w:p>
    <w:p>
      <w:pPr>
        <w:keepNext w:val="0"/>
        <w:spacing w:line="480" w:lineRule="auto" w:after="0" w:before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Permite trazar una línea para conocer una distancia en kilómetros, o un polígono para calcular un área en hectáreas. Es útil para dimensionar, por ejemplo, cuánto mide el frente de un río o qué superficie ocupa un humedal.</w:t>
      </w:r>
    </w:p>
    <w:p>
      <w:pPr>
        <w:keepNext/>
        <w:spacing w:line="480" w:lineRule="auto" w:after="0" w:before="0"/>
        <w:jc w:val="left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>Exportar como imagen</w:t>
      </w:r>
    </w:p>
    <w:p>
      <w:pPr>
        <w:keepNext w:val="0"/>
        <w:spacing w:line="480" w:lineRule="auto" w:after="0" w:before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Descarga la vista actual del mapa como archivo PNG, con las capas activas tal como se ven en pantalla. Sirve para incluir el mapa en un trabajo escrito o en una presentación.</w:t>
      </w:r>
    </w:p>
    <w:p>
      <w:pPr>
        <w:keepNext/>
        <w:spacing w:line="480" w:lineRule="auto" w:after="0" w:before="0"/>
        <w:jc w:val="left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>Compartir la vista</w:t>
      </w:r>
    </w:p>
    <w:p>
      <w:pPr>
        <w:keepNext w:val="0"/>
        <w:spacing w:line="480" w:lineRule="auto" w:after="0" w:before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La dirección web del navegador guarda siempre el estado del mapa: las capas activas, el nivel de acercamiento y el punto central. Copiar esa dirección y enviarla basta para que otra persona vea exactamente el mismo mapa.</w:t>
      </w:r>
    </w:p>
    <w:p>
      <w:pPr>
        <w:keepNext/>
        <w:spacing w:line="480" w:lineRule="auto" w:after="0" w:before="0"/>
        <w:jc w:val="left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>Buscar</w:t>
      </w:r>
    </w:p>
    <w:p>
      <w:pPr>
        <w:keepNext w:val="0"/>
        <w:spacing w:line="480" w:lineRule="auto" w:after="0" w:before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El buscador de la barra superior localiza lugares del municipio por su nombre. Además, la búsqueda dentro de capas filtra los elementos de las capas activas por nombre o atributo y los resalta en el mapa.</w:t>
      </w:r>
    </w:p>
    <w:p>
      <w:pPr>
        <w:keepNext/>
        <w:spacing w:line="480" w:lineRule="auto" w:after="0" w:before="0"/>
        <w:jc w:val="center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>Uso sin Conexión</w:t>
      </w:r>
    </w:p>
    <w:p>
      <w:pPr>
        <w:keepNext w:val="0"/>
        <w:spacing w:line="480" w:lineRule="auto" w:after="0" w:before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En la primera visita con internet, la aplicación guarda en el dispositivo el mapa base, las capas y las fichas, de modo que pueda volver a usarse sin conexión. Es especialmente útil para clases en zonas rurales con señal intermitente.</w:t>
      </w:r>
    </w:p>
    <w:p>
      <w:pPr>
        <w:keepNext/>
        <w:spacing w:line="480" w:lineRule="auto" w:after="0" w:before="0"/>
        <w:jc w:val="left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>Figura 8</w:t>
      </w:r>
    </w:p>
    <w:p>
      <w:pPr>
        <w:keepNext/>
        <w:spacing w:line="480" w:lineRule="auto" w:after="120" w:before="0"/>
        <w:jc w:val="left"/>
      </w:pPr>
      <w:r>
        <w:rPr>
          <w:rFonts w:ascii="Times New Roman" w:hAnsi="Times New Roman" w:cs="Times New Roman"/>
          <w:b w:val="0"/>
          <w:i/>
          <w:color w:val="000000"/>
          <w:sz w:val="24"/>
        </w:rPr>
        <w:t>Funcionamiento del modo sin conexión</w:t>
      </w:r>
    </w:p>
    <w:p>
      <w:pPr>
        <w:keepNext/>
        <w:spacing w:line="240" w:lineRule="auto" w:after="120" w:before="0"/>
        <w:jc w:val="center"/>
      </w:pPr>
      <w:r>
        <w:drawing>
          <wp:inline xmlns:a="http://schemas.openxmlformats.org/drawingml/2006/main" xmlns:pic="http://schemas.openxmlformats.org/drawingml/2006/picture">
            <wp:extent cx="5943600" cy="55342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u-08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34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240" w:before="0"/>
      </w:pPr>
      <w:r>
        <w:rPr>
          <w:rFonts w:ascii="Times New Roman" w:hAnsi="Times New Roman" w:cs="Times New Roman"/>
          <w:b w:val="0"/>
          <w:i/>
          <w:color w:val="000000"/>
          <w:sz w:val="20"/>
        </w:rPr>
        <w:t xml:space="preserve">Nota. </w:t>
      </w:r>
      <w:r>
        <w:rPr>
          <w:rFonts w:ascii="Times New Roman" w:hAnsi="Times New Roman" w:cs="Times New Roman"/>
          <w:b w:val="0"/>
          <w:i w:val="0"/>
          <w:color w:val="000000"/>
          <w:sz w:val="20"/>
        </w:rPr>
        <w:t>Las capas de tipo imagen provenientes de servidores externos y los videos siguen requiriendo internet; el Geovisor lo advierte con claridad.</w:t>
      </w:r>
    </w:p>
    <w:p>
      <w:pPr>
        <w:keepNext/>
        <w:spacing w:line="480" w:lineRule="auto" w:after="0" w:before="0"/>
        <w:jc w:val="center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>Glosario y Guía</w:t>
      </w:r>
    </w:p>
    <w:p>
      <w:pPr>
        <w:keepNext w:val="0"/>
        <w:spacing w:line="480" w:lineRule="auto" w:after="0" w:before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El Glosario reúne los términos clave del proyecto —ecopedagógicos, ecosistémicos y cartográficos— con búsqueda por texto y enlace a la capa relacionada en el Visor. La Guía ofrece instrucciones rápidas para quien usa la herramienta por primera vez.</w:t>
      </w:r>
    </w:p>
    <w:p>
      <w:pPr>
        <w:keepNext/>
        <w:spacing w:line="480" w:lineRule="auto" w:after="0" w:before="0"/>
        <w:jc w:val="center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>Problemas Frecuentes</w:t>
      </w:r>
    </w:p>
    <w:p>
      <w:pPr>
        <w:keepNext/>
        <w:spacing w:line="480" w:lineRule="auto" w:after="0" w:before="0"/>
        <w:jc w:val="left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>Figura 9</w:t>
      </w:r>
    </w:p>
    <w:p>
      <w:pPr>
        <w:keepNext/>
        <w:spacing w:line="480" w:lineRule="auto" w:after="120" w:before="0"/>
        <w:jc w:val="left"/>
      </w:pPr>
      <w:r>
        <w:rPr>
          <w:rFonts w:ascii="Times New Roman" w:hAnsi="Times New Roman" w:cs="Times New Roman"/>
          <w:b w:val="0"/>
          <w:i/>
          <w:color w:val="000000"/>
          <w:sz w:val="24"/>
        </w:rPr>
        <w:t>Qué revisar cuando una capa no aparece en el mapa</w:t>
      </w:r>
    </w:p>
    <w:p>
      <w:pPr>
        <w:keepNext/>
        <w:spacing w:line="240" w:lineRule="auto" w:after="120" w:before="0"/>
        <w:jc w:val="center"/>
      </w:pPr>
      <w:r>
        <w:drawing>
          <wp:inline xmlns:a="http://schemas.openxmlformats.org/drawingml/2006/main" xmlns:pic="http://schemas.openxmlformats.org/drawingml/2006/picture">
            <wp:extent cx="5943600" cy="2206107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u-09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61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240" w:before="0"/>
      </w:pPr>
      <w:r>
        <w:rPr>
          <w:rFonts w:ascii="Times New Roman" w:hAnsi="Times New Roman" w:cs="Times New Roman"/>
          <w:b w:val="0"/>
          <w:i/>
          <w:color w:val="000000"/>
          <w:sz w:val="20"/>
        </w:rPr>
        <w:t xml:space="preserve">Nota. </w:t>
      </w:r>
      <w:r>
        <w:rPr>
          <w:rFonts w:ascii="Times New Roman" w:hAnsi="Times New Roman" w:cs="Times New Roman"/>
          <w:b w:val="0"/>
          <w:i w:val="0"/>
          <w:color w:val="000000"/>
          <w:sz w:val="20"/>
        </w:rPr>
        <w:t>La mayoría de incidencias se resuelven verificando la casilla de la capa, la conexión y el nivel de acercamiento.</w:t>
      </w:r>
    </w:p>
    <w:p>
      <w:pPr>
        <w:keepNext/>
        <w:spacing w:line="480" w:lineRule="auto" w:after="0" w:before="0"/>
        <w:jc w:val="left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>Tabla 3</w:t>
      </w:r>
    </w:p>
    <w:p>
      <w:pPr>
        <w:keepNext/>
        <w:spacing w:line="480" w:lineRule="auto" w:after="120" w:before="0"/>
        <w:jc w:val="left"/>
      </w:pPr>
      <w:r>
        <w:rPr>
          <w:rFonts w:ascii="Times New Roman" w:hAnsi="Times New Roman" w:cs="Times New Roman"/>
          <w:b w:val="0"/>
          <w:i/>
          <w:color w:val="000000"/>
          <w:sz w:val="24"/>
        </w:rPr>
        <w:t>Incidencias habituales y su solución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/>
        </w:trPr>
        <w:tc>
          <w:tcPr>
            <w:tcW w:type="dxa" w:w="3168"/>
            <w:tcBorders>
              <w:top w:val="single" w:sz="8" w:color="000000"/>
              <w:bottom w:val="single" w:sz="6" w:color="000000"/>
              <w:left w:val="nil"/>
              <w:right w:val="nil"/>
            </w:tcBorders>
          </w:tcPr>
          <w:p>
            <w:pPr>
              <w:keepNext/>
              <w:spacing w:line="240" w:lineRule="auto" w:after="60" w:before="60"/>
            </w:pPr>
            <w:r/>
            <w:r>
              <w:rPr>
                <w:rFonts w:ascii="Times New Roman" w:hAnsi="Times New Roman" w:cs="Times New Roman"/>
                <w:b/>
                <w:i w:val="0"/>
                <w:color w:val="000000"/>
                <w:sz w:val="22"/>
              </w:rPr>
              <w:t>Situación</w:t>
            </w:r>
          </w:p>
        </w:tc>
        <w:tc>
          <w:tcPr>
            <w:tcW w:type="dxa" w:w="6192"/>
            <w:tcBorders>
              <w:top w:val="single" w:sz="8" w:color="000000"/>
              <w:bottom w:val="single" w:sz="6" w:color="000000"/>
              <w:left w:val="nil"/>
              <w:right w:val="nil"/>
            </w:tcBorders>
          </w:tcPr>
          <w:p>
            <w:pPr>
              <w:keepNext/>
              <w:spacing w:line="240" w:lineRule="auto" w:after="60" w:before="60"/>
            </w:pPr>
            <w:r/>
            <w:r>
              <w:rPr>
                <w:rFonts w:ascii="Times New Roman" w:hAnsi="Times New Roman" w:cs="Times New Roman"/>
                <w:b/>
                <w:i w:val="0"/>
                <w:color w:val="000000"/>
                <w:sz w:val="22"/>
              </w:rPr>
              <w:t>Qué hacer</w:t>
            </w:r>
          </w:p>
        </w:tc>
      </w:tr>
      <w:tr>
        <w:trPr>
          <w:cantSplit/>
        </w:trPr>
        <w:tc>
          <w:tcPr>
            <w:tcW w:type="dxa" w:w="3168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line="240" w:lineRule="auto" w:after="60" w:before="60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El mapa se ve vacío</w:t>
            </w:r>
          </w:p>
        </w:tc>
        <w:tc>
          <w:tcPr>
            <w:tcW w:type="dxa" w:w="6192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line="240" w:lineRule="auto" w:after="60" w:before="60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Acercar o alejar el zoom; algunas capas solo se ven a cierta escala</w:t>
            </w:r>
          </w:p>
        </w:tc>
      </w:tr>
      <w:tr>
        <w:trPr>
          <w:cantSplit/>
        </w:trPr>
        <w:tc>
          <w:tcPr>
            <w:tcW w:type="dxa" w:w="3168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line="240" w:lineRule="auto" w:after="60" w:before="60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Aviso «el servicio no respondió»</w:t>
            </w:r>
          </w:p>
        </w:tc>
        <w:tc>
          <w:tcPr>
            <w:tcW w:type="dxa" w:w="6192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line="240" w:lineRule="auto" w:after="60" w:before="60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La entidad que publica la capa WMS no está disponible; intentar más tarde</w:t>
            </w:r>
          </w:p>
        </w:tc>
      </w:tr>
      <w:tr>
        <w:trPr>
          <w:cantSplit/>
        </w:trPr>
        <w:tc>
          <w:tcPr>
            <w:tcW w:type="dxa" w:w="3168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line="240" w:lineRule="auto" w:after="60" w:before="60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Un video no abre</w:t>
            </w:r>
          </w:p>
        </w:tc>
        <w:tc>
          <w:tcPr>
            <w:tcW w:type="dxa" w:w="6192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line="240" w:lineRule="auto" w:after="60" w:before="60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Requiere internet; sin conexión se muestra un aviso</w:t>
            </w:r>
          </w:p>
        </w:tc>
      </w:tr>
      <w:tr>
        <w:trPr>
          <w:cantSplit/>
        </w:trPr>
        <w:tc>
          <w:tcPr>
            <w:tcW w:type="dxa" w:w="3168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line="240" w:lineRule="auto" w:after="60" w:before="60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Una imagen no carga</w:t>
            </w:r>
          </w:p>
        </w:tc>
        <w:tc>
          <w:tcPr>
            <w:tcW w:type="dxa" w:w="6192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line="240" w:lineRule="auto" w:after="60" w:before="60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Puede requerir internet; se muestra el crédito del autor como respaldo</w:t>
            </w:r>
          </w:p>
        </w:tc>
      </w:tr>
      <w:tr>
        <w:trPr>
          <w:cantSplit/>
        </w:trPr>
        <w:tc>
          <w:tcPr>
            <w:tcW w:type="dxa" w:w="3168"/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keepNext/>
              <w:spacing w:line="240" w:lineRule="auto" w:after="60" w:before="60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El recorrido no avanza</w:t>
            </w:r>
          </w:p>
        </w:tc>
        <w:tc>
          <w:tcPr>
            <w:tcW w:type="dxa" w:w="6192"/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keepNext/>
              <w:spacing w:line="240" w:lineRule="auto" w:after="60" w:before="60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Comprobar que se pulsa Siguiente; la última parada desactiva el botón</w:t>
            </w:r>
          </w:p>
        </w:tc>
      </w:tr>
    </w:tbl>
    <w:p>
      <w:pPr>
        <w:keepNext w:val="0"/>
        <w:spacing w:line="240" w:lineRule="auto" w:after="120" w:before="0"/>
        <w:jc w:val="left"/>
      </w:pPr>
    </w:p>
    <w:p>
      <w:r>
        <w:br w:type="page"/>
      </w:r>
    </w:p>
    <w:p>
      <w:pPr>
        <w:keepNext/>
        <w:spacing w:line="480" w:lineRule="auto" w:after="0" w:before="0"/>
        <w:jc w:val="center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>Referencias</w:t>
      </w:r>
    </w:p>
    <w:p>
      <w:pPr>
        <w:spacing w:line="480" w:lineRule="auto" w:after="0"/>
        <w:ind w:left="720" w:hanging="720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Corporación Autónoma Regional del Valle del Cauca. (2026). Portal GeoCVC [Servicios WMS y FeatureServer]. https://portal-geo.cvc.gov.co</w:t>
      </w:r>
    </w:p>
    <w:p>
      <w:pPr>
        <w:spacing w:line="480" w:lineRule="auto" w:after="0"/>
        <w:ind w:left="720" w:hanging="720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Organización de las Naciones Unidas para la Educación, la Ciencia y la Cultura. (2011). Paisaje Cultural Cafetero de Colombia. https://whc.unesco.org/en/list/1121</w:t>
      </w:r>
    </w:p>
    <w:p>
      <w:pPr>
        <w:spacing w:line="480" w:lineRule="auto" w:after="0"/>
        <w:ind w:left="720" w:hanging="720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Zimmermann, M. (2005). Ecopedagogía: El planeta en emergencia. Ecoe Ediciones.</w:t>
      </w:r>
    </w:p>
    <w:sectPr w:rsidR="00FC693F" w:rsidRPr="0006063C" w:rsidSect="00034616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="240" w:lineRule="auto"/>
      <w:jc w:val="right"/>
    </w:pPr>
    <w:r>
      <w:rPr>
        <w:rFonts w:ascii="Times New Roman" w:hAnsi="Times New Roman"/>
        <w:sz w:val="24"/>
      </w:rPr>
      <w:fldChar w:fldCharType="begin"/>
      <w:instrText xml:space="preserve"> PAGE </w:instrText>
      <w:fldChar w:fldCharType="end"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480" w:lineRule="auto" w:before="0" w:after="0"/>
    </w:pPr>
    <w:rPr>
      <w:rFonts w:ascii="Times New Roman" w:hAnsi="Times New Roman" w:cs="Times New Roman" w:eastAsia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