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480" w:lineRule="auto" w:after="0" w:before="0"/>
        <w:jc w:val="center"/>
      </w:pPr>
    </w:p>
    <w:p>
      <w:pPr>
        <w:keepNext w:val="0"/>
        <w:spacing w:line="480" w:lineRule="auto" w:after="0" w:before="0"/>
        <w:jc w:val="center"/>
      </w:pPr>
    </w:p>
    <w:p>
      <w:pPr>
        <w:keepNext w:val="0"/>
        <w:spacing w:line="480" w:lineRule="auto" w:after="0" w:before="0"/>
        <w:jc w:val="center"/>
      </w:pPr>
    </w:p>
    <w:p>
      <w:pPr>
        <w:keepNext w:val="0"/>
        <w:spacing w:line="480" w:lineRule="auto" w:after="0" w:before="0"/>
        <w:jc w:val="center"/>
      </w:pPr>
    </w:p>
    <w:p>
      <w:pPr>
        <w:keepNext w:val="0"/>
        <w:spacing w:line="480" w:lineRule="auto" w:after="0" w:befor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Manual Técnico</w:t>
      </w:r>
    </w:p>
    <w:p>
      <w:pPr>
        <w:keepNext w:val="0"/>
        <w:spacing w:line="480" w:lineRule="auto" w:after="0" w:befor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Geovisor Ecopedagógico de Sevilla, Valle del Cauca</w:t>
      </w:r>
    </w:p>
    <w:p>
      <w:pPr>
        <w:keepNext w:val="0"/>
        <w:spacing w:line="480" w:lineRule="auto" w:after="0" w:before="0"/>
        <w:jc w:val="center"/>
      </w:pPr>
    </w:p>
    <w:p>
      <w:pPr>
        <w:keepNext w:val="0"/>
        <w:spacing w:line="48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Cristóbal Valencia Cerón y José David Molina Delgado</w:t>
      </w:r>
    </w:p>
    <w:p>
      <w:pPr>
        <w:keepNext w:val="0"/>
        <w:spacing w:line="48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Facultad de Ingeniería, Universidad Santiago de Cali</w:t>
      </w:r>
    </w:p>
    <w:p>
      <w:pPr>
        <w:keepNext w:val="0"/>
        <w:spacing w:line="48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Programa de Ingeniería de Sistemas</w:t>
      </w:r>
    </w:p>
    <w:p>
      <w:pPr>
        <w:keepNext w:val="0"/>
        <w:spacing w:line="48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Trabajo de grado</w:t>
      </w:r>
    </w:p>
    <w:p>
      <w:pPr>
        <w:keepNext w:val="0"/>
        <w:spacing w:line="48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Dirección: Diego Fernando Loaiza y Silvia Andrea Quijano Pérez — Grupo de Investigación COMBA I+D</w:t>
      </w:r>
    </w:p>
    <w:p>
      <w:pPr>
        <w:keepNext w:val="0"/>
        <w:spacing w:line="480" w:lineRule="auto" w:after="0" w:befor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2026</w:t>
      </w:r>
    </w:p>
    <w:p>
      <w:r>
        <w:br w:type="page"/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Resumen</w:t>
      </w:r>
    </w:p>
    <w:p>
      <w:pPr>
        <w:keepNext w:val="0"/>
        <w:spacing w:line="480" w:lineRule="auto" w:after="0" w:before="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Este documento describe la arquitectura, los componentes, el modelo de datos y el flujo de despliegue del Geovisor Ecopedagógico de Sevilla, Valle del Cauca. La aplicación es una single page application que se ejecuta íntegramente en el navegador: no dispone de servidor propio, interfaz de programación de aplicaciones ni base de datos. Consume geoservicios públicos conformes al estándar Web Map Service y archivos GeoJSON estáticos versionados en el repositorio. La exposición avanza de lo general a lo particular, apoyada en doce figuras y siete tablas, e incluye un anexo con los veintiún requisitos funcionales y sus criterios de aceptación verificables.</w:t>
      </w:r>
    </w:p>
    <w:p>
      <w:pPr>
        <w:spacing w:line="480" w:lineRule="auto" w:after="0"/>
        <w:ind w:firstLine="720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 xml:space="preserve">Palabras clave: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arquitectura de software, sistemas de información geográfica, aplicación web progresiva, WMS, JAMstack</w:t>
      </w:r>
    </w:p>
    <w:p>
      <w:r>
        <w:br w:type="page"/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Visión General de la Arquitectura</w:t>
      </w:r>
    </w:p>
    <w:p>
      <w:pPr>
        <w:keepNext w:val="0"/>
        <w:spacing w:line="480" w:lineRule="auto" w:after="0" w:before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El Geovisor es una single page application que se ejecuta al cien por ciento en el cliente. Todo ocurre en el navegador, que consume geoservicios públicos y archivos estáticos versionados junto al código. Esta decisión elimina el costo de operación de un servidor y el riesgo asociado a custodiar datos personales, a cambio de depender de la disponibilidad de terceros para las capas ráster.</w:t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Figura 1</w:t>
      </w: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Vista de arquitectura de alto nivel</w:t>
      </w:r>
    </w:p>
    <w:p>
      <w:pPr>
        <w:keepNext/>
        <w:spacing w:line="240" w:lineRule="auto"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</w:pPr>
      <w:r>
        <w:rPr>
          <w:rFonts w:ascii="Times New Roman" w:hAnsi="Times New Roman" w:cs="Times New Roman"/>
          <w:b w:val="0"/>
          <w:i/>
          <w:color w:val="000000"/>
          <w:sz w:val="20"/>
        </w:rPr>
        <w:t xml:space="preserve">Nota.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El navegador es el único entorno de ejecución; los geoservicios y las teselas son dependencias externas.</w:t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Stack Tecnológico</w:t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Figura 2</w:t>
      </w: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Capas del stack tecnológico</w:t>
      </w:r>
    </w:p>
    <w:p>
      <w:pPr>
        <w:keepNext/>
        <w:spacing w:line="240" w:lineRule="auto"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6898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</w:pPr>
      <w:r>
        <w:rPr>
          <w:rFonts w:ascii="Times New Roman" w:hAnsi="Times New Roman" w:cs="Times New Roman"/>
          <w:b w:val="0"/>
          <w:i/>
          <w:color w:val="000000"/>
          <w:sz w:val="20"/>
        </w:rPr>
        <w:t xml:space="preserve">Nota.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Cada capa depende únicamente de la anterior, lo que permite sustituirlas de forma aislada.</w:t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Tabla 1</w:t>
      </w: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Componentes del stack y su versión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2880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Capa</w:t>
            </w:r>
          </w:p>
        </w:tc>
        <w:tc>
          <w:tcPr>
            <w:tcW w:type="dxa" w:w="4464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Tecnología</w:t>
            </w:r>
          </w:p>
        </w:tc>
        <w:tc>
          <w:tcPr>
            <w:tcW w:type="dxa" w:w="2016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Versión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Interfaz</w:t>
            </w:r>
          </w:p>
        </w:tc>
        <w:tc>
          <w:tcPr>
            <w:tcW w:type="dxa" w:w="446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React + TypeScript</w:t>
            </w:r>
          </w:p>
        </w:tc>
        <w:tc>
          <w:tcPr>
            <w:tcW w:type="dxa" w:w="201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18.x / 5.x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Empaquetado</w:t>
            </w:r>
          </w:p>
        </w:tc>
        <w:tc>
          <w:tcPr>
            <w:tcW w:type="dxa" w:w="446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Vite</w:t>
            </w:r>
          </w:p>
        </w:tc>
        <w:tc>
          <w:tcPr>
            <w:tcW w:type="dxa" w:w="201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5.x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Motor cartográfico</w:t>
            </w:r>
          </w:p>
        </w:tc>
        <w:tc>
          <w:tcPr>
            <w:tcW w:type="dxa" w:w="446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Leaflet + React-Leaflet</w:t>
            </w:r>
          </w:p>
        </w:tc>
        <w:tc>
          <w:tcPr>
            <w:tcW w:type="dxa" w:w="201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1.9 / 4.x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Estilos</w:t>
            </w:r>
          </w:p>
        </w:tc>
        <w:tc>
          <w:tcPr>
            <w:tcW w:type="dxa" w:w="446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Tailwind CSS</w:t>
            </w:r>
          </w:p>
        </w:tc>
        <w:tc>
          <w:tcPr>
            <w:tcW w:type="dxa" w:w="201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3.x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Sistema visual</w:t>
            </w:r>
          </w:p>
        </w:tc>
        <w:tc>
          <w:tcPr>
            <w:tcW w:type="dxa" w:w="446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Tokens CSS, tema claro y oscuro</w:t>
            </w:r>
          </w:p>
        </w:tc>
        <w:tc>
          <w:tcPr>
            <w:tcW w:type="dxa" w:w="201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Ruteo</w:t>
            </w:r>
          </w:p>
        </w:tc>
        <w:tc>
          <w:tcPr>
            <w:tcW w:type="dxa" w:w="446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React Router</w:t>
            </w:r>
          </w:p>
        </w:tc>
        <w:tc>
          <w:tcPr>
            <w:tcW w:type="dxa" w:w="201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6.x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Estado</w:t>
            </w:r>
          </w:p>
        </w:tc>
        <w:tc>
          <w:tcPr>
            <w:tcW w:type="dxa" w:w="446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Context API + useReducer</w:t>
            </w:r>
          </w:p>
        </w:tc>
        <w:tc>
          <w:tcPr>
            <w:tcW w:type="dxa" w:w="201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Offline</w:t>
            </w:r>
          </w:p>
        </w:tc>
        <w:tc>
          <w:tcPr>
            <w:tcW w:type="dxa" w:w="446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vite-plugin-pwa + Workbox</w:t>
            </w:r>
          </w:p>
        </w:tc>
        <w:tc>
          <w:tcPr>
            <w:tcW w:type="dxa" w:w="201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7.x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Geometría</w:t>
            </w:r>
          </w:p>
        </w:tc>
        <w:tc>
          <w:tcPr>
            <w:tcW w:type="dxa" w:w="446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Turf.js</w:t>
            </w:r>
          </w:p>
        </w:tc>
        <w:tc>
          <w:tcPr>
            <w:tcW w:type="dxa" w:w="201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7.x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Exportación de imagen</w:t>
            </w:r>
          </w:p>
        </w:tc>
        <w:tc>
          <w:tcPr>
            <w:tcW w:type="dxa" w:w="446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html2canvas</w:t>
            </w:r>
          </w:p>
        </w:tc>
        <w:tc>
          <w:tcPr>
            <w:tcW w:type="dxa" w:w="201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1.4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Calidad</w:t>
            </w:r>
          </w:p>
        </w:tc>
        <w:tc>
          <w:tcPr>
            <w:tcW w:type="dxa" w:w="446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ESLint + Prettier + Husky</w:t>
            </w:r>
          </w:p>
        </w:tc>
        <w:tc>
          <w:tcPr>
            <w:tcW w:type="dxa" w:w="201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rPr>
          <w:cantSplit/>
        </w:trPr>
        <w:tc>
          <w:tcPr>
            <w:tcW w:type="dxa" w:w="2880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Despliegue</w:t>
            </w:r>
          </w:p>
        </w:tc>
        <w:tc>
          <w:tcPr>
            <w:tcW w:type="dxa" w:w="4464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Vercel</w:t>
            </w:r>
          </w:p>
        </w:tc>
        <w:tc>
          <w:tcPr>
            <w:tcW w:type="dxa" w:w="2016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—</w:t>
            </w:r>
          </w:p>
        </w:tc>
      </w:tr>
    </w:tbl>
    <w:p>
      <w:pPr>
        <w:spacing w:line="240" w:lineRule="auto" w:after="240" w:before="120"/>
      </w:pPr>
      <w:r>
        <w:rPr>
          <w:rFonts w:ascii="Times New Roman" w:hAnsi="Times New Roman" w:cs="Times New Roman"/>
          <w:b w:val="0"/>
          <w:i/>
          <w:color w:val="000000"/>
          <w:sz w:val="20"/>
        </w:rPr>
        <w:t xml:space="preserve">Nota.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El estado no se persiste en almacenamiento local: se serializa en los parámetros de la dirección web, lo que permite compartir una vista.</w:t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Origen y Estrategia de Datos</w:t>
      </w:r>
    </w:p>
    <w:p>
      <w:pPr>
        <w:keepNext w:val="0"/>
        <w:spacing w:line="480" w:lineRule="auto" w:after="0" w:before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Las capas se consumen de dos formas según su naturaleza. Las capas ráster —red hídrica, coberturas, ecosistemas, zonificación forestal, clima y conflictos de uso— se consultan en vivo mediante Web Map Service, porque su tamaño y su frecuencia de actualización desaconsejan replicarlas. Los vectores se sirven como GeoJSON estático versionado en el repositorio, lo que garantiza su disponibilidad sin conexión.</w:t>
      </w:r>
    </w:p>
    <w:p>
      <w:pPr>
        <w:keepNext w:val="0"/>
        <w:spacing w:line="480" w:lineRule="auto" w:after="0" w:before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Trece de los dieciséis GeoJSON son extractos de los servicios oficiales de la CVC (Portal GeoCVC). El script scripts/datos/build_capas_oficiales.py los descarga, los filtra con el límite municipal oficial de Sevilla, recorta las geometrías que lo desbordan, simplifica los vértices y omite los atributos con datos personales —nombres de contacto, teléfonos, correos, observadores, propietarios y NIT—. Las tres capas restantes, actores de humedales, páramo y bosque seco, no tienen registros oficiales para el municipio: son datos ilustrativos elaborados por el equipo, sin datos personales, y la interfaz los rotula como tales.</w:t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Figura 3</w:t>
      </w: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Composición del inventario de capas por tipo de servicio</w:t>
      </w:r>
    </w:p>
    <w:p>
      <w:pPr>
        <w:keepNext/>
        <w:spacing w:line="240" w:lineRule="auto"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8210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</w:pPr>
      <w:r>
        <w:rPr>
          <w:rFonts w:ascii="Times New Roman" w:hAnsi="Times New Roman" w:cs="Times New Roman"/>
          <w:b w:val="0"/>
          <w:i/>
          <w:color w:val="000000"/>
          <w:sz w:val="20"/>
        </w:rPr>
        <w:t xml:space="preserve">Nota.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Las 23 capas se declaran en un único archivo de configuración, con independencia de su origen.</w:t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Tabla 2</w:t>
      </w: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Fuentes de datos e instituciones proveedoras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68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Institución</w:t>
            </w:r>
          </w:p>
        </w:tc>
        <w:tc>
          <w:tcPr>
            <w:tcW w:type="dxa" w:w="1296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4896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Contenido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CVC — Portal GeoCVC</w:t>
            </w:r>
          </w:p>
        </w:tc>
        <w:tc>
          <w:tcPr>
            <w:tcW w:type="dxa" w:w="129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WMS</w:t>
            </w:r>
          </w:p>
        </w:tc>
        <w:tc>
          <w:tcPr>
            <w:tcW w:type="dxa" w:w="489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Red hídrica, ecosistemas, zonificación forestal, isoyetas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IDEAM</w:t>
            </w:r>
          </w:p>
        </w:tc>
        <w:tc>
          <w:tcPr>
            <w:tcW w:type="dxa" w:w="129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WMS</w:t>
            </w:r>
          </w:p>
        </w:tc>
        <w:tc>
          <w:tcPr>
            <w:tcW w:type="dxa" w:w="489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Cobertura de la tierra 2024 y pisos térmicos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IGAC</w:t>
            </w:r>
          </w:p>
        </w:tc>
        <w:tc>
          <w:tcPr>
            <w:tcW w:type="dxa" w:w="129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WMS</w:t>
            </w:r>
          </w:p>
        </w:tc>
        <w:tc>
          <w:tcPr>
            <w:tcW w:type="dxa" w:w="489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Conflictos de uso de la tierra 2012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CVC — Portal GeoCVC</w:t>
            </w:r>
          </w:p>
        </w:tc>
        <w:tc>
          <w:tcPr>
            <w:tcW w:type="dxa" w:w="129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GeoJSON</w:t>
            </w:r>
          </w:p>
        </w:tc>
        <w:tc>
          <w:tcPr>
            <w:tcW w:type="dxa" w:w="489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13 extractos: cuencas, humedales, calidad del agua, monitoreo subterráneo, predios Art. 111, páramos, áreas protegidas, especies, estaciones, división político-administrativa, resguardos, PCC y actores del bosque andino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Equipo del proyecto</w:t>
            </w:r>
          </w:p>
        </w:tc>
        <w:tc>
          <w:tcPr>
            <w:tcW w:type="dxa" w:w="129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GeoJSON</w:t>
            </w:r>
          </w:p>
        </w:tc>
        <w:tc>
          <w:tcPr>
            <w:tcW w:type="dxa" w:w="489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3 capas ilustrativas de actores sociales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OpenStreetMap</w:t>
            </w:r>
          </w:p>
        </w:tc>
        <w:tc>
          <w:tcPr>
            <w:tcW w:type="dxa" w:w="129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XYZ</w:t>
            </w:r>
          </w:p>
        </w:tc>
        <w:tc>
          <w:tcPr>
            <w:tcW w:type="dxa" w:w="489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Mapa base callejero</w:t>
            </w:r>
          </w:p>
        </w:tc>
      </w:tr>
      <w:tr>
        <w:trPr>
          <w:cantSplit/>
        </w:trPr>
        <w:tc>
          <w:tcPr>
            <w:tcW w:type="dxa" w:w="3168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Esri World Imagery</w:t>
            </w:r>
          </w:p>
        </w:tc>
        <w:tc>
          <w:tcPr>
            <w:tcW w:type="dxa" w:w="1296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XYZ</w:t>
            </w:r>
          </w:p>
        </w:tc>
        <w:tc>
          <w:tcPr>
            <w:tcW w:type="dxa" w:w="4896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Mapa base satelital</w:t>
            </w:r>
          </w:p>
        </w:tc>
      </w:tr>
    </w:tbl>
    <w:p>
      <w:pPr>
        <w:spacing w:line="240" w:lineRule="auto" w:after="240" w:before="120"/>
      </w:pPr>
      <w:r>
        <w:rPr>
          <w:rFonts w:ascii="Times New Roman" w:hAnsi="Times New Roman" w:cs="Times New Roman"/>
          <w:b w:val="0"/>
          <w:i/>
          <w:color w:val="000000"/>
          <w:sz w:val="20"/>
        </w:rPr>
        <w:t xml:space="preserve">Nota.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Todas las fuentes oficiales son de acceso público y conservan sus licencias de origen. Servicios verificados en octubre de 2026.</w:t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Tabla 3</w:t>
      </w: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Distribución de las capas por categoría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456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Categoría</w:t>
            </w:r>
          </w:p>
        </w:tc>
        <w:tc>
          <w:tcPr>
            <w:tcW w:type="dxa" w:w="1728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Capas</w:t>
            </w:r>
          </w:p>
        </w:tc>
        <w:tc>
          <w:tcPr>
            <w:tcW w:type="dxa" w:w="4176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Tipo de dato</w:t>
            </w:r>
          </w:p>
        </w:tc>
      </w:tr>
      <w:tr>
        <w:trPr>
          <w:cantSplit/>
        </w:trPr>
        <w:tc>
          <w:tcPr>
            <w:tcW w:type="dxa" w:w="34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Actores sociales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417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GeoJSON</w:t>
            </w:r>
          </w:p>
        </w:tc>
      </w:tr>
      <w:tr>
        <w:trPr>
          <w:cantSplit/>
        </w:trPr>
        <w:tc>
          <w:tcPr>
            <w:tcW w:type="dxa" w:w="34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Agua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417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GeoJSON y WMS</w:t>
            </w:r>
          </w:p>
        </w:tc>
      </w:tr>
      <w:tr>
        <w:trPr>
          <w:cantSplit/>
        </w:trPr>
        <w:tc>
          <w:tcPr>
            <w:tcW w:type="dxa" w:w="34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Biodiversidad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417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GeoJSON y WMS</w:t>
            </w:r>
          </w:p>
        </w:tc>
      </w:tr>
      <w:tr>
        <w:trPr>
          <w:cantSplit/>
        </w:trPr>
        <w:tc>
          <w:tcPr>
            <w:tcW w:type="dxa" w:w="34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Cambio climático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417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GeoJSON y WMS</w:t>
            </w:r>
          </w:p>
        </w:tc>
      </w:tr>
      <w:tr>
        <w:trPr>
          <w:cantSplit/>
        </w:trPr>
        <w:tc>
          <w:tcPr>
            <w:tcW w:type="dxa" w:w="345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Suelos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417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WMS</w:t>
            </w:r>
          </w:p>
        </w:tc>
      </w:tr>
      <w:tr>
        <w:trPr>
          <w:cantSplit/>
        </w:trPr>
        <w:tc>
          <w:tcPr>
            <w:tcW w:type="dxa" w:w="3456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Territorio</w:t>
            </w:r>
          </w:p>
        </w:tc>
        <w:tc>
          <w:tcPr>
            <w:tcW w:type="dxa" w:w="1728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4176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GeoJSON</w:t>
            </w:r>
          </w:p>
        </w:tc>
      </w:tr>
    </w:tbl>
    <w:p>
      <w:pPr>
        <w:spacing w:line="240" w:lineRule="auto" w:after="240" w:before="120"/>
      </w:pPr>
      <w:r>
        <w:rPr>
          <w:rFonts w:ascii="Times New Roman" w:hAnsi="Times New Roman" w:cs="Times New Roman"/>
          <w:b w:val="0"/>
          <w:i/>
          <w:color w:val="000000"/>
          <w:sz w:val="20"/>
        </w:rPr>
        <w:t xml:space="preserve">Nota.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Total: 23 capas, de las cuales 16 son GeoJSON estático y 7 son WMS.</w:t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Estructura del Proyecto</w:t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Figura 4</w:t>
      </w: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Organización de carpetas y módulos</w:t>
      </w:r>
    </w:p>
    <w:p>
      <w:pPr>
        <w:keepNext/>
        <w:spacing w:line="240" w:lineRule="auto"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235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</w:pPr>
      <w:r>
        <w:rPr>
          <w:rFonts w:ascii="Times New Roman" w:hAnsi="Times New Roman" w:cs="Times New Roman"/>
          <w:b w:val="0"/>
          <w:i/>
          <w:color w:val="000000"/>
          <w:sz w:val="20"/>
        </w:rPr>
        <w:t xml:space="preserve">Nota.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La configuración de capas está aislada en un único módulo, de modo que añadir una capa no requiere modificar ningún componente.</w:t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Componentes de la Interfaz</w:t>
      </w:r>
    </w:p>
    <w:p>
      <w:pPr>
        <w:keepNext w:val="0"/>
        <w:spacing w:line="480" w:lineRule="auto" w:after="0" w:before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El estado global reside en MapContext y lo consumen tanto el panel de capas como el visor del mapa. Los componentes no se comunican entre sí directamente: lo hacen a través del estado compartido o, cuando eso no es posible, mediante eventos.</w:t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Figura 5</w:t>
      </w: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Componentes React y su relación con el estado global</w:t>
      </w:r>
    </w:p>
    <w:p>
      <w:pPr>
        <w:keepNext/>
        <w:spacing w:line="240" w:lineRule="auto"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101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</w:pPr>
      <w:r>
        <w:rPr>
          <w:rFonts w:ascii="Times New Roman" w:hAnsi="Times New Roman" w:cs="Times New Roman"/>
          <w:b w:val="0"/>
          <w:i/>
          <w:color w:val="000000"/>
          <w:sz w:val="20"/>
        </w:rPr>
        <w:t xml:space="preserve">Nota.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InfoPanel se alimenta tanto del clic sobre el mapa como de la selección en el panel de capas.</w:t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Tabla 4</w:t>
      </w: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Responsabilidad de los componentes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2736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6624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Responsabilidad</w:t>
            </w:r>
          </w:p>
        </w:tc>
      </w:tr>
      <w:tr>
        <w:trPr>
          <w:cantSplit/>
        </w:trPr>
        <w:tc>
          <w:tcPr>
            <w:tcW w:type="dxa" w:w="273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MapViewer</w:t>
            </w:r>
          </w:p>
        </w:tc>
        <w:tc>
          <w:tcPr>
            <w:tcW w:type="dxa" w:w="662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Contenedor Leaflet; renderiza GeoJSON, WMS y teselas</w:t>
            </w:r>
          </w:p>
        </w:tc>
      </w:tr>
      <w:tr>
        <w:trPr>
          <w:cantSplit/>
        </w:trPr>
        <w:tc>
          <w:tcPr>
            <w:tcW w:type="dxa" w:w="273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LayerPanel</w:t>
            </w:r>
          </w:p>
        </w:tc>
        <w:tc>
          <w:tcPr>
            <w:tcW w:type="dxa" w:w="662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Acordeón de categorías, activación y opacidad de capas</w:t>
            </w:r>
          </w:p>
        </w:tc>
      </w:tr>
      <w:tr>
        <w:trPr>
          <w:cantSplit/>
        </w:trPr>
        <w:tc>
          <w:tcPr>
            <w:tcW w:type="dxa" w:w="273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InfoPanel</w:t>
            </w:r>
          </w:p>
        </w:tc>
        <w:tc>
          <w:tcPr>
            <w:tcW w:type="dxa" w:w="662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Panel lateral con la ficha pedagógica</w:t>
            </w:r>
          </w:p>
        </w:tc>
      </w:tr>
      <w:tr>
        <w:trPr>
          <w:cantSplit/>
        </w:trPr>
        <w:tc>
          <w:tcPr>
            <w:tcW w:type="dxa" w:w="273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MapToolbar</w:t>
            </w:r>
          </w:p>
        </w:tc>
        <w:tc>
          <w:tcPr>
            <w:tcW w:type="dxa" w:w="662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Mapa base, medición, exportación y búsqueda</w:t>
            </w:r>
          </w:p>
        </w:tc>
      </w:tr>
      <w:tr>
        <w:trPr>
          <w:cantSplit/>
        </w:trPr>
        <w:tc>
          <w:tcPr>
            <w:tcW w:type="dxa" w:w="273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RecorridoHUD</w:t>
            </w:r>
          </w:p>
        </w:tc>
        <w:tc>
          <w:tcPr>
            <w:tcW w:type="dxa" w:w="662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Navegación de las paradas de un recorrido</w:t>
            </w:r>
          </w:p>
        </w:tc>
      </w:tr>
      <w:tr>
        <w:trPr>
          <w:cantSplit/>
        </w:trPr>
        <w:tc>
          <w:tcPr>
            <w:tcW w:type="dxa" w:w="2736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FeatureSearchPanel</w:t>
            </w:r>
          </w:p>
        </w:tc>
        <w:tc>
          <w:tcPr>
            <w:tcW w:type="dxa" w:w="6624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Búsqueda por atributos en las capas activas</w:t>
            </w:r>
          </w:p>
        </w:tc>
      </w:tr>
    </w:tbl>
    <w:p>
      <w:pPr>
        <w:keepNext w:val="0"/>
        <w:spacing w:line="240" w:lineRule="auto" w:after="120" w:before="0"/>
        <w:jc w:val="left"/>
      </w:pP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Flujo de Carga de una Capa</w:t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Figura 6</w:t>
      </w: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Ruta de carga según el tipo de capa</w:t>
      </w:r>
    </w:p>
    <w:p>
      <w:pPr>
        <w:keepNext/>
        <w:spacing w:line="240" w:lineRule="auto"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52329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</w:pPr>
      <w:r>
        <w:rPr>
          <w:rFonts w:ascii="Times New Roman" w:hAnsi="Times New Roman" w:cs="Times New Roman"/>
          <w:b w:val="0"/>
          <w:i/>
          <w:color w:val="000000"/>
          <w:sz w:val="20"/>
        </w:rPr>
        <w:t xml:space="preserve">Nota.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El tipo declarado en la configuración determina el componente de Leaflet que se instancia.</w:t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Gestión de Estado</w:t>
      </w:r>
    </w:p>
    <w:p>
      <w:pPr>
        <w:keepNext w:val="0"/>
        <w:spacing w:line="480" w:lineRule="auto" w:after="0" w:before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El estado global se maneja con un reducer. Cada interacción despacha una acción, el reducer produce un estado nuevo e inmutable y los componentes suscritos se vuelven a renderizar. No se emplea ninguna biblioteca externa de gestión de estado.</w:t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Figura 7</w:t>
      </w: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Ciclo de actualización del estado global</w:t>
      </w:r>
    </w:p>
    <w:p>
      <w:pPr>
        <w:keepNext/>
        <w:spacing w:line="240" w:lineRule="auto"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1823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-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2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</w:pPr>
      <w:r>
        <w:rPr>
          <w:rFonts w:ascii="Times New Roman" w:hAnsi="Times New Roman" w:cs="Times New Roman"/>
          <w:b w:val="0"/>
          <w:i/>
          <w:color w:val="000000"/>
          <w:sz w:val="20"/>
        </w:rPr>
        <w:t xml:space="preserve">Nota.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El flujo es unidireccional: ninguna vista modifica el estado directamente.</w:t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Tabla 5</w:t>
      </w: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Acciones del reducer de MapContext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3024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Acción</w:t>
            </w:r>
          </w:p>
        </w:tc>
        <w:tc>
          <w:tcPr>
            <w:tcW w:type="dxa" w:w="6336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Efecto sobre el estado</w:t>
            </w:r>
          </w:p>
        </w:tc>
      </w:tr>
      <w:tr>
        <w:trPr>
          <w:cantSplit/>
        </w:trPr>
        <w:tc>
          <w:tcPr>
            <w:tcW w:type="dxa" w:w="302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TOGGLE_LAYER</w:t>
            </w:r>
          </w:p>
        </w:tc>
        <w:tc>
          <w:tcPr>
            <w:tcW w:type="dxa" w:w="633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Añade o quita una capa del listado de capas activas</w:t>
            </w:r>
          </w:p>
        </w:tc>
      </w:tr>
      <w:tr>
        <w:trPr>
          <w:cantSplit/>
        </w:trPr>
        <w:tc>
          <w:tcPr>
            <w:tcW w:type="dxa" w:w="302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SET_LAYER_OPACITY</w:t>
            </w:r>
          </w:p>
        </w:tc>
        <w:tc>
          <w:tcPr>
            <w:tcW w:type="dxa" w:w="633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Fija la opacidad de una capa concreta</w:t>
            </w:r>
          </w:p>
        </w:tc>
      </w:tr>
      <w:tr>
        <w:trPr>
          <w:cantSplit/>
        </w:trPr>
        <w:tc>
          <w:tcPr>
            <w:tcW w:type="dxa" w:w="302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SET_MAPA_BASE</w:t>
            </w:r>
          </w:p>
        </w:tc>
        <w:tc>
          <w:tcPr>
            <w:tcW w:type="dxa" w:w="633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Cambia el mapa base entre callejero, satélite y topográfico</w:t>
            </w:r>
          </w:p>
        </w:tc>
      </w:tr>
      <w:tr>
        <w:trPr>
          <w:cantSplit/>
        </w:trPr>
        <w:tc>
          <w:tcPr>
            <w:tcW w:type="dxa" w:w="302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SET_ZOOM</w:t>
            </w:r>
          </w:p>
        </w:tc>
        <w:tc>
          <w:tcPr>
            <w:tcW w:type="dxa" w:w="633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Actualiza el nivel de acercamiento</w:t>
            </w:r>
          </w:p>
        </w:tc>
      </w:tr>
      <w:tr>
        <w:trPr>
          <w:cantSplit/>
        </w:trPr>
        <w:tc>
          <w:tcPr>
            <w:tcW w:type="dxa" w:w="302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SET_CENTER</w:t>
            </w:r>
          </w:p>
        </w:tc>
        <w:tc>
          <w:tcPr>
            <w:tcW w:type="dxa" w:w="633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Actualiza el punto central del mapa</w:t>
            </w:r>
          </w:p>
        </w:tc>
      </w:tr>
      <w:tr>
        <w:trPr>
          <w:cantSplit/>
        </w:trPr>
        <w:tc>
          <w:tcPr>
            <w:tcW w:type="dxa" w:w="3024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SET_STATE_FROM_URL</w:t>
            </w:r>
          </w:p>
        </w:tc>
        <w:tc>
          <w:tcPr>
            <w:tcW w:type="dxa" w:w="6336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Restaura el estado a partir de la dirección web</w:t>
            </w:r>
          </w:p>
        </w:tc>
      </w:tr>
    </w:tbl>
    <w:p>
      <w:pPr>
        <w:spacing w:line="240" w:lineRule="auto" w:after="240" w:before="120"/>
      </w:pPr>
      <w:r>
        <w:rPr>
          <w:rFonts w:ascii="Times New Roman" w:hAnsi="Times New Roman" w:cs="Times New Roman"/>
          <w:b w:val="0"/>
          <w:i/>
          <w:color w:val="000000"/>
          <w:sz w:val="20"/>
        </w:rPr>
        <w:t xml:space="preserve">Nota.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El encuadre a la extensión de una capa y la apertura de la ficha no pasan por el reducer: se resuelven mediante eventos, como se detalla en la sección siguiente.</w:t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Comunicación entre Componentes</w:t>
      </w:r>
    </w:p>
    <w:p>
      <w:pPr>
        <w:keepNext w:val="0"/>
        <w:spacing w:line="480" w:lineRule="auto" w:after="0" w:before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Los componentes que viven fuera del árbol del contenedor del mapa —como la barra de navegación o el panel de capas— no pueden acceder a la instancia de Leaflet mediante el hook correspondiente. La solución adoptada fue desacoplarlos mediante eventos personalizados de la ventana, que unos controladores situados dentro del mapa escuchan y traducen a llamadas de Leaflet.</w:t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Figura 8</w:t>
      </w: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Comunicación entre componentes mediante eventos de la ventana</w:t>
      </w:r>
    </w:p>
    <w:p>
      <w:pPr>
        <w:keepNext/>
        <w:spacing w:line="240" w:lineRule="auto"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6519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-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</w:pPr>
      <w:r>
        <w:rPr>
          <w:rFonts w:ascii="Times New Roman" w:hAnsi="Times New Roman" w:cs="Times New Roman"/>
          <w:b w:val="0"/>
          <w:i/>
          <w:color w:val="000000"/>
          <w:sz w:val="20"/>
        </w:rPr>
        <w:t xml:space="preserve">Nota.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Este mecanismo se emplea para el encuadre a una capa y para la apertura de la ficha pedagógica.</w:t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Secuencia de Activación de una Capa</w:t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Figura 9</w:t>
      </w: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Secuencia completa de activación de una capa GeoJSON</w:t>
      </w:r>
    </w:p>
    <w:p>
      <w:pPr>
        <w:keepNext/>
        <w:spacing w:line="240" w:lineRule="auto"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0681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-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</w:pPr>
      <w:r>
        <w:rPr>
          <w:rFonts w:ascii="Times New Roman" w:hAnsi="Times New Roman" w:cs="Times New Roman"/>
          <w:b w:val="0"/>
          <w:i/>
          <w:color w:val="000000"/>
          <w:sz w:val="20"/>
        </w:rPr>
        <w:t xml:space="preserve">Nota.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El diagrama recoge el recorrido extremo a extremo, desde el clic del usuario hasta la capa visible.</w:t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Modelo de Datos</w:t>
      </w:r>
    </w:p>
    <w:p>
      <w:pPr>
        <w:keepNext w:val="0"/>
        <w:spacing w:line="480" w:lineRule="auto" w:after="0" w:before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El modelo se apoya en dos estructuras centrales: la configuración declarativa de las capas y la ficha pedagógica, un archivo por capa. Los recorridos guiados constituyen una tercera estructura independiente.</w:t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Figura 10</w:t>
      </w: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Relación entre configuración de capas, fichas y recorridos</w:t>
      </w:r>
    </w:p>
    <w:p>
      <w:pPr>
        <w:keepNext/>
        <w:spacing w:line="240" w:lineRule="auto"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8210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-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</w:pPr>
      <w:r>
        <w:rPr>
          <w:rFonts w:ascii="Times New Roman" w:hAnsi="Times New Roman" w:cs="Times New Roman"/>
          <w:b w:val="0"/>
          <w:i/>
          <w:color w:val="000000"/>
          <w:sz w:val="20"/>
        </w:rPr>
        <w:t xml:space="preserve">Nota.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El campo fichaId enlaza cada capa con su contenido pedagógico.</w:t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Capa sin Conexión</w:t>
      </w:r>
    </w:p>
    <w:p>
      <w:pPr>
        <w:keepNext w:val="0"/>
        <w:spacing w:line="480" w:lineRule="auto" w:after="0" w:before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El Service Worker aplica una estrategia de caché diferenciada según el tipo de recurso. La aplicación, los archivos GeoJSON y las fichas se precargan en la instalación. Las teselas del mapa base se sirven primero desde caché. Los servicios WMS de la CVC, el IDEAM y el IGAC se consultan primero en red y solo recurren a la caché si no responden en diez segundos; si un servicio falla, el panel de capas lo avisa junto a la capa afectada.</w:t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Figura 11</w:t>
      </w: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Estrategia de caché del Service Worker</w:t>
      </w:r>
    </w:p>
    <w:p>
      <w:pPr>
        <w:keepNext/>
        <w:spacing w:line="240" w:lineRule="auto"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57340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-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</w:pPr>
      <w:r>
        <w:rPr>
          <w:rFonts w:ascii="Times New Roman" w:hAnsi="Times New Roman" w:cs="Times New Roman"/>
          <w:b w:val="0"/>
          <w:i/>
          <w:color w:val="000000"/>
          <w:sz w:val="20"/>
        </w:rPr>
        <w:t xml:space="preserve">Nota.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Las teselas precargadas cubren el límite municipal oficial entre los niveles de acercamiento 10 y 14: 571 teselas, unos 11 MB.</w:t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Despliegue e Integración Continua</w:t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Figura 12</w:t>
      </w: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Flujo de integración y despliegue continuo</w:t>
      </w:r>
    </w:p>
    <w:p>
      <w:pPr>
        <w:keepNext/>
        <w:spacing w:line="240" w:lineRule="auto"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5458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-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 w:before="0"/>
      </w:pPr>
      <w:r>
        <w:rPr>
          <w:rFonts w:ascii="Times New Roman" w:hAnsi="Times New Roman" w:cs="Times New Roman"/>
          <w:b w:val="0"/>
          <w:i/>
          <w:color w:val="000000"/>
          <w:sz w:val="20"/>
        </w:rPr>
        <w:t xml:space="preserve">Nota.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El proceso es automático: no requiere intervención manual tras la publicación de cambios.</w:t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Requisitos No Funcionales</w:t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Tabla 6</w:t>
      </w: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Requisitos no funcionales y su estado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2304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Atributo</w:t>
            </w:r>
          </w:p>
        </w:tc>
        <w:tc>
          <w:tcPr>
            <w:tcW w:type="dxa" w:w="5040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Objetivo</w:t>
            </w:r>
          </w:p>
        </w:tc>
        <w:tc>
          <w:tcPr>
            <w:tcW w:type="dxa" w:w="2016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Estado</w:t>
            </w:r>
          </w:p>
        </w:tc>
      </w:tr>
      <w:tr>
        <w:trPr>
          <w:cantSplit/>
        </w:trPr>
        <w:tc>
          <w:tcPr>
            <w:tcW w:type="dxa" w:w="230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Rendimiento</w:t>
            </w:r>
          </w:p>
        </w:tc>
        <w:tc>
          <w:tcPr>
            <w:tcW w:type="dxa" w:w="504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Bundle JavaScript menor a 500 KB comprimido</w:t>
            </w:r>
          </w:p>
        </w:tc>
        <w:tc>
          <w:tcPr>
            <w:tcW w:type="dxa" w:w="201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145 KB</w:t>
            </w:r>
          </w:p>
        </w:tc>
      </w:tr>
      <w:tr>
        <w:trPr>
          <w:cantSplit/>
        </w:trPr>
        <w:tc>
          <w:tcPr>
            <w:tcW w:type="dxa" w:w="230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Rendimiento</w:t>
            </w:r>
          </w:p>
        </w:tc>
        <w:tc>
          <w:tcPr>
            <w:tcW w:type="dxa" w:w="504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Primer contenido visible en menos de 1,5 s</w:t>
            </w:r>
          </w:p>
        </w:tc>
        <w:tc>
          <w:tcPr>
            <w:tcW w:type="dxa" w:w="201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Por auditar</w:t>
            </w:r>
          </w:p>
        </w:tc>
      </w:tr>
      <w:tr>
        <w:trPr>
          <w:cantSplit/>
        </w:trPr>
        <w:tc>
          <w:tcPr>
            <w:tcW w:type="dxa" w:w="230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Datos</w:t>
            </w:r>
          </w:p>
        </w:tc>
        <w:tc>
          <w:tcPr>
            <w:tcW w:type="dxa" w:w="504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Cada archivo GeoJSON menor a 2 MB</w:t>
            </w:r>
          </w:p>
        </w:tc>
        <w:tc>
          <w:tcPr>
            <w:tcW w:type="dxa" w:w="201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Cumplido</w:t>
            </w:r>
          </w:p>
        </w:tc>
      </w:tr>
      <w:tr>
        <w:trPr>
          <w:cantSplit/>
        </w:trPr>
        <w:tc>
          <w:tcPr>
            <w:tcW w:type="dxa" w:w="230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Offline</w:t>
            </w:r>
          </w:p>
        </w:tc>
        <w:tc>
          <w:tcPr>
            <w:tcW w:type="dxa" w:w="504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Teselas del municipio, niveles 10 a 14</w:t>
            </w:r>
          </w:p>
        </w:tc>
        <w:tc>
          <w:tcPr>
            <w:tcW w:type="dxa" w:w="201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Cumplido</w:t>
            </w:r>
          </w:p>
        </w:tc>
      </w:tr>
      <w:tr>
        <w:trPr>
          <w:cantSplit/>
        </w:trPr>
        <w:tc>
          <w:tcPr>
            <w:tcW w:type="dxa" w:w="230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Accesibilidad</w:t>
            </w:r>
          </w:p>
        </w:tc>
        <w:tc>
          <w:tcPr>
            <w:tcW w:type="dxa" w:w="504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WCAG 2.1 nivel AA, contraste mínimo 4.5:1</w:t>
            </w:r>
          </w:p>
        </w:tc>
        <w:tc>
          <w:tcPr>
            <w:tcW w:type="dxa" w:w="201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En progreso</w:t>
            </w:r>
          </w:p>
        </w:tc>
      </w:tr>
      <w:tr>
        <w:trPr>
          <w:cantSplit/>
        </w:trPr>
        <w:tc>
          <w:tcPr>
            <w:tcW w:type="dxa" w:w="2304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Seguridad</w:t>
            </w:r>
          </w:p>
        </w:tc>
        <w:tc>
          <w:tcPr>
            <w:tcW w:type="dxa" w:w="5040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Solo HTTPS y sin datos personales</w:t>
            </w:r>
          </w:p>
        </w:tc>
        <w:tc>
          <w:tcPr>
            <w:tcW w:type="dxa" w:w="2016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Cumplido</w:t>
            </w:r>
          </w:p>
        </w:tc>
      </w:tr>
      <w:tr>
        <w:trPr>
          <w:cantSplit/>
        </w:trPr>
        <w:tc>
          <w:tcPr>
            <w:tcW w:type="dxa" w:w="2304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Mantenibilidad</w:t>
            </w:r>
          </w:p>
        </w:tc>
        <w:tc>
          <w:tcPr>
            <w:tcW w:type="dxa" w:w="5040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Capas declaradas en un único archivo</w:t>
            </w:r>
          </w:p>
        </w:tc>
        <w:tc>
          <w:tcPr>
            <w:tcW w:type="dxa" w:w="2016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Cumplido</w:t>
            </w:r>
          </w:p>
        </w:tc>
      </w:tr>
    </w:tbl>
    <w:p>
      <w:pPr>
        <w:spacing w:line="240" w:lineRule="auto" w:after="240" w:before="120"/>
      </w:pPr>
      <w:r>
        <w:rPr>
          <w:rFonts w:ascii="Times New Roman" w:hAnsi="Times New Roman" w:cs="Times New Roman"/>
          <w:b w:val="0"/>
          <w:i/>
          <w:color w:val="000000"/>
          <w:sz w:val="20"/>
        </w:rPr>
        <w:t xml:space="preserve">Nota. </w:t>
      </w:r>
      <w:r>
        <w:rPr>
          <w:rFonts w:ascii="Times New Roman" w:hAnsi="Times New Roman" w:cs="Times New Roman"/>
          <w:b w:val="0"/>
          <w:i w:val="0"/>
          <w:color w:val="000000"/>
          <w:sz w:val="20"/>
        </w:rPr>
        <w:t>La cifra de rendimiento corresponde a la medición del build de producción vigente en la fecha de este documento.</w:t>
      </w:r>
    </w:p>
    <w:p>
      <w:r>
        <w:br w:type="page"/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Referencias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Agafonkin, V. (2024). Leaflet: An open-source JavaScript library for mobile-friendly interactive maps (Versión 1.9) [Software]. https://leafletjs.com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Corporación Autónoma Regional del Valle del Cauca. (2026). Portal GeoCVC [Servicios WMS y FeatureServer]. https://portal-geo.cvc.gov.co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Instituto de Hidrología, Meteorología y Estudios Ambientales. (2026). Servicios geográficos del IDEAM [Servicios WMS]. https://visualizador.ideam.gov.co/gisserver/rest/services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Instituto Geográfico Agustín Codazzi. (2026). Servicios de mapas del IGAC [Servicios WMS]. https://mapas.igac.gov.co/server/rest/services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Open Geospatial Consortium. (2010). OpenGIS Web Map Service (WMS) implementation specification (Versión 1.3.0). https://www.ogc.org/standards/wms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Vite Team. (2024). Vite: Next generation frontend tooling (Versión 5) [Software]. https://vitejs.dev</w:t>
      </w:r>
    </w:p>
    <w:p>
      <w:pPr>
        <w:spacing w:line="480" w:lineRule="auto" w:after="0"/>
        <w:ind w:left="720" w:hanging="720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World Wide Web Consortium. (2018). Web Content Accessibility Guidelines (WCAG) 2.1. https://www.w3.org/TR/WCAG21/</w:t>
      </w:r>
    </w:p>
    <w:p>
      <w:r>
        <w:br w:type="page"/>
      </w:r>
    </w:p>
    <w:p>
      <w:pPr>
        <w:keepNext/>
        <w:spacing w:line="480" w:lineRule="auto" w:after="0" w:befor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Anexo A: Requisitos Funcionales y Criterios de Aceptación</w:t>
      </w:r>
    </w:p>
    <w:p>
      <w:pPr>
        <w:keepNext w:val="0"/>
        <w:spacing w:line="480" w:lineRule="auto" w:after="0" w:before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Se listan los veintiún requisitos funcionales agrupados por módulo, con su prioridad y su criterio de aceptación verificable, según el Documento de Requerimientos v2.0.</w:t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Módulo de visualización</w:t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Tabla 7</w:t>
      </w: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Requisitos funcionales del módulo de visualización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1008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448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Nombre</w:t>
            </w:r>
          </w:p>
        </w:tc>
        <w:tc>
          <w:tcPr>
            <w:tcW w:type="dxa" w:w="1152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Prior.</w:t>
            </w:r>
          </w:p>
        </w:tc>
        <w:tc>
          <w:tcPr>
            <w:tcW w:type="dxa" w:w="4752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Criterio de aceptación</w:t>
            </w:r>
          </w:p>
        </w:tc>
      </w:tr>
      <w:tr>
        <w:trPr>
          <w:cantSplit/>
        </w:trP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RF-01</w:t>
            </w:r>
          </w:p>
        </w:tc>
        <w:tc>
          <w:tcPr>
            <w:tcW w:type="dxa" w:w="244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Mapa base interactivo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Alta</w:t>
            </w:r>
          </w:p>
        </w:tc>
        <w:tc>
          <w:tcPr>
            <w:tcW w:type="dxa" w:w="47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Mapa cargado en menos de 3 s; respuesta al zoom en menos de 100 ms</w:t>
            </w:r>
          </w:p>
        </w:tc>
      </w:tr>
      <w:tr>
        <w:trPr>
          <w:cantSplit/>
        </w:trP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RF-02</w:t>
            </w:r>
          </w:p>
        </w:tc>
        <w:tc>
          <w:tcPr>
            <w:tcW w:type="dxa" w:w="244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Panel de capas jerárquico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Alta</w:t>
            </w:r>
          </w:p>
        </w:tc>
        <w:tc>
          <w:tcPr>
            <w:tcW w:type="dxa" w:w="47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Al alternar una capa, aparece o desaparece en menos de 500 ms</w:t>
            </w:r>
          </w:p>
        </w:tc>
      </w:tr>
      <w:tr>
        <w:trPr>
          <w:cantSplit/>
        </w:trP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RF-03</w:t>
            </w:r>
          </w:p>
        </w:tc>
        <w:tc>
          <w:tcPr>
            <w:tcW w:type="dxa" w:w="244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Control de opacidad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Media</w:t>
            </w:r>
          </w:p>
        </w:tc>
        <w:tc>
          <w:tcPr>
            <w:tcW w:type="dxa" w:w="47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Ajuste fluido, sin retardo perceptible</w:t>
            </w:r>
          </w:p>
        </w:tc>
      </w:tr>
      <w:tr>
        <w:trPr>
          <w:cantSplit/>
        </w:trP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RF-04</w:t>
            </w:r>
          </w:p>
        </w:tc>
        <w:tc>
          <w:tcPr>
            <w:tcW w:type="dxa" w:w="244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Leyenda dinámica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Alta</w:t>
            </w:r>
          </w:p>
        </w:tc>
        <w:tc>
          <w:tcPr>
            <w:tcW w:type="dxa" w:w="47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Leyenda visible con la capa; la imagen WMS carga en menos de 2 s</w:t>
            </w:r>
          </w:p>
        </w:tc>
      </w:tr>
      <w:tr>
        <w:trPr>
          <w:cantSplit/>
        </w:trP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RF-05</w:t>
            </w:r>
          </w:p>
        </w:tc>
        <w:tc>
          <w:tcPr>
            <w:tcW w:type="dxa" w:w="244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Zoom a extensión de capa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Media</w:t>
            </w:r>
          </w:p>
        </w:tc>
        <w:tc>
          <w:tcPr>
            <w:tcW w:type="dxa" w:w="47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Desplazamiento animado de 300 ms</w:t>
            </w:r>
          </w:p>
        </w:tc>
      </w:tr>
      <w:tr>
        <w:trPr>
          <w:cantSplit/>
        </w:trPr>
        <w:tc>
          <w:tcPr>
            <w:tcW w:type="dxa" w:w="1008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RF-06</w:t>
            </w:r>
          </w:p>
        </w:tc>
        <w:tc>
          <w:tcPr>
            <w:tcW w:type="dxa" w:w="2448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Selector de mapa base</w:t>
            </w:r>
          </w:p>
        </w:tc>
        <w:tc>
          <w:tcPr>
            <w:tcW w:type="dxa" w:w="1152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Alta</w:t>
            </w:r>
          </w:p>
        </w:tc>
        <w:tc>
          <w:tcPr>
            <w:tcW w:type="dxa" w:w="4752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Cambio en menos de 1 s sin reiniciar las capas activas</w:t>
            </w:r>
          </w:p>
        </w:tc>
      </w:tr>
    </w:tbl>
    <w:p>
      <w:pPr>
        <w:keepNext w:val="0"/>
        <w:spacing w:line="240" w:lineRule="auto" w:after="120" w:before="0"/>
        <w:jc w:val="left"/>
      </w:pP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Módulo de consulta</w:t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Tabla 8</w:t>
      </w: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Requisitos funcionales del módulo de consulta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1008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448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Nombre</w:t>
            </w:r>
          </w:p>
        </w:tc>
        <w:tc>
          <w:tcPr>
            <w:tcW w:type="dxa" w:w="1152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Prior.</w:t>
            </w:r>
          </w:p>
        </w:tc>
        <w:tc>
          <w:tcPr>
            <w:tcW w:type="dxa" w:w="4752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Criterio de aceptación</w:t>
            </w:r>
          </w:p>
        </w:tc>
      </w:tr>
      <w:tr>
        <w:trPr>
          <w:cantSplit/>
        </w:trP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RF-07</w:t>
            </w:r>
          </w:p>
        </w:tc>
        <w:tc>
          <w:tcPr>
            <w:tcW w:type="dxa" w:w="244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Consulta de atributos al clic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Alta</w:t>
            </w:r>
          </w:p>
        </w:tc>
        <w:tc>
          <w:tcPr>
            <w:tcW w:type="dxa" w:w="47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Globo de información en menos de 200 ms para capas GeoJSON</w:t>
            </w:r>
          </w:p>
        </w:tc>
      </w:tr>
      <w:tr>
        <w:trPr>
          <w:cantSplit/>
        </w:trP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RF-08</w:t>
            </w:r>
          </w:p>
        </w:tc>
        <w:tc>
          <w:tcPr>
            <w:tcW w:type="dxa" w:w="244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Búsqueda de lugares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Media</w:t>
            </w:r>
          </w:p>
        </w:tc>
        <w:tc>
          <w:tcPr>
            <w:tcW w:type="dxa" w:w="47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Sugerencias en menos de 1 s a partir de 3 caracteres</w:t>
            </w:r>
          </w:p>
        </w:tc>
      </w:tr>
      <w:tr>
        <w:trPr>
          <w:cantSplit/>
        </w:trP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RF-09</w:t>
            </w:r>
          </w:p>
        </w:tc>
        <w:tc>
          <w:tcPr>
            <w:tcW w:type="dxa" w:w="244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Búsqueda en capas activas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Media</w:t>
            </w:r>
          </w:p>
        </w:tc>
        <w:tc>
          <w:tcPr>
            <w:tcW w:type="dxa" w:w="47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Resultados en tiempo real; resalta el elemento en el mapa</w:t>
            </w:r>
          </w:p>
        </w:tc>
      </w:tr>
      <w:tr>
        <w:trPr>
          <w:cantSplit/>
        </w:trP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RF-10</w:t>
            </w:r>
          </w:p>
        </w:tc>
        <w:tc>
          <w:tcPr>
            <w:tcW w:type="dxa" w:w="244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Herramienta de medición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Media</w:t>
            </w:r>
          </w:p>
        </w:tc>
        <w:tc>
          <w:tcPr>
            <w:tcW w:type="dxa" w:w="47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Cálculo con Turf.js; error máximo del 0,01 % frente a referencia</w:t>
            </w:r>
          </w:p>
        </w:tc>
      </w:tr>
      <w:tr>
        <w:trPr>
          <w:cantSplit/>
        </w:trPr>
        <w:tc>
          <w:tcPr>
            <w:tcW w:type="dxa" w:w="1008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RF-11</w:t>
            </w:r>
          </w:p>
        </w:tc>
        <w:tc>
          <w:tcPr>
            <w:tcW w:type="dxa" w:w="2448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Coordenadas del cursor</w:t>
            </w:r>
          </w:p>
        </w:tc>
        <w:tc>
          <w:tcPr>
            <w:tcW w:type="dxa" w:w="1152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Baja</w:t>
            </w:r>
          </w:p>
        </w:tc>
        <w:tc>
          <w:tcPr>
            <w:tcW w:type="dxa" w:w="4752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Actualización continua con precisión de cuatro decimales</w:t>
            </w:r>
          </w:p>
        </w:tc>
      </w:tr>
    </w:tbl>
    <w:p>
      <w:pPr>
        <w:keepNext w:val="0"/>
        <w:spacing w:line="240" w:lineRule="auto" w:after="120" w:before="0"/>
        <w:jc w:val="left"/>
      </w:pP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Módulo pedagógico</w:t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Tabla 9</w:t>
      </w: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Requisitos funcionales del módulo pedagógico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1008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448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Nombre</w:t>
            </w:r>
          </w:p>
        </w:tc>
        <w:tc>
          <w:tcPr>
            <w:tcW w:type="dxa" w:w="1152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Prior.</w:t>
            </w:r>
          </w:p>
        </w:tc>
        <w:tc>
          <w:tcPr>
            <w:tcW w:type="dxa" w:w="4752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Criterio de aceptación</w:t>
            </w:r>
          </w:p>
        </w:tc>
      </w:tr>
      <w:tr>
        <w:trPr>
          <w:cantSplit/>
        </w:trP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RF-12</w:t>
            </w:r>
          </w:p>
        </w:tc>
        <w:tc>
          <w:tcPr>
            <w:tcW w:type="dxa" w:w="244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Fichas pedagógicas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Alta</w:t>
            </w:r>
          </w:p>
        </w:tc>
        <w:tc>
          <w:tcPr>
            <w:tcW w:type="dxa" w:w="47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Al menos 150 palabras, una imagen y tres preguntas por ficha</w:t>
            </w:r>
          </w:p>
        </w:tc>
      </w:tr>
      <w:tr>
        <w:trPr>
          <w:cantSplit/>
        </w:trP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RF-13</w:t>
            </w:r>
          </w:p>
        </w:tc>
        <w:tc>
          <w:tcPr>
            <w:tcW w:type="dxa" w:w="244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Contenido multimedia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Alta</w:t>
            </w:r>
          </w:p>
        </w:tc>
        <w:tc>
          <w:tcPr>
            <w:tcW w:type="dxa" w:w="47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Imágenes con carga diferida; videos sin reproducción automática</w:t>
            </w:r>
          </w:p>
        </w:tc>
      </w:tr>
      <w:tr>
        <w:trPr>
          <w:cantSplit/>
        </w:trP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RF-14</w:t>
            </w:r>
          </w:p>
        </w:tc>
        <w:tc>
          <w:tcPr>
            <w:tcW w:type="dxa" w:w="244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Modo recorrido guiado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Media</w:t>
            </w:r>
          </w:p>
        </w:tc>
        <w:tc>
          <w:tcPr>
            <w:tcW w:type="dxa" w:w="47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Avance con Siguiente y Anterior; desplazamiento de 800 ms</w:t>
            </w:r>
          </w:p>
        </w:tc>
      </w:tr>
      <w:tr>
        <w:trPr>
          <w:cantSplit/>
        </w:trP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RF-15</w:t>
            </w:r>
          </w:p>
        </w:tc>
        <w:tc>
          <w:tcPr>
            <w:tcW w:type="dxa" w:w="244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Línea de tiempo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Media</w:t>
            </w:r>
          </w:p>
        </w:tc>
        <w:tc>
          <w:tcPr>
            <w:tcW w:type="dxa" w:w="47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Pendiente: no hay series históricas disponibles</w:t>
            </w:r>
          </w:p>
        </w:tc>
      </w:tr>
      <w:tr>
        <w:trPr>
          <w:cantSplit/>
        </w:trPr>
        <w:tc>
          <w:tcPr>
            <w:tcW w:type="dxa" w:w="1008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RF-16</w:t>
            </w:r>
          </w:p>
        </w:tc>
        <w:tc>
          <w:tcPr>
            <w:tcW w:type="dxa" w:w="2448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Glosario territorial</w:t>
            </w:r>
          </w:p>
        </w:tc>
        <w:tc>
          <w:tcPr>
            <w:tcW w:type="dxa" w:w="1152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Baja</w:t>
            </w:r>
          </w:p>
        </w:tc>
        <w:tc>
          <w:tcPr>
            <w:tcW w:type="dxa" w:w="4752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Buscable por texto; enlaza con la capa relacionada</w:t>
            </w:r>
          </w:p>
        </w:tc>
      </w:tr>
    </w:tbl>
    <w:p>
      <w:pPr>
        <w:keepNext w:val="0"/>
        <w:spacing w:line="240" w:lineRule="auto" w:after="120" w:before="0"/>
        <w:jc w:val="left"/>
      </w:pP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Módulos de exportación, accesibilidad y uso sin conexión</w:t>
      </w:r>
    </w:p>
    <w:p>
      <w:pPr>
        <w:keepNext/>
        <w:spacing w:line="480" w:lineRule="auto" w:after="0" w:befor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Tabla 10</w:t>
      </w:r>
    </w:p>
    <w:p>
      <w:pPr>
        <w:keepNext/>
        <w:spacing w:line="480" w:lineRule="auto" w:after="120" w:before="0"/>
        <w:jc w:val="left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Requisitos funcionales de exportación, accesibilidad y uso sin conexión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1008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448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Nombre</w:t>
            </w:r>
          </w:p>
        </w:tc>
        <w:tc>
          <w:tcPr>
            <w:tcW w:type="dxa" w:w="1152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Prior.</w:t>
            </w:r>
          </w:p>
        </w:tc>
        <w:tc>
          <w:tcPr>
            <w:tcW w:type="dxa" w:w="4752"/>
            <w:tcBorders>
              <w:top w:val="single" w:sz="8" w:color="000000"/>
              <w:bottom w:val="single" w:sz="6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Criterio de aceptación</w:t>
            </w:r>
          </w:p>
        </w:tc>
      </w:tr>
      <w:tr>
        <w:trPr>
          <w:cantSplit/>
        </w:trP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RF-17</w:t>
            </w:r>
          </w:p>
        </w:tc>
        <w:tc>
          <w:tcPr>
            <w:tcW w:type="dxa" w:w="244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Exportar vista como imagen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Media</w:t>
            </w:r>
          </w:p>
        </w:tc>
        <w:tc>
          <w:tcPr>
            <w:tcW w:type="dxa" w:w="47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Descarga en menos de 3 s con resolución mínima de 1920 × 1080 px</w:t>
            </w:r>
          </w:p>
        </w:tc>
      </w:tr>
      <w:tr>
        <w:trPr>
          <w:cantSplit/>
        </w:trP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RF-18</w:t>
            </w:r>
          </w:p>
        </w:tc>
        <w:tc>
          <w:tcPr>
            <w:tcW w:type="dxa" w:w="244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Compartir dirección de la vista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Media</w:t>
            </w:r>
          </w:p>
        </w:tc>
        <w:tc>
          <w:tcPr>
            <w:tcW w:type="dxa" w:w="47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Abrir la dirección en otro navegador restaura el mismo estado</w:t>
            </w:r>
          </w:p>
        </w:tc>
      </w:tr>
      <w:tr>
        <w:trPr>
          <w:cantSplit/>
        </w:trP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RF-19</w:t>
            </w:r>
          </w:p>
        </w:tc>
        <w:tc>
          <w:tcPr>
            <w:tcW w:type="dxa" w:w="244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Modo sin conexión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Alta</w:t>
            </w:r>
          </w:p>
        </w:tc>
        <w:tc>
          <w:tcPr>
            <w:tcW w:type="dxa" w:w="47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Tras la primera visita se explora sin red; avisa si la WMS no responde</w:t>
            </w:r>
          </w:p>
        </w:tc>
      </w:tr>
      <w:tr>
        <w:trPr>
          <w:cantSplit/>
        </w:trPr>
        <w:tc>
          <w:tcPr>
            <w:tcW w:type="dxa" w:w="100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RF-20</w:t>
            </w:r>
          </w:p>
        </w:tc>
        <w:tc>
          <w:tcPr>
            <w:tcW w:type="dxa" w:w="2448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Texto alternativo de imágenes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Alta</w:t>
            </w:r>
          </w:p>
        </w:tc>
        <w:tc>
          <w:tcPr>
            <w:tcW w:type="dxa" w:w="4752"/>
            <w:tcBorders>
              <w:top w:val="nil"/>
              <w:bottom w:val="nil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Auditoría automatizada sin violaciones de tipo image-alt</w:t>
            </w:r>
          </w:p>
        </w:tc>
      </w:tr>
      <w:tr>
        <w:trPr>
          <w:cantSplit/>
        </w:trPr>
        <w:tc>
          <w:tcPr>
            <w:tcW w:type="dxa" w:w="1008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RF-21</w:t>
            </w:r>
          </w:p>
        </w:tc>
        <w:tc>
          <w:tcPr>
            <w:tcW w:type="dxa" w:w="2448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Navegación por teclado</w:t>
            </w:r>
          </w:p>
        </w:tc>
        <w:tc>
          <w:tcPr>
            <w:tcW w:type="dxa" w:w="1152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Alta</w:t>
            </w:r>
          </w:p>
        </w:tc>
        <w:tc>
          <w:tcPr>
            <w:tcW w:type="dxa" w:w="4752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keepNext/>
              <w:spacing w:line="240" w:lineRule="auto" w:after="60" w:before="60"/>
            </w:pPr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Todos los controles operables con teclado y foco visible</w:t>
            </w:r>
          </w:p>
        </w:tc>
      </w:tr>
    </w:tbl>
    <w:p>
      <w:pPr>
        <w:keepNext w:val="0"/>
        <w:spacing w:line="240" w:lineRule="auto" w:after="120" w:before="0"/>
        <w:jc w:val="left"/>
      </w:pP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right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480" w:lineRule="auto" w:before="0" w:after="0"/>
    </w:pPr>
    <w:rPr>
      <w:rFonts w:ascii="Times New Roman" w:hAnsi="Times New Roman" w:cs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