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14" w:rsidRDefault="00611EDD" w:rsidP="00030D67">
      <w:pPr>
        <w:ind w:right="-360"/>
        <w:rPr>
          <w:rStyle w:val="IntenseReference"/>
          <w:rFonts w:ascii="Arial" w:hAnsi="Arial" w:cs="Arial"/>
          <w:sz w:val="28"/>
        </w:rPr>
      </w:pPr>
      <w:r>
        <w:rPr>
          <w:rFonts w:ascii="Arial" w:hAnsi="Arial" w:cs="Arial"/>
          <w:noProof/>
          <w:sz w:val="22"/>
          <w:szCs w:val="22"/>
        </w:rPr>
        <mc:AlternateContent>
          <mc:Choice Requires="wps">
            <w:drawing>
              <wp:anchor distT="0" distB="0" distL="114300" distR="114300" simplePos="0" relativeHeight="251663360" behindDoc="0" locked="0" layoutInCell="1" allowOverlap="1" wp14:anchorId="4546AB92" wp14:editId="4330CF77">
                <wp:simplePos x="0" y="0"/>
                <wp:positionH relativeFrom="column">
                  <wp:posOffset>-847725</wp:posOffset>
                </wp:positionH>
                <wp:positionV relativeFrom="paragraph">
                  <wp:posOffset>304799</wp:posOffset>
                </wp:positionV>
                <wp:extent cx="7248525" cy="9229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7248525" cy="922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Title VII of the Civil Rights Act of 1964 (Title VII)</w:t>
                            </w:r>
                            <w:r w:rsidRPr="00030D67">
                              <w:rPr>
                                <w:rFonts w:ascii="Arial" w:hAnsi="Arial" w:cs="Arial"/>
                                <w:sz w:val="28"/>
                                <w:szCs w:val="28"/>
                              </w:rPr>
                              <w:t xml:space="preserve"> </w:t>
                            </w:r>
                          </w:p>
                          <w:p w:rsidR="00030D67" w:rsidRPr="00030D67" w:rsidRDefault="00030D67" w:rsidP="00030D67">
                            <w:pPr>
                              <w:pStyle w:val="ListParagraph"/>
                              <w:rPr>
                                <w:rFonts w:ascii="Arial" w:hAnsi="Arial" w:cs="Arial"/>
                                <w:strike/>
                                <w:sz w:val="28"/>
                                <w:szCs w:val="28"/>
                              </w:rPr>
                            </w:pPr>
                          </w:p>
                          <w:p w:rsidR="00030D67" w:rsidRPr="00030D67" w:rsidRDefault="00030D67" w:rsidP="00030D67">
                            <w:pPr>
                              <w:pStyle w:val="ListParagraph"/>
                              <w:rPr>
                                <w:rFonts w:ascii="Arial" w:hAnsi="Arial" w:cs="Arial"/>
                                <w:sz w:val="28"/>
                                <w:szCs w:val="28"/>
                              </w:rPr>
                            </w:pPr>
                            <w:r w:rsidRPr="00030D67">
                              <w:rPr>
                                <w:rFonts w:ascii="Arial" w:hAnsi="Arial" w:cs="Arial"/>
                                <w:b/>
                                <w:sz w:val="28"/>
                                <w:szCs w:val="28"/>
                              </w:rPr>
                              <w:t>The Title VII of the Civil Rights Act of 1964</w:t>
                            </w:r>
                            <w:r w:rsidRPr="00030D67">
                              <w:rPr>
                                <w:rFonts w:ascii="Arial" w:hAnsi="Arial" w:cs="Arial"/>
                                <w:sz w:val="28"/>
                                <w:szCs w:val="28"/>
                              </w:rPr>
                              <w:t>, often referred to as Title VII, prohibits discrimination in employment practices based on race, color, religion, sex (includes gender, sexual orientation, and gender identity), or national origin. It also prohibits discrimination of an individual because of their association with another individual of a particular race, color, religion, sex, or national origin.</w:t>
                            </w:r>
                          </w:p>
                          <w:p w:rsidR="00030D67" w:rsidRPr="00030D67" w:rsidRDefault="00030D67" w:rsidP="00030D67">
                            <w:pPr>
                              <w:pStyle w:val="ListParagraph"/>
                              <w:rPr>
                                <w:rFonts w:ascii="Arial" w:hAnsi="Arial" w:cs="Arial"/>
                                <w:sz w:val="28"/>
                                <w:szCs w:val="28"/>
                              </w:rPr>
                            </w:pPr>
                          </w:p>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Equal Pay Act of 1963 (EPA)</w:t>
                            </w:r>
                          </w:p>
                          <w:p w:rsidR="00030D67" w:rsidRPr="00030D67" w:rsidRDefault="00030D67" w:rsidP="00030D67">
                            <w:pPr>
                              <w:pStyle w:val="ListParagraph"/>
                              <w:rPr>
                                <w:rFonts w:ascii="Arial" w:hAnsi="Arial" w:cs="Arial"/>
                                <w:sz w:val="28"/>
                                <w:szCs w:val="28"/>
                              </w:rPr>
                            </w:pPr>
                            <w:r w:rsidRPr="00030D67">
                              <w:rPr>
                                <w:rFonts w:ascii="Arial" w:hAnsi="Arial" w:cs="Arial"/>
                                <w:b/>
                                <w:sz w:val="28"/>
                                <w:szCs w:val="28"/>
                              </w:rPr>
                              <w:br/>
                            </w:r>
                            <w:r w:rsidRPr="00030D67">
                              <w:rPr>
                                <w:rFonts w:ascii="Arial" w:hAnsi="Arial" w:cs="Arial"/>
                                <w:sz w:val="28"/>
                                <w:szCs w:val="28"/>
                              </w:rPr>
                              <w:t>The Equal Pay Act of 1963 was established to protect employees who perform substantially equal work for a company from pay discrimination based on their gender. This protection extends to all forms of compensation such as bonuses, benefits, and allowances. Recent regulatory changes based on the EPA have been designed to provide federal agencies with greater visibility into federal contractor pay practices, including a requirement to submit aggregated compensation data to the US Government annually.</w:t>
                            </w:r>
                            <w:r w:rsidRPr="00030D67">
                              <w:rPr>
                                <w:rFonts w:ascii="Arial" w:hAnsi="Arial" w:cs="Arial"/>
                                <w:sz w:val="28"/>
                                <w:szCs w:val="28"/>
                              </w:rPr>
                              <w:br/>
                            </w:r>
                          </w:p>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 xml:space="preserve">Age Discrimination in Employment Act of 1967 (ADEA) </w:t>
                            </w:r>
                            <w:r w:rsidRPr="00030D67">
                              <w:rPr>
                                <w:rFonts w:ascii="Arial" w:hAnsi="Arial" w:cs="Arial"/>
                                <w:b/>
                                <w:bCs/>
                                <w:sz w:val="28"/>
                                <w:szCs w:val="28"/>
                              </w:rPr>
                              <w:br/>
                            </w:r>
                            <w:r w:rsidRPr="00030D67">
                              <w:rPr>
                                <w:rFonts w:ascii="Arial" w:hAnsi="Arial" w:cs="Arial"/>
                                <w:b/>
                                <w:bCs/>
                                <w:sz w:val="28"/>
                                <w:szCs w:val="28"/>
                              </w:rPr>
                              <w:br/>
                            </w:r>
                            <w:r w:rsidRPr="00030D67">
                              <w:rPr>
                                <w:rFonts w:ascii="Arial" w:hAnsi="Arial" w:cs="Arial"/>
                                <w:sz w:val="28"/>
                                <w:szCs w:val="28"/>
                              </w:rPr>
                              <w:t>Prohibits employment discrimination of applicants and associates that are 40 years of age or older against discrimination in employment practices.</w:t>
                            </w:r>
                          </w:p>
                          <w:p w:rsidR="00030D67" w:rsidRPr="00030D67" w:rsidRDefault="00030D67" w:rsidP="00030D67">
                            <w:pPr>
                              <w:pStyle w:val="ListParagraph"/>
                              <w:rPr>
                                <w:rFonts w:ascii="Arial" w:hAnsi="Arial" w:cs="Arial"/>
                                <w:sz w:val="28"/>
                                <w:szCs w:val="28"/>
                              </w:rPr>
                            </w:pPr>
                          </w:p>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 xml:space="preserve">Title I and Title V of the Americans with Disabilities Act of 1990, as amended (ADA) </w:t>
                            </w:r>
                            <w:r w:rsidRPr="00030D67">
                              <w:rPr>
                                <w:rFonts w:ascii="Arial" w:hAnsi="Arial" w:cs="Arial"/>
                                <w:b/>
                                <w:bCs/>
                                <w:sz w:val="28"/>
                                <w:szCs w:val="28"/>
                              </w:rPr>
                              <w:br/>
                            </w:r>
                            <w:r w:rsidRPr="00030D67">
                              <w:rPr>
                                <w:rFonts w:ascii="Arial" w:hAnsi="Arial" w:cs="Arial"/>
                                <w:sz w:val="28"/>
                                <w:szCs w:val="28"/>
                              </w:rPr>
                              <w:br/>
                              <w:t xml:space="preserve">Title 1 of the American with Disabilities Act protects individuals with a disability, or a perceived disability from discrimination in the workplace. The definition of a person with a disability is typically defined as someone who: </w:t>
                            </w: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 xml:space="preserve">(1) has a physical or mental impairment that substantially limits one or more "major life activities," </w:t>
                            </w: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 xml:space="preserve">(2) </w:t>
                            </w:r>
                            <w:proofErr w:type="gramStart"/>
                            <w:r w:rsidRPr="00030D67">
                              <w:rPr>
                                <w:rFonts w:ascii="Arial" w:hAnsi="Arial" w:cs="Arial"/>
                                <w:sz w:val="28"/>
                                <w:szCs w:val="28"/>
                              </w:rPr>
                              <w:t>has</w:t>
                            </w:r>
                            <w:proofErr w:type="gramEnd"/>
                            <w:r w:rsidRPr="00030D67">
                              <w:rPr>
                                <w:rFonts w:ascii="Arial" w:hAnsi="Arial" w:cs="Arial"/>
                                <w:sz w:val="28"/>
                                <w:szCs w:val="28"/>
                              </w:rPr>
                              <w:t xml:space="preserve"> a record of such an impairment, or </w:t>
                            </w: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 xml:space="preserve">(3) </w:t>
                            </w:r>
                            <w:proofErr w:type="gramStart"/>
                            <w:r w:rsidRPr="00030D67">
                              <w:rPr>
                                <w:rFonts w:ascii="Arial" w:hAnsi="Arial" w:cs="Arial"/>
                                <w:sz w:val="28"/>
                                <w:szCs w:val="28"/>
                              </w:rPr>
                              <w:t>is</w:t>
                            </w:r>
                            <w:proofErr w:type="gramEnd"/>
                            <w:r w:rsidRPr="00030D67">
                              <w:rPr>
                                <w:rFonts w:ascii="Arial" w:hAnsi="Arial" w:cs="Arial"/>
                                <w:sz w:val="28"/>
                                <w:szCs w:val="28"/>
                              </w:rPr>
                              <w:t xml:space="preserve"> regarded as having such an impairment. </w:t>
                            </w:r>
                          </w:p>
                          <w:p w:rsidR="00030D67" w:rsidRPr="00030D67" w:rsidRDefault="00030D67" w:rsidP="00030D67">
                            <w:pPr>
                              <w:pStyle w:val="ListParagraph"/>
                              <w:rPr>
                                <w:rFonts w:ascii="Arial" w:hAnsi="Arial" w:cs="Arial"/>
                                <w:sz w:val="28"/>
                                <w:szCs w:val="28"/>
                              </w:rPr>
                            </w:pP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Examples of discrimination that would not be acceptable under the ADA may include, but is not limited to, terminating or not extending a job offer to someone based on a real or perceived disability, segregation, and harassment based on a disability. Title 1 also requires employers to provide reasonable accommodations to employees with a disability to allow them to be able to perform the essential duties of their job.</w:t>
                            </w:r>
                          </w:p>
                          <w:p w:rsidR="00030D67" w:rsidRPr="00030D67" w:rsidRDefault="00030D67" w:rsidP="00030D67">
                            <w:pPr>
                              <w:pStyle w:val="ListParagraph"/>
                              <w:rPr>
                                <w:rFonts w:ascii="Arial" w:hAnsi="Arial" w:cs="Arial"/>
                                <w:sz w:val="28"/>
                                <w:szCs w:val="28"/>
                              </w:rPr>
                            </w:pPr>
                            <w:r w:rsidRPr="00030D67">
                              <w:rPr>
                                <w:rFonts w:ascii="Arial" w:hAnsi="Arial" w:cs="Arial"/>
                                <w:strike/>
                                <w:sz w:val="28"/>
                                <w:szCs w:val="28"/>
                              </w:rPr>
                              <w:br/>
                            </w:r>
                            <w:r w:rsidRPr="00030D67">
                              <w:rPr>
                                <w:rFonts w:ascii="Arial" w:hAnsi="Arial" w:cs="Arial"/>
                                <w:sz w:val="28"/>
                                <w:szCs w:val="28"/>
                              </w:rPr>
                              <w:t>Title 5 of the ADA prohibits retaliation and coercion. An individual who exercises their rights or assists others in exercising their rights under the ADA cannot be retaliated against or coerced. Examples would include, but not be limited to, threats, intimidation, excluding, and blocking advancement.</w:t>
                            </w:r>
                            <w:r w:rsidRPr="00030D67">
                              <w:rPr>
                                <w:rFonts w:ascii="Arial" w:hAnsi="Arial" w:cs="Arial"/>
                                <w:sz w:val="28"/>
                                <w:szCs w:val="28"/>
                              </w:rPr>
                              <w:br/>
                            </w:r>
                          </w:p>
                          <w:p w:rsidR="00030D67" w:rsidRPr="00030D67" w:rsidRDefault="00030D67">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6AB92" id="_x0000_t202" coordsize="21600,21600" o:spt="202" path="m,l,21600r21600,l21600,xe">
                <v:stroke joinstyle="miter"/>
                <v:path gradientshapeok="t" o:connecttype="rect"/>
              </v:shapetype>
              <v:shape id="Text Box 2" o:spid="_x0000_s1026" type="#_x0000_t202" style="position:absolute;margin-left:-66.75pt;margin-top:24pt;width:570.75pt;height:7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" filled="f" stroked="f" strokeweight=".5pt">
                <v:textbox>
                  <w:txbxContent>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Title VII of the Civil Rights Act of 1964 (Title VII)</w:t>
                      </w:r>
                      <w:r w:rsidRPr="00030D67">
                        <w:rPr>
                          <w:rFonts w:ascii="Arial" w:hAnsi="Arial" w:cs="Arial"/>
                          <w:sz w:val="28"/>
                          <w:szCs w:val="28"/>
                        </w:rPr>
                        <w:t xml:space="preserve"> </w:t>
                      </w:r>
                    </w:p>
                    <w:p w:rsidR="00030D67" w:rsidRPr="00030D67" w:rsidRDefault="00030D67" w:rsidP="00030D67">
                      <w:pPr>
                        <w:pStyle w:val="ListParagraph"/>
                        <w:rPr>
                          <w:rFonts w:ascii="Arial" w:hAnsi="Arial" w:cs="Arial"/>
                          <w:strike/>
                          <w:sz w:val="28"/>
                          <w:szCs w:val="28"/>
                        </w:rPr>
                      </w:pPr>
                    </w:p>
                    <w:p w:rsidR="00030D67" w:rsidRPr="00030D67" w:rsidRDefault="00030D67" w:rsidP="00030D67">
                      <w:pPr>
                        <w:pStyle w:val="ListParagraph"/>
                        <w:rPr>
                          <w:rFonts w:ascii="Arial" w:hAnsi="Arial" w:cs="Arial"/>
                          <w:sz w:val="28"/>
                          <w:szCs w:val="28"/>
                        </w:rPr>
                      </w:pPr>
                      <w:r w:rsidRPr="00030D67">
                        <w:rPr>
                          <w:rFonts w:ascii="Arial" w:hAnsi="Arial" w:cs="Arial"/>
                          <w:b/>
                          <w:sz w:val="28"/>
                          <w:szCs w:val="28"/>
                        </w:rPr>
                        <w:t>The Title VII of the Civil Rights Act of 1964</w:t>
                      </w:r>
                      <w:r w:rsidRPr="00030D67">
                        <w:rPr>
                          <w:rFonts w:ascii="Arial" w:hAnsi="Arial" w:cs="Arial"/>
                          <w:sz w:val="28"/>
                          <w:szCs w:val="28"/>
                        </w:rPr>
                        <w:t>, often referred to as Title VII, prohibits discrimination in employment practices based on race, color, religion, sex (includes gender, sexual orientation, and gender identity), or national origin. It also prohibits discrimination of an individual because of their association with another individual of a particular race, color, religion, sex, or national origin.</w:t>
                      </w:r>
                    </w:p>
                    <w:p w:rsidR="00030D67" w:rsidRPr="00030D67" w:rsidRDefault="00030D67" w:rsidP="00030D67">
                      <w:pPr>
                        <w:pStyle w:val="ListParagraph"/>
                        <w:rPr>
                          <w:rFonts w:ascii="Arial" w:hAnsi="Arial" w:cs="Arial"/>
                          <w:sz w:val="28"/>
                          <w:szCs w:val="28"/>
                        </w:rPr>
                      </w:pPr>
                    </w:p>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Equal Pay Act of 1963 (EPA)</w:t>
                      </w:r>
                    </w:p>
                    <w:p w:rsidR="00030D67" w:rsidRPr="00030D67" w:rsidRDefault="00030D67" w:rsidP="00030D67">
                      <w:pPr>
                        <w:pStyle w:val="ListParagraph"/>
                        <w:rPr>
                          <w:rFonts w:ascii="Arial" w:hAnsi="Arial" w:cs="Arial"/>
                          <w:sz w:val="28"/>
                          <w:szCs w:val="28"/>
                        </w:rPr>
                      </w:pPr>
                      <w:r w:rsidRPr="00030D67">
                        <w:rPr>
                          <w:rFonts w:ascii="Arial" w:hAnsi="Arial" w:cs="Arial"/>
                          <w:b/>
                          <w:sz w:val="28"/>
                          <w:szCs w:val="28"/>
                        </w:rPr>
                        <w:br/>
                      </w:r>
                      <w:r w:rsidRPr="00030D67">
                        <w:rPr>
                          <w:rFonts w:ascii="Arial" w:hAnsi="Arial" w:cs="Arial"/>
                          <w:sz w:val="28"/>
                          <w:szCs w:val="28"/>
                        </w:rPr>
                        <w:t>The Equal Pay Act of 1963 was established to protect employees who perform substantially equal work for a company from pay discrimination based on their gender. This protection extends to all forms of compensation such as bonuses, benefits, and allowances. Recent regulatory changes based on the EPA have been designed to provide federal agencies with greater visibility into federal contractor pay practices, including a requirement to submit aggregated compensation data to the US Government annually.</w:t>
                      </w:r>
                      <w:r w:rsidRPr="00030D67">
                        <w:rPr>
                          <w:rFonts w:ascii="Arial" w:hAnsi="Arial" w:cs="Arial"/>
                          <w:sz w:val="28"/>
                          <w:szCs w:val="28"/>
                        </w:rPr>
                        <w:br/>
                      </w:r>
                    </w:p>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 xml:space="preserve">Age Discrimination in Employment Act of 1967 (ADEA) </w:t>
                      </w:r>
                      <w:r w:rsidRPr="00030D67">
                        <w:rPr>
                          <w:rFonts w:ascii="Arial" w:hAnsi="Arial" w:cs="Arial"/>
                          <w:b/>
                          <w:bCs/>
                          <w:sz w:val="28"/>
                          <w:szCs w:val="28"/>
                        </w:rPr>
                        <w:br/>
                      </w:r>
                      <w:r w:rsidRPr="00030D67">
                        <w:rPr>
                          <w:rFonts w:ascii="Arial" w:hAnsi="Arial" w:cs="Arial"/>
                          <w:b/>
                          <w:bCs/>
                          <w:sz w:val="28"/>
                          <w:szCs w:val="28"/>
                        </w:rPr>
                        <w:br/>
                      </w:r>
                      <w:r w:rsidRPr="00030D67">
                        <w:rPr>
                          <w:rFonts w:ascii="Arial" w:hAnsi="Arial" w:cs="Arial"/>
                          <w:sz w:val="28"/>
                          <w:szCs w:val="28"/>
                        </w:rPr>
                        <w:t>Prohibits employment discrimination of applicants and associates that are 40 years of age or older against discrimination in employment practices.</w:t>
                      </w:r>
                    </w:p>
                    <w:p w:rsidR="00030D67" w:rsidRPr="00030D67" w:rsidRDefault="00030D67" w:rsidP="00030D67">
                      <w:pPr>
                        <w:pStyle w:val="ListParagraph"/>
                        <w:rPr>
                          <w:rFonts w:ascii="Arial" w:hAnsi="Arial" w:cs="Arial"/>
                          <w:sz w:val="28"/>
                          <w:szCs w:val="28"/>
                        </w:rPr>
                      </w:pPr>
                    </w:p>
                    <w:p w:rsidR="00030D67" w:rsidRPr="00030D67" w:rsidRDefault="00030D67" w:rsidP="00030D67">
                      <w:pPr>
                        <w:pStyle w:val="ListParagraph"/>
                        <w:numPr>
                          <w:ilvl w:val="0"/>
                          <w:numId w:val="5"/>
                        </w:numPr>
                        <w:spacing w:after="160" w:line="259" w:lineRule="auto"/>
                        <w:rPr>
                          <w:rFonts w:ascii="Arial" w:hAnsi="Arial" w:cs="Arial"/>
                          <w:sz w:val="28"/>
                          <w:szCs w:val="28"/>
                        </w:rPr>
                      </w:pPr>
                      <w:r w:rsidRPr="00030D67">
                        <w:rPr>
                          <w:rFonts w:ascii="Arial" w:hAnsi="Arial" w:cs="Arial"/>
                          <w:b/>
                          <w:bCs/>
                          <w:sz w:val="28"/>
                          <w:szCs w:val="28"/>
                        </w:rPr>
                        <w:t xml:space="preserve">Title I and Title V of the Americans with Disabilities Act of 1990, as amended (ADA) </w:t>
                      </w:r>
                      <w:r w:rsidRPr="00030D67">
                        <w:rPr>
                          <w:rFonts w:ascii="Arial" w:hAnsi="Arial" w:cs="Arial"/>
                          <w:b/>
                          <w:bCs/>
                          <w:sz w:val="28"/>
                          <w:szCs w:val="28"/>
                        </w:rPr>
                        <w:br/>
                      </w:r>
                      <w:r w:rsidRPr="00030D67">
                        <w:rPr>
                          <w:rFonts w:ascii="Arial" w:hAnsi="Arial" w:cs="Arial"/>
                          <w:sz w:val="28"/>
                          <w:szCs w:val="28"/>
                        </w:rPr>
                        <w:br/>
                        <w:t xml:space="preserve">Title 1 of the American with Disabilities Act protects individuals with a disability, or a perceived disability from discrimination in the workplace. The definition of a person with a disability is typically defined as someone who: </w:t>
                      </w: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 xml:space="preserve">(1) has a physical or mental impairment that substantially limits one or more "major life activities," </w:t>
                      </w: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 xml:space="preserve">(2) </w:t>
                      </w:r>
                      <w:proofErr w:type="gramStart"/>
                      <w:r w:rsidRPr="00030D67">
                        <w:rPr>
                          <w:rFonts w:ascii="Arial" w:hAnsi="Arial" w:cs="Arial"/>
                          <w:sz w:val="28"/>
                          <w:szCs w:val="28"/>
                        </w:rPr>
                        <w:t>has</w:t>
                      </w:r>
                      <w:proofErr w:type="gramEnd"/>
                      <w:r w:rsidRPr="00030D67">
                        <w:rPr>
                          <w:rFonts w:ascii="Arial" w:hAnsi="Arial" w:cs="Arial"/>
                          <w:sz w:val="28"/>
                          <w:szCs w:val="28"/>
                        </w:rPr>
                        <w:t xml:space="preserve"> a record of such an impairment, or </w:t>
                      </w: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 xml:space="preserve">(3) </w:t>
                      </w:r>
                      <w:proofErr w:type="gramStart"/>
                      <w:r w:rsidRPr="00030D67">
                        <w:rPr>
                          <w:rFonts w:ascii="Arial" w:hAnsi="Arial" w:cs="Arial"/>
                          <w:sz w:val="28"/>
                          <w:szCs w:val="28"/>
                        </w:rPr>
                        <w:t>is</w:t>
                      </w:r>
                      <w:proofErr w:type="gramEnd"/>
                      <w:r w:rsidRPr="00030D67">
                        <w:rPr>
                          <w:rFonts w:ascii="Arial" w:hAnsi="Arial" w:cs="Arial"/>
                          <w:sz w:val="28"/>
                          <w:szCs w:val="28"/>
                        </w:rPr>
                        <w:t xml:space="preserve"> regarded as having such an impairment. </w:t>
                      </w:r>
                    </w:p>
                    <w:p w:rsidR="00030D67" w:rsidRPr="00030D67" w:rsidRDefault="00030D67" w:rsidP="00030D67">
                      <w:pPr>
                        <w:pStyle w:val="ListParagraph"/>
                        <w:rPr>
                          <w:rFonts w:ascii="Arial" w:hAnsi="Arial" w:cs="Arial"/>
                          <w:sz w:val="28"/>
                          <w:szCs w:val="28"/>
                        </w:rPr>
                      </w:pPr>
                    </w:p>
                    <w:p w:rsidR="00030D67" w:rsidRPr="00030D67" w:rsidRDefault="00030D67" w:rsidP="00030D67">
                      <w:pPr>
                        <w:pStyle w:val="ListParagraph"/>
                        <w:rPr>
                          <w:rFonts w:ascii="Arial" w:hAnsi="Arial" w:cs="Arial"/>
                          <w:sz w:val="28"/>
                          <w:szCs w:val="28"/>
                        </w:rPr>
                      </w:pPr>
                      <w:r w:rsidRPr="00030D67">
                        <w:rPr>
                          <w:rFonts w:ascii="Arial" w:hAnsi="Arial" w:cs="Arial"/>
                          <w:sz w:val="28"/>
                          <w:szCs w:val="28"/>
                        </w:rPr>
                        <w:t>Examples of discrimination that would not be acceptable under the ADA may include, but is not limited to, terminating or not extending a job offer to someone based on a real or perceived disability, segregation, and harassment based on a disability. Title 1 also requires employers to provide reasonable accommodations to employees with a disability to allow them to be able to perform the essential duties of their job.</w:t>
                      </w:r>
                    </w:p>
                    <w:p w:rsidR="00030D67" w:rsidRPr="00030D67" w:rsidRDefault="00030D67" w:rsidP="00030D67">
                      <w:pPr>
                        <w:pStyle w:val="ListParagraph"/>
                        <w:rPr>
                          <w:rFonts w:ascii="Arial" w:hAnsi="Arial" w:cs="Arial"/>
                          <w:sz w:val="28"/>
                          <w:szCs w:val="28"/>
                        </w:rPr>
                      </w:pPr>
                      <w:r w:rsidRPr="00030D67">
                        <w:rPr>
                          <w:rFonts w:ascii="Arial" w:hAnsi="Arial" w:cs="Arial"/>
                          <w:strike/>
                          <w:sz w:val="28"/>
                          <w:szCs w:val="28"/>
                        </w:rPr>
                        <w:br/>
                      </w:r>
                      <w:r w:rsidRPr="00030D67">
                        <w:rPr>
                          <w:rFonts w:ascii="Arial" w:hAnsi="Arial" w:cs="Arial"/>
                          <w:sz w:val="28"/>
                          <w:szCs w:val="28"/>
                        </w:rPr>
                        <w:t>Title 5 of the ADA prohibits retaliation and coercion. An individual who exercises their rights or assists others in exercising their rights under the ADA cannot be retaliated against or coerced. Examples would include, but not be limited to, threats, intimidation, excluding, and blocking advancement.</w:t>
                      </w:r>
                      <w:r w:rsidRPr="00030D67">
                        <w:rPr>
                          <w:rFonts w:ascii="Arial" w:hAnsi="Arial" w:cs="Arial"/>
                          <w:sz w:val="28"/>
                          <w:szCs w:val="28"/>
                        </w:rPr>
                        <w:br/>
                      </w:r>
                    </w:p>
                    <w:p w:rsidR="00030D67" w:rsidRPr="00030D67" w:rsidRDefault="00030D67">
                      <w:pPr>
                        <w:rPr>
                          <w:rFonts w:ascii="Arial" w:hAnsi="Arial" w:cs="Arial"/>
                          <w:sz w:val="28"/>
                          <w:szCs w:val="28"/>
                        </w:rPr>
                      </w:pPr>
                    </w:p>
                  </w:txbxContent>
                </v:textbox>
              </v:shape>
            </w:pict>
          </mc:Fallback>
        </mc:AlternateContent>
      </w:r>
      <w:r w:rsidR="00030D67">
        <w:rPr>
          <w:rFonts w:ascii="Arial" w:hAnsi="Arial" w:cs="Arial"/>
          <w:noProof/>
        </w:rPr>
        <mc:AlternateContent>
          <mc:Choice Requires="wps">
            <w:drawing>
              <wp:anchor distT="0" distB="0" distL="114300" distR="114300" simplePos="0" relativeHeight="251662336" behindDoc="0" locked="0" layoutInCell="1" allowOverlap="1" wp14:anchorId="44945C3B" wp14:editId="0AA31782">
                <wp:simplePos x="0" y="0"/>
                <wp:positionH relativeFrom="margin">
                  <wp:posOffset>-295910</wp:posOffset>
                </wp:positionH>
                <wp:positionV relativeFrom="paragraph">
                  <wp:posOffset>-428625</wp:posOffset>
                </wp:positionV>
                <wp:extent cx="6324600" cy="6191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246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D67" w:rsidRPr="00030D67" w:rsidRDefault="00030D67" w:rsidP="00030D67">
                            <w:pPr>
                              <w:pStyle w:val="Title"/>
                              <w:pBdr>
                                <w:bottom w:val="single" w:sz="6" w:space="31" w:color="auto"/>
                              </w:pBdr>
                              <w:jc w:val="center"/>
                              <w:rPr>
                                <w:rFonts w:ascii="Arial" w:hAnsi="Arial" w:cs="Arial"/>
                                <w:color w:val="FFFFFF" w:themeColor="background1"/>
                                <w:sz w:val="40"/>
                                <w:szCs w:val="40"/>
                              </w:rPr>
                            </w:pPr>
                            <w:r w:rsidRPr="00030D67">
                              <w:rPr>
                                <w:rFonts w:ascii="Arial" w:hAnsi="Arial" w:cs="Arial"/>
                                <w:color w:val="FFFFFF" w:themeColor="background1"/>
                                <w:sz w:val="40"/>
                                <w:szCs w:val="40"/>
                              </w:rPr>
                              <w:t>ANTIDISCRIMINATION LAWS IN THE UNITED STATES</w:t>
                            </w:r>
                          </w:p>
                          <w:p w:rsidR="00030D67" w:rsidRPr="00030D67" w:rsidRDefault="00030D67" w:rsidP="00030D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45C3B" id="Text Box 1" o:spid="_x0000_s1027" type="#_x0000_t202" style="position:absolute;margin-left:-23.3pt;margin-top:-33.75pt;width:498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" filled="f" stroked="f" strokeweight=".5pt">
                <v:textbox>
                  <w:txbxContent>
                    <w:p w:rsidR="00030D67" w:rsidRPr="00030D67" w:rsidRDefault="00030D67" w:rsidP="00030D67">
                      <w:pPr>
                        <w:pStyle w:val="Title"/>
                        <w:pBdr>
                          <w:bottom w:val="single" w:sz="6" w:space="31" w:color="auto"/>
                        </w:pBdr>
                        <w:jc w:val="center"/>
                        <w:rPr>
                          <w:rFonts w:ascii="Arial" w:hAnsi="Arial" w:cs="Arial"/>
                          <w:color w:val="FFFFFF" w:themeColor="background1"/>
                          <w:sz w:val="40"/>
                          <w:szCs w:val="40"/>
                        </w:rPr>
                      </w:pPr>
                      <w:r w:rsidRPr="00030D67">
                        <w:rPr>
                          <w:rFonts w:ascii="Arial" w:hAnsi="Arial" w:cs="Arial"/>
                          <w:color w:val="FFFFFF" w:themeColor="background1"/>
                          <w:sz w:val="40"/>
                          <w:szCs w:val="40"/>
                        </w:rPr>
                        <w:t>ANTIDISCRIMINATION LAWS IN THE UNITED STATES</w:t>
                      </w:r>
                    </w:p>
                    <w:p w:rsidR="00030D67" w:rsidRPr="00030D67" w:rsidRDefault="00030D67" w:rsidP="00030D67">
                      <w:pPr>
                        <w:jc w:val="center"/>
                      </w:pPr>
                    </w:p>
                  </w:txbxContent>
                </v:textbox>
                <w10:wrap anchorx="margin"/>
              </v:shape>
            </w:pict>
          </mc:Fallback>
        </mc:AlternateContent>
      </w:r>
    </w:p>
    <w:p w:rsidR="00D74964" w:rsidRPr="00D74964" w:rsidRDefault="00D74964" w:rsidP="00B42E50">
      <w:pPr>
        <w:pStyle w:val="eLg-Normal"/>
        <w:ind w:left="-720" w:right="-360"/>
        <w:rPr>
          <w:rFonts w:ascii="Arial" w:hAnsi="Arial" w:cs="Arial"/>
        </w:rPr>
      </w:pPr>
    </w:p>
    <w:p w:rsidR="0046356A" w:rsidRDefault="0046356A" w:rsidP="00B42E50">
      <w:pPr>
        <w:ind w:left="-720" w:right="-360"/>
        <w:rPr>
          <w:rFonts w:ascii="Arial" w:hAnsi="Arial" w:cs="Arial"/>
          <w:b/>
          <w:sz w:val="24"/>
          <w:szCs w:val="22"/>
        </w:rPr>
      </w:pPr>
    </w:p>
    <w:p w:rsidR="0046356A" w:rsidRDefault="0046356A">
      <w:pPr>
        <w:rPr>
          <w:rFonts w:ascii="Arial" w:hAnsi="Arial" w:cs="Arial"/>
          <w:b/>
          <w:sz w:val="24"/>
          <w:szCs w:val="22"/>
        </w:rPr>
      </w:pPr>
      <w:r>
        <w:rPr>
          <w:rFonts w:ascii="Arial" w:hAnsi="Arial" w:cs="Arial"/>
          <w:b/>
          <w:sz w:val="24"/>
          <w:szCs w:val="22"/>
        </w:rPr>
        <w:br w:type="page"/>
      </w:r>
    </w:p>
    <w:p w:rsidR="00D74964" w:rsidRPr="00D74964" w:rsidRDefault="005F4BF7" w:rsidP="00B42E50">
      <w:pPr>
        <w:ind w:left="-720" w:right="-360"/>
        <w:rPr>
          <w:rFonts w:ascii="Arial" w:hAnsi="Arial" w:cs="Arial"/>
          <w:b/>
          <w:sz w:val="24"/>
          <w:szCs w:val="22"/>
        </w:rPr>
      </w:pPr>
      <w:r>
        <w:rPr>
          <w:rFonts w:ascii="Arial" w:hAnsi="Arial" w:cs="Arial"/>
          <w:noProof/>
        </w:rPr>
        <w:lastRenderedPageBreak/>
        <mc:AlternateContent>
          <mc:Choice Requires="wps">
            <w:drawing>
              <wp:anchor distT="0" distB="0" distL="114300" distR="114300" simplePos="0" relativeHeight="251667456" behindDoc="0" locked="0" layoutInCell="1" allowOverlap="1" wp14:anchorId="593C48F6" wp14:editId="78C7F768">
                <wp:simplePos x="0" y="0"/>
                <wp:positionH relativeFrom="margin">
                  <wp:posOffset>-295910</wp:posOffset>
                </wp:positionH>
                <wp:positionV relativeFrom="paragraph">
                  <wp:posOffset>-428625</wp:posOffset>
                </wp:positionV>
                <wp:extent cx="6324600" cy="619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63246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4BF7" w:rsidRPr="00030D67" w:rsidRDefault="005F4BF7" w:rsidP="005F4BF7">
                            <w:pPr>
                              <w:pStyle w:val="Title"/>
                              <w:pBdr>
                                <w:bottom w:val="single" w:sz="6" w:space="31" w:color="auto"/>
                              </w:pBdr>
                              <w:jc w:val="center"/>
                              <w:rPr>
                                <w:rFonts w:ascii="Arial" w:hAnsi="Arial" w:cs="Arial"/>
                                <w:color w:val="FFFFFF" w:themeColor="background1"/>
                                <w:sz w:val="40"/>
                                <w:szCs w:val="40"/>
                              </w:rPr>
                            </w:pPr>
                            <w:r w:rsidRPr="00030D67">
                              <w:rPr>
                                <w:rFonts w:ascii="Arial" w:hAnsi="Arial" w:cs="Arial"/>
                                <w:color w:val="FFFFFF" w:themeColor="background1"/>
                                <w:sz w:val="40"/>
                                <w:szCs w:val="40"/>
                              </w:rPr>
                              <w:t>ANTIDISCRIMINATION LAWS IN THE UNITED STATES</w:t>
                            </w:r>
                          </w:p>
                          <w:p w:rsidR="005F4BF7" w:rsidRPr="00030D67" w:rsidRDefault="005F4BF7" w:rsidP="005F4BF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C48F6" id="Text Box 4" o:spid="_x0000_s1028" type="#_x0000_t202" style="position:absolute;left:0;text-align:left;margin-left:-23.3pt;margin-top:-33.75pt;width:498pt;height:4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" filled="f" stroked="f" strokeweight=".5pt">
                <v:textbox>
                  <w:txbxContent>
                    <w:p w:rsidR="005F4BF7" w:rsidRPr="00030D67" w:rsidRDefault="005F4BF7" w:rsidP="005F4BF7">
                      <w:pPr>
                        <w:pStyle w:val="Title"/>
                        <w:pBdr>
                          <w:bottom w:val="single" w:sz="6" w:space="31" w:color="auto"/>
                        </w:pBdr>
                        <w:jc w:val="center"/>
                        <w:rPr>
                          <w:rFonts w:ascii="Arial" w:hAnsi="Arial" w:cs="Arial"/>
                          <w:color w:val="FFFFFF" w:themeColor="background1"/>
                          <w:sz w:val="40"/>
                          <w:szCs w:val="40"/>
                        </w:rPr>
                      </w:pPr>
                      <w:r w:rsidRPr="00030D67">
                        <w:rPr>
                          <w:rFonts w:ascii="Arial" w:hAnsi="Arial" w:cs="Arial"/>
                          <w:color w:val="FFFFFF" w:themeColor="background1"/>
                          <w:sz w:val="40"/>
                          <w:szCs w:val="40"/>
                        </w:rPr>
                        <w:t>ANTIDISCRIMINATION LAWS IN THE UNITED STATES</w:t>
                      </w:r>
                    </w:p>
                    <w:p w:rsidR="005F4BF7" w:rsidRPr="00030D67" w:rsidRDefault="005F4BF7" w:rsidP="005F4BF7">
                      <w:pPr>
                        <w:jc w:val="center"/>
                      </w:pPr>
                    </w:p>
                  </w:txbxContent>
                </v:textbox>
                <w10:wrap anchorx="margin"/>
              </v:shape>
            </w:pict>
          </mc:Fallback>
        </mc:AlternateContent>
      </w:r>
    </w:p>
    <w:p w:rsidR="006E5EF9" w:rsidRDefault="006E5EF9" w:rsidP="00B42E50">
      <w:pPr>
        <w:ind w:left="-720" w:right="-360"/>
        <w:rPr>
          <w:rFonts w:ascii="Arial" w:hAnsi="Arial" w:cs="Arial"/>
          <w:sz w:val="22"/>
          <w:szCs w:val="22"/>
        </w:rPr>
      </w:pPr>
    </w:p>
    <w:p w:rsidR="006E5EF9" w:rsidRDefault="0046356A" w:rsidP="00B42E50">
      <w:pPr>
        <w:ind w:left="-720" w:right="-36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14:anchorId="13507130" wp14:editId="1013021A">
                <wp:simplePos x="0" y="0"/>
                <wp:positionH relativeFrom="column">
                  <wp:posOffset>-847725</wp:posOffset>
                </wp:positionH>
                <wp:positionV relativeFrom="paragraph">
                  <wp:posOffset>-457200</wp:posOffset>
                </wp:positionV>
                <wp:extent cx="7248525" cy="9334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248525" cy="933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56A" w:rsidRPr="00611EDD" w:rsidRDefault="0046356A" w:rsidP="00611EDD">
                            <w:pPr>
                              <w:pStyle w:val="ListParagraph"/>
                              <w:rPr>
                                <w:rFonts w:ascii="Arial" w:hAnsi="Arial" w:cs="Arial"/>
                                <w:b/>
                                <w:bCs/>
                                <w:sz w:val="28"/>
                                <w:szCs w:val="28"/>
                              </w:rPr>
                            </w:pPr>
                            <w:r w:rsidRPr="00030D67">
                              <w:rPr>
                                <w:rFonts w:ascii="Arial" w:hAnsi="Arial" w:cs="Arial"/>
                                <w:sz w:val="28"/>
                                <w:szCs w:val="28"/>
                              </w:rPr>
                              <w:br/>
                            </w:r>
                            <w:bookmarkStart w:id="0" w:name="_GoBack"/>
                            <w:bookmarkEnd w:id="0"/>
                            <w:r w:rsidRPr="0046356A">
                              <w:rPr>
                                <w:rFonts w:ascii="Arial" w:hAnsi="Arial" w:cs="Arial"/>
                                <w:sz w:val="28"/>
                                <w:szCs w:val="28"/>
                              </w:rPr>
                              <w:t>Title 5 of the ADA prohibits retaliation and coercion. An individual who exercises their rights or assists others in exercising their rights under the ADA cannot be retaliated against or coerced. Examples would include, but not be limited to, threats, intimidation, excluding, and blocking advancement.</w:t>
                            </w:r>
                            <w:r w:rsidRPr="0046356A">
                              <w:rPr>
                                <w:rFonts w:ascii="Arial" w:hAnsi="Arial" w:cs="Arial"/>
                                <w:sz w:val="28"/>
                                <w:szCs w:val="28"/>
                              </w:rPr>
                              <w:br/>
                            </w:r>
                          </w:p>
                          <w:p w:rsidR="0046356A" w:rsidRPr="00030D67" w:rsidRDefault="0046356A" w:rsidP="0046356A">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07130" id="Text Box 3" o:spid="_x0000_s1029" type="#_x0000_t202" style="position:absolute;left:0;text-align:left;margin-left:-66.75pt;margin-top:-36pt;width:570.7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" filled="f" stroked="f" strokeweight=".5pt">
                <v:textbox>
                  <w:txbxContent>
                    <w:p w:rsidR="0046356A" w:rsidRPr="00611EDD" w:rsidRDefault="0046356A" w:rsidP="00611EDD">
                      <w:pPr>
                        <w:pStyle w:val="ListParagraph"/>
                        <w:rPr>
                          <w:rFonts w:ascii="Arial" w:hAnsi="Arial" w:cs="Arial"/>
                          <w:b/>
                          <w:bCs/>
                          <w:sz w:val="28"/>
                          <w:szCs w:val="28"/>
                        </w:rPr>
                      </w:pPr>
                      <w:r w:rsidRPr="00030D67">
                        <w:rPr>
                          <w:rFonts w:ascii="Arial" w:hAnsi="Arial" w:cs="Arial"/>
                          <w:sz w:val="28"/>
                          <w:szCs w:val="28"/>
                        </w:rPr>
                        <w:br/>
                      </w:r>
                      <w:bookmarkStart w:id="1" w:name="_GoBack"/>
                      <w:bookmarkEnd w:id="1"/>
                      <w:r w:rsidRPr="0046356A">
                        <w:rPr>
                          <w:rFonts w:ascii="Arial" w:hAnsi="Arial" w:cs="Arial"/>
                          <w:sz w:val="28"/>
                          <w:szCs w:val="28"/>
                        </w:rPr>
                        <w:t>Title 5 of the ADA prohibits retaliation and coercion. An individual who exercises their rights or assists others in exercising their rights under the ADA cannot be retaliated against or coerced. Examples would include, but not be limited to, threats, intimidation, excluding, and blocking advancement.</w:t>
                      </w:r>
                      <w:r w:rsidRPr="0046356A">
                        <w:rPr>
                          <w:rFonts w:ascii="Arial" w:hAnsi="Arial" w:cs="Arial"/>
                          <w:sz w:val="28"/>
                          <w:szCs w:val="28"/>
                        </w:rPr>
                        <w:br/>
                      </w:r>
                    </w:p>
                    <w:p w:rsidR="0046356A" w:rsidRPr="00030D67" w:rsidRDefault="0046356A" w:rsidP="0046356A">
                      <w:pPr>
                        <w:rPr>
                          <w:rFonts w:ascii="Arial" w:hAnsi="Arial" w:cs="Arial"/>
                          <w:sz w:val="28"/>
                          <w:szCs w:val="28"/>
                        </w:rPr>
                      </w:pPr>
                    </w:p>
                  </w:txbxContent>
                </v:textbox>
              </v:shape>
            </w:pict>
          </mc:Fallback>
        </mc:AlternateContent>
      </w:r>
    </w:p>
    <w:sectPr w:rsidR="006E5EF9" w:rsidSect="00B42E50">
      <w:headerReference w:type="default" r:id="rId8"/>
      <w:pgSz w:w="11907" w:h="16839" w:code="9"/>
      <w:pgMar w:top="990" w:right="747"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03C" w:rsidRDefault="0033003C" w:rsidP="00D21C94">
      <w:pPr>
        <w:spacing w:after="0" w:line="240" w:lineRule="auto"/>
      </w:pPr>
      <w:r>
        <w:separator/>
      </w:r>
    </w:p>
  </w:endnote>
  <w:endnote w:type="continuationSeparator" w:id="0">
    <w:p w:rsidR="0033003C" w:rsidRDefault="0033003C" w:rsidP="00D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03C" w:rsidRDefault="0033003C" w:rsidP="00D21C94">
      <w:pPr>
        <w:spacing w:after="0" w:line="240" w:lineRule="auto"/>
      </w:pPr>
      <w:r>
        <w:separator/>
      </w:r>
    </w:p>
  </w:footnote>
  <w:footnote w:type="continuationSeparator" w:id="0">
    <w:p w:rsidR="0033003C" w:rsidRDefault="0033003C" w:rsidP="00D21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C94" w:rsidRDefault="00D21C94" w:rsidP="00D21C94">
    <w:pPr>
      <w:pStyle w:val="Header"/>
      <w:ind w:left="-1440"/>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0</wp:posOffset>
          </wp:positionV>
          <wp:extent cx="7575373" cy="10715488"/>
          <wp:effectExtent l="0" t="0" r="6985"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jp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575373" cy="1071548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4ADE"/>
    <w:multiLevelType w:val="hybridMultilevel"/>
    <w:tmpl w:val="F3640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E76388"/>
    <w:multiLevelType w:val="hybridMultilevel"/>
    <w:tmpl w:val="319CB5B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B980863"/>
    <w:multiLevelType w:val="hybridMultilevel"/>
    <w:tmpl w:val="B8B0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D2B4D"/>
    <w:multiLevelType w:val="hybridMultilevel"/>
    <w:tmpl w:val="C5DAB27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3875157"/>
    <w:multiLevelType w:val="hybridMultilevel"/>
    <w:tmpl w:val="57D8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67"/>
    <w:rsid w:val="00026BCA"/>
    <w:rsid w:val="00030D67"/>
    <w:rsid w:val="00097FC8"/>
    <w:rsid w:val="001063ED"/>
    <w:rsid w:val="00150714"/>
    <w:rsid w:val="00165305"/>
    <w:rsid w:val="00177211"/>
    <w:rsid w:val="001E0F64"/>
    <w:rsid w:val="001F1F53"/>
    <w:rsid w:val="00215BB7"/>
    <w:rsid w:val="0025711A"/>
    <w:rsid w:val="002C0C34"/>
    <w:rsid w:val="0033003C"/>
    <w:rsid w:val="0037121F"/>
    <w:rsid w:val="003764DE"/>
    <w:rsid w:val="003973A5"/>
    <w:rsid w:val="00423BC8"/>
    <w:rsid w:val="0046356A"/>
    <w:rsid w:val="00496D1A"/>
    <w:rsid w:val="00546E67"/>
    <w:rsid w:val="00551C54"/>
    <w:rsid w:val="00561006"/>
    <w:rsid w:val="005877A2"/>
    <w:rsid w:val="005F4BF7"/>
    <w:rsid w:val="00605D7C"/>
    <w:rsid w:val="00611EDD"/>
    <w:rsid w:val="00633C63"/>
    <w:rsid w:val="00651799"/>
    <w:rsid w:val="00691ECC"/>
    <w:rsid w:val="006963A1"/>
    <w:rsid w:val="006E5EF9"/>
    <w:rsid w:val="00713AB0"/>
    <w:rsid w:val="00772D66"/>
    <w:rsid w:val="007D6816"/>
    <w:rsid w:val="00804F0D"/>
    <w:rsid w:val="00805BDF"/>
    <w:rsid w:val="00834A0B"/>
    <w:rsid w:val="008A0719"/>
    <w:rsid w:val="009215F8"/>
    <w:rsid w:val="00926B40"/>
    <w:rsid w:val="009D3D01"/>
    <w:rsid w:val="00A50B20"/>
    <w:rsid w:val="00A9702A"/>
    <w:rsid w:val="00AB53F6"/>
    <w:rsid w:val="00B169E8"/>
    <w:rsid w:val="00B42E50"/>
    <w:rsid w:val="00B83814"/>
    <w:rsid w:val="00C041F4"/>
    <w:rsid w:val="00C468E6"/>
    <w:rsid w:val="00C55DBC"/>
    <w:rsid w:val="00CF6B85"/>
    <w:rsid w:val="00D07FF0"/>
    <w:rsid w:val="00D21C94"/>
    <w:rsid w:val="00D332AF"/>
    <w:rsid w:val="00D4012A"/>
    <w:rsid w:val="00D74964"/>
    <w:rsid w:val="00D92D4B"/>
    <w:rsid w:val="00DF167C"/>
    <w:rsid w:val="00E4076A"/>
    <w:rsid w:val="00EE3747"/>
    <w:rsid w:val="00F33918"/>
    <w:rsid w:val="00FA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7443CB-A304-4FD2-A6A9-65143A59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964"/>
  </w:style>
  <w:style w:type="paragraph" w:styleId="Heading1">
    <w:name w:val="heading 1"/>
    <w:basedOn w:val="Normal"/>
    <w:next w:val="Normal"/>
    <w:link w:val="Heading1Char"/>
    <w:uiPriority w:val="9"/>
    <w:qFormat/>
    <w:rsid w:val="00D749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749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749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749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749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749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749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749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749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9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74964"/>
    <w:rPr>
      <w:rFonts w:asciiTheme="majorHAnsi" w:eastAsiaTheme="majorEastAsia" w:hAnsiTheme="majorHAnsi" w:cstheme="majorBidi"/>
      <w:color w:val="262626" w:themeColor="text1" w:themeTint="D9"/>
      <w:spacing w:val="-15"/>
      <w:sz w:val="96"/>
      <w:szCs w:val="96"/>
    </w:rPr>
  </w:style>
  <w:style w:type="character" w:styleId="IntenseReference">
    <w:name w:val="Intense Reference"/>
    <w:basedOn w:val="DefaultParagraphFont"/>
    <w:uiPriority w:val="32"/>
    <w:qFormat/>
    <w:rsid w:val="00D74964"/>
    <w:rPr>
      <w:b/>
      <w:bCs/>
      <w:smallCaps/>
      <w:color w:val="70AD47" w:themeColor="accent6"/>
    </w:rPr>
  </w:style>
  <w:style w:type="paragraph" w:customStyle="1" w:styleId="eLg-Normal">
    <w:name w:val="eLg-Normal"/>
    <w:rsid w:val="00546E67"/>
    <w:pPr>
      <w:spacing w:before="40" w:after="40" w:line="240" w:lineRule="auto"/>
      <w:contextualSpacing/>
    </w:pPr>
  </w:style>
  <w:style w:type="character" w:customStyle="1" w:styleId="Heading1Char">
    <w:name w:val="Heading 1 Char"/>
    <w:basedOn w:val="DefaultParagraphFont"/>
    <w:link w:val="Heading1"/>
    <w:uiPriority w:val="9"/>
    <w:rsid w:val="00D749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749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749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749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749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749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749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749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749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7496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749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74964"/>
    <w:rPr>
      <w:rFonts w:asciiTheme="majorHAnsi" w:eastAsiaTheme="majorEastAsia" w:hAnsiTheme="majorHAnsi" w:cstheme="majorBidi"/>
      <w:sz w:val="30"/>
      <w:szCs w:val="30"/>
    </w:rPr>
  </w:style>
  <w:style w:type="character" w:styleId="Strong">
    <w:name w:val="Strong"/>
    <w:basedOn w:val="DefaultParagraphFont"/>
    <w:uiPriority w:val="22"/>
    <w:qFormat/>
    <w:rsid w:val="00D74964"/>
    <w:rPr>
      <w:b/>
      <w:bCs/>
    </w:rPr>
  </w:style>
  <w:style w:type="character" w:styleId="Emphasis">
    <w:name w:val="Emphasis"/>
    <w:basedOn w:val="DefaultParagraphFont"/>
    <w:uiPriority w:val="20"/>
    <w:qFormat/>
    <w:rsid w:val="00D74964"/>
    <w:rPr>
      <w:i/>
      <w:iCs/>
      <w:color w:val="70AD47" w:themeColor="accent6"/>
    </w:rPr>
  </w:style>
  <w:style w:type="paragraph" w:styleId="NoSpacing">
    <w:name w:val="No Spacing"/>
    <w:uiPriority w:val="1"/>
    <w:qFormat/>
    <w:rsid w:val="00D74964"/>
    <w:pPr>
      <w:spacing w:after="0" w:line="240" w:lineRule="auto"/>
    </w:pPr>
  </w:style>
  <w:style w:type="paragraph" w:styleId="Quote">
    <w:name w:val="Quote"/>
    <w:basedOn w:val="Normal"/>
    <w:next w:val="Normal"/>
    <w:link w:val="QuoteChar"/>
    <w:uiPriority w:val="29"/>
    <w:qFormat/>
    <w:rsid w:val="00D749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74964"/>
    <w:rPr>
      <w:i/>
      <w:iCs/>
      <w:color w:val="262626" w:themeColor="text1" w:themeTint="D9"/>
    </w:rPr>
  </w:style>
  <w:style w:type="paragraph" w:styleId="IntenseQuote">
    <w:name w:val="Intense Quote"/>
    <w:basedOn w:val="Normal"/>
    <w:next w:val="Normal"/>
    <w:link w:val="IntenseQuoteChar"/>
    <w:uiPriority w:val="30"/>
    <w:qFormat/>
    <w:rsid w:val="00D749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749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74964"/>
    <w:rPr>
      <w:i/>
      <w:iCs/>
    </w:rPr>
  </w:style>
  <w:style w:type="character" w:styleId="IntenseEmphasis">
    <w:name w:val="Intense Emphasis"/>
    <w:basedOn w:val="DefaultParagraphFont"/>
    <w:uiPriority w:val="21"/>
    <w:qFormat/>
    <w:rsid w:val="00D74964"/>
    <w:rPr>
      <w:b/>
      <w:bCs/>
      <w:i/>
      <w:iCs/>
    </w:rPr>
  </w:style>
  <w:style w:type="character" w:styleId="SubtleReference">
    <w:name w:val="Subtle Reference"/>
    <w:basedOn w:val="DefaultParagraphFont"/>
    <w:uiPriority w:val="31"/>
    <w:qFormat/>
    <w:rsid w:val="00D74964"/>
    <w:rPr>
      <w:smallCaps/>
      <w:color w:val="595959" w:themeColor="text1" w:themeTint="A6"/>
    </w:rPr>
  </w:style>
  <w:style w:type="character" w:styleId="BookTitle">
    <w:name w:val="Book Title"/>
    <w:basedOn w:val="DefaultParagraphFont"/>
    <w:uiPriority w:val="33"/>
    <w:qFormat/>
    <w:rsid w:val="00D74964"/>
    <w:rPr>
      <w:b/>
      <w:bCs/>
      <w:caps w:val="0"/>
      <w:smallCaps/>
      <w:spacing w:val="7"/>
      <w:sz w:val="21"/>
      <w:szCs w:val="21"/>
    </w:rPr>
  </w:style>
  <w:style w:type="paragraph" w:styleId="TOCHeading">
    <w:name w:val="TOC Heading"/>
    <w:basedOn w:val="Heading1"/>
    <w:next w:val="Normal"/>
    <w:uiPriority w:val="39"/>
    <w:semiHidden/>
    <w:unhideWhenUsed/>
    <w:qFormat/>
    <w:rsid w:val="00D74964"/>
    <w:pPr>
      <w:outlineLvl w:val="9"/>
    </w:pPr>
  </w:style>
  <w:style w:type="paragraph" w:styleId="ListParagraph">
    <w:name w:val="List Paragraph"/>
    <w:basedOn w:val="Normal"/>
    <w:uiPriority w:val="34"/>
    <w:qFormat/>
    <w:rsid w:val="00C468E6"/>
    <w:pPr>
      <w:spacing w:line="276" w:lineRule="auto"/>
      <w:ind w:left="720"/>
      <w:contextualSpacing/>
    </w:pPr>
    <w:rPr>
      <w:sz w:val="22"/>
      <w:szCs w:val="22"/>
    </w:rPr>
  </w:style>
  <w:style w:type="paragraph" w:styleId="Header">
    <w:name w:val="header"/>
    <w:basedOn w:val="Normal"/>
    <w:link w:val="HeaderChar"/>
    <w:uiPriority w:val="99"/>
    <w:unhideWhenUsed/>
    <w:rsid w:val="00D2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C94"/>
  </w:style>
  <w:style w:type="paragraph" w:styleId="Footer">
    <w:name w:val="footer"/>
    <w:basedOn w:val="Normal"/>
    <w:link w:val="FooterChar"/>
    <w:uiPriority w:val="99"/>
    <w:unhideWhenUsed/>
    <w:rsid w:val="00D2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89296-E7E5-4DCA-B8C4-644CFD38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Debalika Dey (Cognizant)</dc:creator>
  <cp:keywords/>
  <dc:description/>
  <cp:lastModifiedBy>Choudhury, Debalika Dey (Cognizant)</cp:lastModifiedBy>
  <cp:revision>7</cp:revision>
  <cp:lastPrinted>2016-01-27T06:31:00Z</cp:lastPrinted>
  <dcterms:created xsi:type="dcterms:W3CDTF">2016-05-10T10:47:00Z</dcterms:created>
  <dcterms:modified xsi:type="dcterms:W3CDTF">2016-05-10T11:03:00Z</dcterms:modified>
</cp:coreProperties>
</file>