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F2" w:rsidRDefault="002B5F45">
      <w:pPr>
        <w:rPr>
          <w:rFonts w:ascii="Palatino-Roman" w:hAnsi="Palatino-Roman"/>
          <w:color w:val="000000"/>
          <w:sz w:val="18"/>
          <w:szCs w:val="18"/>
        </w:rPr>
      </w:pPr>
      <w:bookmarkStart w:id="0" w:name="_GoBack"/>
      <w:bookmarkEnd w:id="0"/>
      <w:r>
        <w:rPr>
          <w:rFonts w:ascii="Palatino-Bold" w:hAnsi="Palatino-Bold"/>
          <w:b/>
          <w:bCs/>
          <w:color w:val="A06317"/>
          <w:sz w:val="18"/>
          <w:szCs w:val="18"/>
        </w:rPr>
        <w:t>FILING OF APPEAL OR APPLICATION FOR REFERENCE</w:t>
      </w:r>
      <w:r w:rsidR="00B47DF2">
        <w:rPr>
          <w:rFonts w:ascii="Palatino-Bold" w:hAnsi="Palatino-Bold"/>
          <w:color w:val="A06317"/>
          <w:sz w:val="18"/>
          <w:szCs w:val="18"/>
        </w:rPr>
        <w:t xml:space="preserve"> </w:t>
      </w:r>
      <w:r>
        <w:rPr>
          <w:rFonts w:ascii="Palatino-Bold" w:hAnsi="Palatino-Bold"/>
          <w:b/>
          <w:bCs/>
          <w:color w:val="A06317"/>
          <w:sz w:val="18"/>
          <w:szCs w:val="18"/>
        </w:rPr>
        <w:t>BY INCOME TAX AUTHORITY– SECTION 268A OF THE</w:t>
      </w:r>
      <w:r w:rsidR="00B47DF2">
        <w:rPr>
          <w:rFonts w:ascii="Palatino-Bold" w:hAnsi="Palatino-Bold"/>
          <w:color w:val="A06317"/>
          <w:sz w:val="18"/>
          <w:szCs w:val="18"/>
        </w:rPr>
        <w:t xml:space="preserve"> </w:t>
      </w:r>
      <w:r>
        <w:rPr>
          <w:rFonts w:ascii="Palatino-Bold" w:hAnsi="Palatino-Bold"/>
          <w:b/>
          <w:bCs/>
          <w:color w:val="A06317"/>
          <w:sz w:val="18"/>
          <w:szCs w:val="18"/>
        </w:rPr>
        <w:t>INCOME TAX ACT, 1961 [238 TAXMAN (</w:t>
      </w:r>
      <w:proofErr w:type="spellStart"/>
      <w:r>
        <w:rPr>
          <w:rFonts w:ascii="Palatino-Bold" w:hAnsi="Palatino-Bold"/>
          <w:b/>
          <w:bCs/>
          <w:color w:val="A06317"/>
          <w:sz w:val="18"/>
          <w:szCs w:val="18"/>
        </w:rPr>
        <w:t>st.</w:t>
      </w:r>
      <w:proofErr w:type="spellEnd"/>
      <w:r>
        <w:rPr>
          <w:rFonts w:ascii="Palatino-Bold" w:hAnsi="Palatino-Bold"/>
          <w:b/>
          <w:bCs/>
          <w:color w:val="A06317"/>
          <w:sz w:val="18"/>
          <w:szCs w:val="18"/>
        </w:rPr>
        <w:t>) 5]</w:t>
      </w:r>
      <w:r w:rsidR="00B47DF2">
        <w:rPr>
          <w:rFonts w:ascii="Palatino-Bold" w:hAnsi="Palatino-Bold"/>
          <w:color w:val="A06317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The monetary limits for filing appeals before the Income Tax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 xml:space="preserve">Appellate Tribunals and High Courts were raised to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10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 xml:space="preserve">lakh and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20 lakh respectively by Circular 21 of 2015, dated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10/12/2015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 xml:space="preserve">The CBDT </w:t>
      </w:r>
      <w:r>
        <w:rPr>
          <w:rFonts w:ascii="Palatino-Italic" w:hAnsi="Palatino-Italic"/>
          <w:i/>
          <w:iCs/>
          <w:color w:val="000000"/>
          <w:sz w:val="18"/>
          <w:szCs w:val="18"/>
        </w:rPr>
        <w:t xml:space="preserve">vide </w:t>
      </w:r>
      <w:r>
        <w:rPr>
          <w:rFonts w:ascii="Palatino-Roman" w:hAnsi="Palatino-Roman"/>
          <w:color w:val="000000"/>
          <w:sz w:val="18"/>
          <w:szCs w:val="18"/>
        </w:rPr>
        <w:t>letter F.No.279/MISC/M-142/2007-ITJ (PART)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 xml:space="preserve">dated 08/03/2016, clarified that monetary limits of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10 lakh for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filing appeals before the Income Tax Appellate Tribunals would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apply equally to cross objections under section 253(4) of the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Act. Cross objections below this monetary limit, already filed,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should be pursued for dismissal as withdrawn/not pressed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The filing of cross objections below the monetary limit may not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be considered henceforth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Similarly, references to High Courts below the monetary limit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 xml:space="preserve">of </w:t>
      </w:r>
      <w:r>
        <w:rPr>
          <w:rFonts w:ascii="RupeeForadian" w:hAnsi="RupeeForadian"/>
          <w:color w:val="000000"/>
          <w:sz w:val="18"/>
          <w:szCs w:val="18"/>
        </w:rPr>
        <w:t xml:space="preserve">` </w:t>
      </w:r>
      <w:r>
        <w:rPr>
          <w:rFonts w:ascii="Palatino-Roman" w:hAnsi="Palatino-Roman"/>
          <w:color w:val="000000"/>
          <w:sz w:val="18"/>
          <w:szCs w:val="18"/>
        </w:rPr>
        <w:t>20 lakh should be pursued for dismissal as withdrawn/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not pressed. References below this limit may not be considered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henceforth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Bold" w:hAnsi="Palatino-Bold"/>
          <w:b/>
          <w:bCs/>
          <w:color w:val="A06317"/>
          <w:sz w:val="18"/>
          <w:szCs w:val="18"/>
        </w:rPr>
        <w:t>ASSOCIATION OF PERSON – ASSESSABLE AS –</w:t>
      </w:r>
      <w:r w:rsidR="00B47DF2">
        <w:rPr>
          <w:rFonts w:ascii="Palatino-Bold" w:hAnsi="Palatino-Bold"/>
          <w:color w:val="A06317"/>
          <w:sz w:val="18"/>
          <w:szCs w:val="18"/>
        </w:rPr>
        <w:t xml:space="preserve"> </w:t>
      </w:r>
      <w:r>
        <w:rPr>
          <w:rFonts w:ascii="Palatino-Bold" w:hAnsi="Palatino-Bold"/>
          <w:b/>
          <w:bCs/>
          <w:color w:val="A06317"/>
          <w:sz w:val="18"/>
          <w:szCs w:val="18"/>
        </w:rPr>
        <w:t>CLARIFICATION REGARDING TAXABILITY OF</w:t>
      </w:r>
      <w:r w:rsidR="00B47DF2">
        <w:rPr>
          <w:rFonts w:ascii="Palatino-Bold" w:hAnsi="Palatino-Bold"/>
          <w:color w:val="A06317"/>
          <w:sz w:val="18"/>
          <w:szCs w:val="18"/>
        </w:rPr>
        <w:t xml:space="preserve"> </w:t>
      </w:r>
      <w:r>
        <w:rPr>
          <w:rFonts w:ascii="Palatino-Bold" w:hAnsi="Palatino-Bold"/>
          <w:b/>
          <w:bCs/>
          <w:color w:val="A06317"/>
          <w:sz w:val="18"/>
          <w:szCs w:val="18"/>
        </w:rPr>
        <w:t>CONSORTIUM MEMBERS – SECTION 4 OF THE INCOME</w:t>
      </w:r>
      <w:r w:rsidR="00B47DF2">
        <w:rPr>
          <w:rFonts w:ascii="Palatino-Bold" w:hAnsi="Palatino-Bold"/>
          <w:color w:val="A06317"/>
          <w:sz w:val="18"/>
          <w:szCs w:val="18"/>
        </w:rPr>
        <w:t xml:space="preserve"> </w:t>
      </w:r>
      <w:r>
        <w:rPr>
          <w:rFonts w:ascii="Palatino-Bold" w:hAnsi="Palatino-Bold"/>
          <w:b/>
          <w:bCs/>
          <w:color w:val="A06317"/>
          <w:sz w:val="18"/>
          <w:szCs w:val="18"/>
        </w:rPr>
        <w:t>TAX ACT, 1961 [238 TAXMAN (</w:t>
      </w:r>
      <w:proofErr w:type="spellStart"/>
      <w:r>
        <w:rPr>
          <w:rFonts w:ascii="Palatino-Bold" w:hAnsi="Palatino-Bold"/>
          <w:b/>
          <w:bCs/>
          <w:color w:val="A06317"/>
          <w:sz w:val="18"/>
          <w:szCs w:val="18"/>
        </w:rPr>
        <w:t>st.</w:t>
      </w:r>
      <w:proofErr w:type="spellEnd"/>
      <w:r>
        <w:rPr>
          <w:rFonts w:ascii="Palatino-Bold" w:hAnsi="Palatino-Bold"/>
          <w:b/>
          <w:bCs/>
          <w:color w:val="A06317"/>
          <w:sz w:val="18"/>
          <w:szCs w:val="18"/>
        </w:rPr>
        <w:t>) 6]</w:t>
      </w:r>
      <w:r w:rsidR="00B47DF2">
        <w:rPr>
          <w:rFonts w:ascii="Palatino-Bold" w:hAnsi="Palatino-Bold"/>
          <w:color w:val="A06317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 xml:space="preserve">1) The CBDT </w:t>
      </w:r>
      <w:r>
        <w:rPr>
          <w:rFonts w:ascii="Palatino-Italic" w:hAnsi="Palatino-Italic"/>
          <w:i/>
          <w:iCs/>
          <w:color w:val="000000"/>
          <w:sz w:val="18"/>
          <w:szCs w:val="18"/>
        </w:rPr>
        <w:t xml:space="preserve">vide </w:t>
      </w:r>
      <w:r>
        <w:rPr>
          <w:rFonts w:ascii="Palatino-Roman" w:hAnsi="Palatino-Roman"/>
          <w:color w:val="000000"/>
          <w:sz w:val="18"/>
          <w:szCs w:val="18"/>
        </w:rPr>
        <w:t>Circular No. 7/2016 dated 7/3/2016 clarified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with a view to avoid tax–disputes and to have consistency in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approach while handling these cases, the Board has decided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that a consortium arrangement for executing EPC/Turnkey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contracts which has the following attributes may not be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treated as an AOP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a) Each member is independently responsible for executing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its part of work through its own resources and also bears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the risk of its scope of work i.e., there is a clear demarcation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in the work and costs between the consortium members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and each member incurs expenditure only in its specified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area of work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b) Each member earns profit or incurs losses, based on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performance of the contract falling strictly within its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scope of work. However, consortium members may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share contract price at gross level only to facilitate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convenience in billing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c) The men and materials used for any area of work are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under the risk and control of respective consortium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members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d) The control and management of the consortium is not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 xml:space="preserve">unified and common management is only for the </w:t>
      </w:r>
      <w:r>
        <w:rPr>
          <w:rFonts w:ascii="Palatino-Italic" w:hAnsi="Palatino-Italic"/>
          <w:i/>
          <w:iCs/>
          <w:color w:val="000000"/>
          <w:sz w:val="18"/>
          <w:szCs w:val="18"/>
        </w:rPr>
        <w:t>inter</w:t>
      </w:r>
      <w:r w:rsidR="00B47DF2">
        <w:rPr>
          <w:rFonts w:ascii="Palatino-Italic" w:hAnsi="Palatino-Italic"/>
          <w:color w:val="000000"/>
          <w:sz w:val="18"/>
          <w:szCs w:val="18"/>
        </w:rPr>
        <w:t xml:space="preserve"> </w:t>
      </w:r>
      <w:r>
        <w:rPr>
          <w:rFonts w:ascii="Palatino-Italic" w:hAnsi="Palatino-Italic"/>
          <w:i/>
          <w:iCs/>
          <w:color w:val="000000"/>
          <w:sz w:val="18"/>
          <w:szCs w:val="18"/>
        </w:rPr>
        <w:t xml:space="preserve">se </w:t>
      </w:r>
      <w:r>
        <w:rPr>
          <w:rFonts w:ascii="Palatino-Roman" w:hAnsi="Palatino-Roman"/>
          <w:color w:val="000000"/>
          <w:sz w:val="18"/>
          <w:szCs w:val="18"/>
        </w:rPr>
        <w:t>co-ordination between the consortium members for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administrative convenience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2) There may be other additional factors also which may justify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that consortium is not as AOP and the same shall depend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upon the specific facts and circumstances of a particular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case, which need to be taken into consideration while taking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 view in the matter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  <w:r w:rsidR="00B47DF2">
        <w:rPr>
          <w:rFonts w:ascii="Palatino-Roman" w:hAnsi="Palatino-Roman"/>
          <w:color w:val="000000"/>
          <w:sz w:val="18"/>
          <w:szCs w:val="18"/>
        </w:rPr>
        <w:br/>
      </w:r>
      <w:r w:rsidR="00B47DF2">
        <w:rPr>
          <w:rFonts w:ascii="Palatino-Roman" w:hAnsi="Palatino-Roman"/>
          <w:color w:val="000000"/>
          <w:sz w:val="18"/>
          <w:szCs w:val="18"/>
        </w:rPr>
        <w:br/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3) It is further clarified that this circular shall not be applicable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in cases where all or some of the members of the consortium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are Associated Enterprises within the meaning of section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92A of the Act. In such cases, the Assessing Officer will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decide whether an AOP is formed or not keeping in view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the relevant provisions of the Act and judicial jurisprudence</w:t>
      </w:r>
      <w:r w:rsidR="00B47DF2"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/>
          <w:color w:val="000000"/>
          <w:sz w:val="18"/>
          <w:szCs w:val="18"/>
        </w:rPr>
        <w:t>on this issue</w:t>
      </w:r>
      <w:r w:rsidR="00B47DF2">
        <w:rPr>
          <w:rFonts w:ascii="Palatino-Roman" w:hAnsi="Palatino-Roman"/>
          <w:color w:val="000000"/>
          <w:sz w:val="18"/>
          <w:szCs w:val="18"/>
        </w:rPr>
        <w:t>.</w:t>
      </w:r>
    </w:p>
    <w:p w:rsidR="00B47DF2" w:rsidRDefault="00B47DF2">
      <w:pPr>
        <w:rPr>
          <w:rFonts w:ascii="Palatino-Roman" w:hAnsi="Palatino-Roman"/>
          <w:color w:val="000000"/>
          <w:sz w:val="18"/>
          <w:szCs w:val="18"/>
        </w:rPr>
      </w:pPr>
    </w:p>
    <w:p w:rsidR="00B1763F" w:rsidRDefault="00B47DF2">
      <w:r>
        <w:rPr>
          <w:rFonts w:ascii="Palatino-Roman" w:hAnsi="Palatino-Roman"/>
          <w:color w:val="000000"/>
          <w:sz w:val="18"/>
          <w:szCs w:val="18"/>
        </w:rPr>
        <w:t xml:space="preserve"> </w:t>
      </w:r>
    </w:p>
    <w:sectPr w:rsidR="00B1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Bold">
    <w:altName w:val="Times New Roman"/>
    <w:panose1 w:val="00000000000000000000"/>
    <w:charset w:val="00"/>
    <w:family w:val="roman"/>
    <w:notTrueType/>
    <w:pitch w:val="default"/>
  </w:font>
  <w:font w:name="RupeeForadi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2B"/>
    <w:rsid w:val="00001B7A"/>
    <w:rsid w:val="00045387"/>
    <w:rsid w:val="000617E3"/>
    <w:rsid w:val="00082E92"/>
    <w:rsid w:val="000B67DE"/>
    <w:rsid w:val="000D0204"/>
    <w:rsid w:val="000D7E04"/>
    <w:rsid w:val="000E1FEA"/>
    <w:rsid w:val="0010278E"/>
    <w:rsid w:val="00133812"/>
    <w:rsid w:val="001363C3"/>
    <w:rsid w:val="001413B9"/>
    <w:rsid w:val="001A4B8A"/>
    <w:rsid w:val="0025668F"/>
    <w:rsid w:val="00273FFC"/>
    <w:rsid w:val="002B5F45"/>
    <w:rsid w:val="002B6B93"/>
    <w:rsid w:val="00372BD5"/>
    <w:rsid w:val="003A33B2"/>
    <w:rsid w:val="003C2FD1"/>
    <w:rsid w:val="003E2A8E"/>
    <w:rsid w:val="003E6508"/>
    <w:rsid w:val="004160BD"/>
    <w:rsid w:val="00495F79"/>
    <w:rsid w:val="00526A7C"/>
    <w:rsid w:val="005335B3"/>
    <w:rsid w:val="005370CD"/>
    <w:rsid w:val="005B3BD9"/>
    <w:rsid w:val="005D73A9"/>
    <w:rsid w:val="00603D21"/>
    <w:rsid w:val="00622C35"/>
    <w:rsid w:val="00634D01"/>
    <w:rsid w:val="00681F88"/>
    <w:rsid w:val="006A484C"/>
    <w:rsid w:val="006C7FF3"/>
    <w:rsid w:val="006D358A"/>
    <w:rsid w:val="006E4163"/>
    <w:rsid w:val="00706BC7"/>
    <w:rsid w:val="007130F3"/>
    <w:rsid w:val="007665E0"/>
    <w:rsid w:val="00794511"/>
    <w:rsid w:val="007E6B14"/>
    <w:rsid w:val="007F3776"/>
    <w:rsid w:val="008709C2"/>
    <w:rsid w:val="008B519D"/>
    <w:rsid w:val="008C6BD4"/>
    <w:rsid w:val="008E37DE"/>
    <w:rsid w:val="009221D7"/>
    <w:rsid w:val="0093410B"/>
    <w:rsid w:val="00986418"/>
    <w:rsid w:val="009C140B"/>
    <w:rsid w:val="009D1FBC"/>
    <w:rsid w:val="00A06EE8"/>
    <w:rsid w:val="00A535AD"/>
    <w:rsid w:val="00A6122B"/>
    <w:rsid w:val="00A620CF"/>
    <w:rsid w:val="00AA1CD0"/>
    <w:rsid w:val="00AA2DB0"/>
    <w:rsid w:val="00B03DBC"/>
    <w:rsid w:val="00B05D2D"/>
    <w:rsid w:val="00B1763F"/>
    <w:rsid w:val="00B351E8"/>
    <w:rsid w:val="00B410FC"/>
    <w:rsid w:val="00B47DF2"/>
    <w:rsid w:val="00B53813"/>
    <w:rsid w:val="00B731D2"/>
    <w:rsid w:val="00BF6696"/>
    <w:rsid w:val="00C11B8C"/>
    <w:rsid w:val="00C33E78"/>
    <w:rsid w:val="00C66B61"/>
    <w:rsid w:val="00C85610"/>
    <w:rsid w:val="00C8737A"/>
    <w:rsid w:val="00CB68E1"/>
    <w:rsid w:val="00D00CF7"/>
    <w:rsid w:val="00D16A65"/>
    <w:rsid w:val="00D75CDE"/>
    <w:rsid w:val="00E362EA"/>
    <w:rsid w:val="00E43755"/>
    <w:rsid w:val="00E6538A"/>
    <w:rsid w:val="00F011E3"/>
    <w:rsid w:val="00F07A5B"/>
    <w:rsid w:val="00F455A3"/>
    <w:rsid w:val="00FA6654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C2B4"/>
  <w15:chartTrackingRefBased/>
  <w15:docId w15:val="{B33138B3-6D42-4862-B4F3-1F746224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Pugalia</dc:creator>
  <cp:keywords/>
  <dc:description/>
  <cp:lastModifiedBy>Debayan Karmohapatra</cp:lastModifiedBy>
  <cp:revision>3</cp:revision>
  <dcterms:created xsi:type="dcterms:W3CDTF">2016-07-12T20:49:00Z</dcterms:created>
  <dcterms:modified xsi:type="dcterms:W3CDTF">2018-04-26T04:14:00Z</dcterms:modified>
</cp:coreProperties>
</file>