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43" w:rsidRPr="00FE215E" w:rsidRDefault="00FE215E" w:rsidP="00FE215E">
      <w:r>
        <w:rPr>
          <w:rFonts w:ascii="Sabon-Bold" w:hAnsi="Sabon-Bold"/>
          <w:b/>
          <w:bCs/>
          <w:color w:val="9F6124"/>
          <w:sz w:val="18"/>
          <w:szCs w:val="18"/>
        </w:rPr>
        <w:t>7.2.3 Discharge/design discharge</w:t>
      </w:r>
      <w:r>
        <w:rPr>
          <w:rFonts w:ascii="Sabon-Bold" w:hAnsi="Sabon-Bold"/>
          <w:color w:val="9F6124"/>
          <w:sz w:val="18"/>
          <w:szCs w:val="18"/>
        </w:rPr>
        <w:br/>
      </w:r>
      <w:r>
        <w:rPr>
          <w:rFonts w:ascii="Sabon-Roman" w:hAnsi="Sabon-Roman"/>
          <w:color w:val="000000"/>
          <w:sz w:val="18"/>
          <w:szCs w:val="18"/>
        </w:rPr>
        <w:t>The discharge available for energy production depends on</w:t>
      </w:r>
      <w:r>
        <w:rPr>
          <w:rFonts w:ascii="Sabon-Roman" w:hAnsi="Sabon-Roman"/>
          <w:color w:val="000000"/>
          <w:sz w:val="18"/>
          <w:szCs w:val="18"/>
        </w:rPr>
        <w:br/>
        <w:t>hydrology, the ecological flow to remain in the riverbed</w:t>
      </w:r>
      <w:proofErr w:type="gramStart"/>
      <w:r>
        <w:rPr>
          <w:rFonts w:ascii="Sabon-Roman" w:hAnsi="Sabon-Roman"/>
          <w:color w:val="000000"/>
          <w:sz w:val="18"/>
          <w:szCs w:val="18"/>
        </w:rPr>
        <w:t>,</w:t>
      </w:r>
      <w:proofErr w:type="gramEnd"/>
      <w:r>
        <w:rPr>
          <w:rFonts w:ascii="Sabon-Roman" w:hAnsi="Sabon-Roman"/>
          <w:color w:val="000000"/>
          <w:sz w:val="18"/>
          <w:szCs w:val="18"/>
        </w:rPr>
        <w:br/>
        <w:t>irrigation requirements, leakage, evaporation, and other water</w:t>
      </w:r>
      <w:r>
        <w:rPr>
          <w:rFonts w:ascii="Sabon-Roman" w:hAnsi="Sabon-Roman"/>
          <w:color w:val="000000"/>
          <w:sz w:val="18"/>
          <w:szCs w:val="18"/>
        </w:rPr>
        <w:br/>
        <w:t>consumption.</w:t>
      </w:r>
      <w:r>
        <w:rPr>
          <w:rFonts w:ascii="Sabon-Roman" w:hAnsi="Sabon-Roman"/>
          <w:color w:val="000000"/>
          <w:sz w:val="18"/>
          <w:szCs w:val="18"/>
        </w:rPr>
        <w:br/>
        <w:t>A flow duration curve (FDC) is a statistical representation</w:t>
      </w:r>
      <w:r>
        <w:rPr>
          <w:rFonts w:ascii="Sabon-Roman" w:hAnsi="Sabon-Roman"/>
          <w:color w:val="000000"/>
          <w:sz w:val="18"/>
          <w:szCs w:val="18"/>
        </w:rPr>
        <w:br/>
        <w:t xml:space="preserve">of the amount of </w:t>
      </w:r>
      <w:proofErr w:type="spellStart"/>
      <w:r>
        <w:rPr>
          <w:rFonts w:ascii="Sabon-Roman" w:hAnsi="Sabon-Roman"/>
          <w:color w:val="000000"/>
          <w:sz w:val="18"/>
          <w:szCs w:val="18"/>
        </w:rPr>
        <w:t>hydrologically</w:t>
      </w:r>
      <w:proofErr w:type="spellEnd"/>
      <w:r>
        <w:rPr>
          <w:rFonts w:ascii="Sabon-Roman" w:hAnsi="Sabon-Roman"/>
          <w:color w:val="000000"/>
          <w:sz w:val="18"/>
          <w:szCs w:val="18"/>
        </w:rPr>
        <w:t xml:space="preserve"> available water, and the</w:t>
      </w:r>
      <w:r>
        <w:rPr>
          <w:rFonts w:ascii="Sabon-Roman" w:hAnsi="Sabon-Roman"/>
          <w:color w:val="000000"/>
          <w:sz w:val="18"/>
          <w:szCs w:val="18"/>
        </w:rPr>
        <w:br/>
        <w:t>distribution or characteristics of annual flows. A rather flat</w:t>
      </w:r>
      <w:r>
        <w:rPr>
          <w:rFonts w:ascii="Sabon-Roman" w:hAnsi="Sabon-Roman"/>
          <w:color w:val="000000"/>
          <w:sz w:val="18"/>
          <w:szCs w:val="18"/>
        </w:rPr>
        <w:br/>
        <w:t>FDC implies a constant flow with low fluctuations and small</w:t>
      </w:r>
      <w:r>
        <w:rPr>
          <w:rFonts w:ascii="Sabon-Roman" w:hAnsi="Sabon-Roman"/>
          <w:color w:val="000000"/>
          <w:sz w:val="18"/>
          <w:szCs w:val="18"/>
        </w:rPr>
        <w:br/>
        <w:t>differences between low and high flows. A steep FDC indicates</w:t>
      </w:r>
      <w:r>
        <w:rPr>
          <w:rFonts w:ascii="Sabon-Roman" w:hAnsi="Sabon-Roman"/>
          <w:color w:val="000000"/>
          <w:sz w:val="18"/>
          <w:szCs w:val="18"/>
        </w:rPr>
        <w:br/>
        <w:t>large flow differences between dry and flood seasons, and high</w:t>
      </w:r>
      <w:r>
        <w:rPr>
          <w:rFonts w:ascii="Sabon-Roman" w:hAnsi="Sabon-Roman"/>
          <w:color w:val="000000"/>
          <w:sz w:val="18"/>
          <w:szCs w:val="18"/>
        </w:rPr>
        <w:br/>
        <w:t>variability.</w:t>
      </w:r>
      <w:r>
        <w:rPr>
          <w:rFonts w:ascii="Sabon-Roman" w:hAnsi="Sabon-Roman"/>
          <w:color w:val="000000"/>
          <w:sz w:val="18"/>
          <w:szCs w:val="18"/>
        </w:rPr>
        <w:br/>
        <w:t>Typically, the choice of design discharge—a run-of-river</w:t>
      </w:r>
      <w:r>
        <w:rPr>
          <w:rFonts w:ascii="Sabon-Roman" w:hAnsi="Sabon-Roman"/>
          <w:color w:val="000000"/>
          <w:sz w:val="18"/>
          <w:szCs w:val="18"/>
        </w:rPr>
        <w:br/>
        <w:t>scheme or a storage power plant—is based on hydrological</w:t>
      </w:r>
      <w:r>
        <w:rPr>
          <w:rFonts w:ascii="Sabon-Roman" w:hAnsi="Sabon-Roman"/>
          <w:color w:val="000000"/>
          <w:sz w:val="18"/>
          <w:szCs w:val="18"/>
        </w:rPr>
        <w:br/>
        <w:t>characteristics, in addition to energy demand, topographical</w:t>
      </w:r>
      <w:r>
        <w:rPr>
          <w:rFonts w:ascii="Sabon-Roman" w:hAnsi="Sabon-Roman"/>
          <w:color w:val="000000"/>
          <w:sz w:val="18"/>
          <w:szCs w:val="18"/>
        </w:rPr>
        <w:br/>
        <w:t>conditions, environmental and social considerations, and other</w:t>
      </w:r>
      <w:r>
        <w:rPr>
          <w:rFonts w:ascii="Sabon-Roman" w:hAnsi="Sabon-Roman"/>
          <w:color w:val="000000"/>
          <w:sz w:val="18"/>
          <w:szCs w:val="18"/>
        </w:rPr>
        <w:br/>
        <w:t>factors.</w:t>
      </w:r>
      <w:r>
        <w:rPr>
          <w:rFonts w:ascii="Sabon-Roman" w:hAnsi="Sabon-Roman"/>
          <w:color w:val="000000"/>
          <w:sz w:val="18"/>
          <w:szCs w:val="18"/>
        </w:rPr>
        <w:br/>
        <w:t>Besides general considerations, design discharge selection for</w:t>
      </w:r>
      <w:r>
        <w:rPr>
          <w:rFonts w:ascii="Sabon-Roman" w:hAnsi="Sabon-Roman"/>
          <w:color w:val="000000"/>
          <w:sz w:val="18"/>
          <w:szCs w:val="18"/>
        </w:rPr>
        <w:br/>
        <w:t>specific conditions of topography, hydrology and geology should</w:t>
      </w:r>
      <w:r>
        <w:rPr>
          <w:rFonts w:ascii="Sabon-Roman" w:hAnsi="Sabon-Roman"/>
          <w:color w:val="000000"/>
          <w:sz w:val="18"/>
          <w:szCs w:val="18"/>
        </w:rPr>
        <w:br/>
        <w:t>be based on an optimization procedure to maximize natural</w:t>
      </w:r>
      <w:r>
        <w:rPr>
          <w:rFonts w:ascii="Sabon-Roman" w:hAnsi="Sabon-Roman"/>
          <w:color w:val="000000"/>
          <w:sz w:val="18"/>
          <w:szCs w:val="18"/>
        </w:rPr>
        <w:br/>
        <w:t>resource exploitation while satisfying private and public interests.</w:t>
      </w:r>
      <w:r>
        <w:rPr>
          <w:rFonts w:ascii="Sabon-Roman" w:hAnsi="Sabon-Roman"/>
          <w:color w:val="000000"/>
          <w:sz w:val="18"/>
          <w:szCs w:val="18"/>
        </w:rPr>
        <w:br/>
        <w:t>The design discharge is optimized by comparing project</w:t>
      </w:r>
      <w:r>
        <w:rPr>
          <w:rFonts w:ascii="Sabon-Roman" w:hAnsi="Sabon-Roman"/>
          <w:color w:val="000000"/>
          <w:sz w:val="18"/>
          <w:szCs w:val="18"/>
        </w:rPr>
        <w:br/>
        <w:t>benefit/cost for each design discharge alternative. This is done by</w:t>
      </w:r>
      <w:r>
        <w:rPr>
          <w:rFonts w:ascii="Sabon-Roman" w:hAnsi="Sabon-Roman"/>
          <w:color w:val="000000"/>
          <w:sz w:val="18"/>
          <w:szCs w:val="18"/>
        </w:rPr>
        <w:br/>
        <w:t>discounting CAPEX (capital expenditure), OPEX (operational</w:t>
      </w:r>
      <w:r>
        <w:rPr>
          <w:rFonts w:ascii="Sabon-Roman" w:hAnsi="Sabon-Roman"/>
          <w:color w:val="000000"/>
          <w:sz w:val="18"/>
          <w:szCs w:val="18"/>
        </w:rPr>
        <w:br/>
        <w:t>expenditure) and revenues from electricity generation, and</w:t>
      </w:r>
      <w:r>
        <w:rPr>
          <w:rFonts w:ascii="Sabon-Roman" w:hAnsi="Sabon-Roman"/>
          <w:color w:val="000000"/>
          <w:sz w:val="18"/>
          <w:szCs w:val="18"/>
        </w:rPr>
        <w:br/>
        <w:t>calculating financial indicators for each alternative. As financial</w:t>
      </w:r>
      <w:r>
        <w:rPr>
          <w:rFonts w:ascii="Sabon-Roman" w:hAnsi="Sabon-Roman"/>
          <w:color w:val="000000"/>
          <w:sz w:val="18"/>
          <w:szCs w:val="18"/>
        </w:rPr>
        <w:br/>
        <w:t>indicators, usually the internal rate of return (IRR), the net</w:t>
      </w:r>
      <w:r>
        <w:rPr>
          <w:rFonts w:ascii="Sabon-Roman" w:hAnsi="Sabon-Roman"/>
          <w:color w:val="000000"/>
          <w:sz w:val="18"/>
          <w:szCs w:val="18"/>
        </w:rPr>
        <w:br/>
        <w:t xml:space="preserve">present value (NPV), benefit/cost (B/C) ratio and the </w:t>
      </w:r>
      <w:proofErr w:type="spellStart"/>
      <w:r>
        <w:rPr>
          <w:rFonts w:ascii="Sabon-Roman" w:hAnsi="Sabon-Roman"/>
          <w:color w:val="000000"/>
          <w:sz w:val="18"/>
          <w:szCs w:val="18"/>
        </w:rPr>
        <w:t>levelized</w:t>
      </w:r>
      <w:proofErr w:type="spellEnd"/>
      <w:r>
        <w:rPr>
          <w:rFonts w:ascii="Sabon-Roman" w:hAnsi="Sabon-Roman"/>
          <w:color w:val="000000"/>
          <w:sz w:val="18"/>
          <w:szCs w:val="18"/>
        </w:rPr>
        <w:br/>
        <w:t>cost of electricity generation (LCOE) are used.</w:t>
      </w:r>
      <w:r>
        <w:rPr>
          <w:rFonts w:ascii="Sabon-Roman" w:hAnsi="Sabon-Roman"/>
          <w:color w:val="000000"/>
          <w:sz w:val="18"/>
          <w:szCs w:val="18"/>
        </w:rPr>
        <w:br/>
        <w:t>Figure 7-5 shows an example of the estimated IRR in</w:t>
      </w:r>
      <w:r>
        <w:rPr>
          <w:rFonts w:ascii="Sabon-Roman" w:hAnsi="Sabon-Roman"/>
          <w:color w:val="000000"/>
          <w:sz w:val="18"/>
          <w:szCs w:val="18"/>
        </w:rPr>
        <w:br/>
        <w:t>relation to the design discharge; the optimum design discharge</w:t>
      </w:r>
      <w:r>
        <w:rPr>
          <w:rFonts w:ascii="Sabon-Roman" w:hAnsi="Sabon-Roman"/>
          <w:color w:val="000000"/>
          <w:sz w:val="18"/>
          <w:szCs w:val="18"/>
        </w:rPr>
        <w:br/>
        <w:t>is reached at 51 m³/s. Stepwise changes of the IRR are caused by</w:t>
      </w:r>
      <w:r>
        <w:rPr>
          <w:rFonts w:ascii="Sabon-Roman" w:hAnsi="Sabon-Roman"/>
          <w:color w:val="000000"/>
          <w:sz w:val="18"/>
          <w:szCs w:val="18"/>
        </w:rPr>
        <w:br/>
        <w:t>stepwise changes of costs of different turbine units and changes</w:t>
      </w:r>
      <w:r>
        <w:rPr>
          <w:rFonts w:ascii="Sabon-Roman" w:hAnsi="Sabon-Roman"/>
          <w:color w:val="000000"/>
          <w:sz w:val="18"/>
          <w:szCs w:val="18"/>
        </w:rPr>
        <w:br/>
        <w:t>to penstock diameter.</w:t>
      </w:r>
      <w:bookmarkStart w:id="0" w:name="_GoBack"/>
      <w:bookmarkEnd w:id="0"/>
    </w:p>
    <w:sectPr w:rsidR="002A7643" w:rsidRPr="00FE215E" w:rsidSect="00BB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Bold">
    <w:altName w:val="Times New Roman"/>
    <w:panose1 w:val="00000000000000000000"/>
    <w:charset w:val="00"/>
    <w:family w:val="roman"/>
    <w:notTrueType/>
    <w:pitch w:val="default"/>
  </w:font>
  <w:font w:name="Sabon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1B"/>
    <w:rsid w:val="0001002E"/>
    <w:rsid w:val="00100102"/>
    <w:rsid w:val="00144249"/>
    <w:rsid w:val="0026762C"/>
    <w:rsid w:val="003A7BD4"/>
    <w:rsid w:val="00481978"/>
    <w:rsid w:val="00534BBA"/>
    <w:rsid w:val="006052B8"/>
    <w:rsid w:val="006A709E"/>
    <w:rsid w:val="006F548D"/>
    <w:rsid w:val="00963FD5"/>
    <w:rsid w:val="00975F96"/>
    <w:rsid w:val="00AA44E6"/>
    <w:rsid w:val="00AF3E09"/>
    <w:rsid w:val="00B74860"/>
    <w:rsid w:val="00BB630D"/>
    <w:rsid w:val="00BF52F5"/>
    <w:rsid w:val="00BF59CA"/>
    <w:rsid w:val="00C6276C"/>
    <w:rsid w:val="00CC661D"/>
    <w:rsid w:val="00D77E19"/>
    <w:rsid w:val="00FC6C1B"/>
    <w:rsid w:val="00FE2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38C71-F1F3-47EB-9CF9-96E463A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Learning</dc:creator>
  <cp:keywords/>
  <dc:description/>
  <cp:lastModifiedBy>Rishabh Pugalia</cp:lastModifiedBy>
  <cp:revision>2</cp:revision>
  <dcterms:created xsi:type="dcterms:W3CDTF">2016-02-03T09:27:00Z</dcterms:created>
  <dcterms:modified xsi:type="dcterms:W3CDTF">2017-10-05T01:18:00Z</dcterms:modified>
</cp:coreProperties>
</file>