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3F" w:rsidRDefault="002B5F45">
      <w:r>
        <w:rPr>
          <w:rFonts w:ascii="Palatino-Bold" w:hAnsi="Palatino-Bold"/>
          <w:b/>
          <w:bCs/>
          <w:color w:val="A06317"/>
          <w:sz w:val="18"/>
          <w:szCs w:val="18"/>
        </w:rPr>
        <w:t>FILING OF APPEAL OR APPLICATION FOR REFERENCE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BY INCOME TAX AUTHORITY– SECTION 268A OF THE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INCOME TAX ACT, 1961 [238 TAXMAN (</w:t>
      </w:r>
      <w:proofErr w:type="spellStart"/>
      <w:r>
        <w:rPr>
          <w:rFonts w:ascii="Palatino-Bold" w:hAnsi="Palatino-Bold"/>
          <w:b/>
          <w:bCs/>
          <w:color w:val="A06317"/>
          <w:sz w:val="18"/>
          <w:szCs w:val="18"/>
        </w:rPr>
        <w:t>st.</w:t>
      </w:r>
      <w:proofErr w:type="spellEnd"/>
      <w:r>
        <w:rPr>
          <w:rFonts w:ascii="Palatino-Bold" w:hAnsi="Palatino-Bold"/>
          <w:b/>
          <w:bCs/>
          <w:color w:val="A06317"/>
          <w:sz w:val="18"/>
          <w:szCs w:val="18"/>
        </w:rPr>
        <w:t>) 5]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Roman" w:hAnsi="Palatino-Roman"/>
          <w:color w:val="000000"/>
          <w:sz w:val="18"/>
          <w:szCs w:val="18"/>
        </w:rPr>
        <w:t>The monetary limits for filing appeals before the Income Tax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Appellate Tribunals and High Courts were raised to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10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lakh and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20 lakh respectively by Circular 21 of 2015, dated</w:t>
      </w:r>
      <w:r>
        <w:rPr>
          <w:rFonts w:ascii="Palatino-Roman" w:hAnsi="Palatino-Roman"/>
          <w:color w:val="000000"/>
          <w:sz w:val="18"/>
          <w:szCs w:val="18"/>
        </w:rPr>
        <w:br/>
        <w:t>10/12/2015.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The CBDT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vide </w:t>
      </w:r>
      <w:r>
        <w:rPr>
          <w:rFonts w:ascii="Palatino-Roman" w:hAnsi="Palatino-Roman"/>
          <w:color w:val="000000"/>
          <w:sz w:val="18"/>
          <w:szCs w:val="18"/>
        </w:rPr>
        <w:t>letter F.No.279/MISC/M-142/2007-ITJ (PART)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dated 08/03/2016, clarified that monetary limits of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10 lakh for</w:t>
      </w:r>
      <w:r>
        <w:rPr>
          <w:rFonts w:ascii="Palatino-Roman" w:hAnsi="Palatino-Roman"/>
          <w:color w:val="000000"/>
          <w:sz w:val="18"/>
          <w:szCs w:val="18"/>
        </w:rPr>
        <w:br/>
        <w:t>filing appeals before the Income Tax Appellate Tribunals would</w:t>
      </w:r>
      <w:r>
        <w:rPr>
          <w:rFonts w:ascii="Palatino-Roman" w:hAnsi="Palatino-Roman"/>
          <w:color w:val="000000"/>
          <w:sz w:val="18"/>
          <w:szCs w:val="18"/>
        </w:rPr>
        <w:br/>
        <w:t>apply equally to cross objections under section 253(4) of the</w:t>
      </w:r>
      <w:r>
        <w:rPr>
          <w:rFonts w:ascii="Palatino-Roman" w:hAnsi="Palatino-Roman"/>
          <w:color w:val="000000"/>
          <w:sz w:val="18"/>
          <w:szCs w:val="18"/>
        </w:rPr>
        <w:br/>
        <w:t>Act. Cross objections below this monetary limit, already filed</w:t>
      </w:r>
      <w:proofErr w:type="gramStart"/>
      <w:r>
        <w:rPr>
          <w:rFonts w:ascii="Palatino-Roman" w:hAnsi="Palatino-Roman"/>
          <w:color w:val="000000"/>
          <w:sz w:val="18"/>
          <w:szCs w:val="18"/>
        </w:rPr>
        <w:t>,</w:t>
      </w:r>
      <w:proofErr w:type="gramEnd"/>
      <w:r>
        <w:rPr>
          <w:rFonts w:ascii="Palatino-Roman" w:hAnsi="Palatino-Roman"/>
          <w:color w:val="000000"/>
          <w:sz w:val="18"/>
          <w:szCs w:val="18"/>
        </w:rPr>
        <w:br/>
        <w:t>should be pursued for dismissal as withdrawn/not pressed.</w:t>
      </w:r>
      <w:r>
        <w:rPr>
          <w:rFonts w:ascii="Palatino-Roman" w:hAnsi="Palatino-Roman"/>
          <w:color w:val="000000"/>
          <w:sz w:val="18"/>
          <w:szCs w:val="18"/>
        </w:rPr>
        <w:br/>
        <w:t>The filing of cross objections below the monetary limit may not</w:t>
      </w:r>
      <w:r>
        <w:rPr>
          <w:rFonts w:ascii="Palatino-Roman" w:hAnsi="Palatino-Roman"/>
          <w:color w:val="000000"/>
          <w:sz w:val="18"/>
          <w:szCs w:val="18"/>
        </w:rPr>
        <w:br/>
        <w:t>be considered henceforth.</w:t>
      </w:r>
      <w:r>
        <w:rPr>
          <w:rFonts w:ascii="Palatino-Roman" w:hAnsi="Palatino-Roman"/>
          <w:color w:val="000000"/>
          <w:sz w:val="18"/>
          <w:szCs w:val="18"/>
        </w:rPr>
        <w:br/>
        <w:t>Similarly, references to High Courts below the monetary limit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of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20 lakh should be pursued for dismissal as withdrawn/</w:t>
      </w:r>
      <w:r>
        <w:rPr>
          <w:rFonts w:ascii="Palatino-Roman" w:hAnsi="Palatino-Roman"/>
          <w:color w:val="000000"/>
          <w:sz w:val="18"/>
          <w:szCs w:val="18"/>
        </w:rPr>
        <w:br/>
        <w:t>not pressed. References below this limit may not be considered</w:t>
      </w:r>
      <w:r>
        <w:rPr>
          <w:rFonts w:ascii="Palatino-Roman" w:hAnsi="Palatino-Roman"/>
          <w:color w:val="000000"/>
          <w:sz w:val="18"/>
          <w:szCs w:val="18"/>
        </w:rPr>
        <w:br/>
        <w:t>henceforth.</w:t>
      </w:r>
      <w:r>
        <w:rPr>
          <w:rFonts w:ascii="Palatino-Roman" w:hAnsi="Palatino-Roman"/>
          <w:color w:val="000000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ASSOCIATION OF PERSON – ASSESSABLE AS –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CLARIFICATION REGARDING TAXABILITY OF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CONSORTIUM MEMBERS – SECTION 4 OF THE INCOME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Bold" w:hAnsi="Palatino-Bold"/>
          <w:b/>
          <w:bCs/>
          <w:color w:val="A06317"/>
          <w:sz w:val="18"/>
          <w:szCs w:val="18"/>
        </w:rPr>
        <w:t>TAX ACT, 1961 [238 TAXMAN (</w:t>
      </w:r>
      <w:proofErr w:type="spellStart"/>
      <w:r>
        <w:rPr>
          <w:rFonts w:ascii="Palatino-Bold" w:hAnsi="Palatino-Bold"/>
          <w:b/>
          <w:bCs/>
          <w:color w:val="A06317"/>
          <w:sz w:val="18"/>
          <w:szCs w:val="18"/>
        </w:rPr>
        <w:t>st.</w:t>
      </w:r>
      <w:proofErr w:type="spellEnd"/>
      <w:r>
        <w:rPr>
          <w:rFonts w:ascii="Palatino-Bold" w:hAnsi="Palatino-Bold"/>
          <w:b/>
          <w:bCs/>
          <w:color w:val="A06317"/>
          <w:sz w:val="18"/>
          <w:szCs w:val="18"/>
        </w:rPr>
        <w:t>) 6]</w:t>
      </w:r>
      <w:r>
        <w:rPr>
          <w:rFonts w:ascii="Palatino-Bold" w:hAnsi="Palatino-Bold"/>
          <w:color w:val="A06317"/>
          <w:sz w:val="18"/>
          <w:szCs w:val="18"/>
        </w:rPr>
        <w:br/>
      </w:r>
      <w:r>
        <w:rPr>
          <w:rFonts w:ascii="Palatino-Roman" w:hAnsi="Palatino-Roman"/>
          <w:color w:val="000000"/>
          <w:sz w:val="18"/>
          <w:szCs w:val="18"/>
        </w:rPr>
        <w:t xml:space="preserve">1) The CBDT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vide </w:t>
      </w:r>
      <w:r>
        <w:rPr>
          <w:rFonts w:ascii="Palatino-Roman" w:hAnsi="Palatino-Roman"/>
          <w:color w:val="000000"/>
          <w:sz w:val="18"/>
          <w:szCs w:val="18"/>
        </w:rPr>
        <w:t>Circular No. 7/2016 dated 7/3/2016 clarified</w:t>
      </w:r>
      <w:r>
        <w:rPr>
          <w:rFonts w:ascii="Palatino-Roman" w:hAnsi="Palatino-Roman"/>
          <w:color w:val="000000"/>
          <w:sz w:val="18"/>
          <w:szCs w:val="18"/>
        </w:rPr>
        <w:br/>
        <w:t>with a view to avoid tax–disputes and to have consistency in</w:t>
      </w:r>
      <w:r>
        <w:rPr>
          <w:rFonts w:ascii="Palatino-Roman" w:hAnsi="Palatino-Roman"/>
          <w:color w:val="000000"/>
          <w:sz w:val="18"/>
          <w:szCs w:val="18"/>
        </w:rPr>
        <w:br/>
        <w:t>approach while handling these cases, the Board has decided</w:t>
      </w:r>
      <w:r>
        <w:rPr>
          <w:rFonts w:ascii="Palatino-Roman" w:hAnsi="Palatino-Roman"/>
          <w:color w:val="000000"/>
          <w:sz w:val="18"/>
          <w:szCs w:val="18"/>
        </w:rPr>
        <w:br/>
        <w:t>that a consortium arrangement for executing EPC/Turnkey</w:t>
      </w:r>
      <w:r>
        <w:rPr>
          <w:rFonts w:ascii="Palatino-Roman" w:hAnsi="Palatino-Roman"/>
          <w:color w:val="000000"/>
          <w:sz w:val="18"/>
          <w:szCs w:val="18"/>
        </w:rPr>
        <w:br/>
        <w:t>contracts which has the following attributes may not be</w:t>
      </w:r>
      <w:r>
        <w:rPr>
          <w:rFonts w:ascii="Palatino-Roman" w:hAnsi="Palatino-Roman"/>
          <w:color w:val="000000"/>
          <w:sz w:val="18"/>
          <w:szCs w:val="18"/>
        </w:rPr>
        <w:br/>
        <w:t>treated as an AOP.</w:t>
      </w:r>
      <w:r>
        <w:rPr>
          <w:rFonts w:ascii="Palatino-Roman" w:hAnsi="Palatino-Roman"/>
          <w:color w:val="000000"/>
          <w:sz w:val="18"/>
          <w:szCs w:val="18"/>
        </w:rPr>
        <w:br/>
        <w:t>a) Each member is independently responsible for executing</w:t>
      </w:r>
      <w:r>
        <w:rPr>
          <w:rFonts w:ascii="Palatino-Roman" w:hAnsi="Palatino-Roman"/>
          <w:color w:val="000000"/>
          <w:sz w:val="18"/>
          <w:szCs w:val="18"/>
        </w:rPr>
        <w:br/>
        <w:t>its part of work through its own resources and also bears</w:t>
      </w:r>
      <w:r>
        <w:rPr>
          <w:rFonts w:ascii="Palatino-Roman" w:hAnsi="Palatino-Roman"/>
          <w:color w:val="000000"/>
          <w:sz w:val="18"/>
          <w:szCs w:val="18"/>
        </w:rPr>
        <w:br/>
        <w:t>the risk of its scope of work i.e., there is a clear demarcation</w:t>
      </w:r>
      <w:r>
        <w:rPr>
          <w:rFonts w:ascii="Palatino-Roman" w:hAnsi="Palatino-Roman"/>
          <w:color w:val="000000"/>
          <w:sz w:val="18"/>
          <w:szCs w:val="18"/>
        </w:rPr>
        <w:br/>
        <w:t>in the work and costs between the consortium members</w:t>
      </w:r>
      <w:r>
        <w:rPr>
          <w:rFonts w:ascii="Palatino-Roman" w:hAnsi="Palatino-Roman"/>
          <w:color w:val="000000"/>
          <w:sz w:val="18"/>
          <w:szCs w:val="18"/>
        </w:rPr>
        <w:br/>
        <w:t>and each member incurs expenditure only in its specified</w:t>
      </w:r>
      <w:r>
        <w:rPr>
          <w:rFonts w:ascii="Palatino-Roman" w:hAnsi="Palatino-Roman"/>
          <w:color w:val="000000"/>
          <w:sz w:val="18"/>
          <w:szCs w:val="18"/>
        </w:rPr>
        <w:br/>
        <w:t>area of work.</w:t>
      </w:r>
      <w:r>
        <w:rPr>
          <w:rFonts w:ascii="Palatino-Roman" w:hAnsi="Palatino-Roman"/>
          <w:color w:val="000000"/>
          <w:sz w:val="18"/>
          <w:szCs w:val="18"/>
        </w:rPr>
        <w:br/>
        <w:t>b) Each member earns profit or incurs losses, based on</w:t>
      </w:r>
      <w:r>
        <w:rPr>
          <w:rFonts w:ascii="Palatino-Roman" w:hAnsi="Palatino-Roman"/>
          <w:color w:val="000000"/>
          <w:sz w:val="18"/>
          <w:szCs w:val="18"/>
        </w:rPr>
        <w:br/>
        <w:t>performance of the contract falling strictly within its</w:t>
      </w:r>
      <w:r>
        <w:rPr>
          <w:rFonts w:ascii="Palatino-Roman" w:hAnsi="Palatino-Roman"/>
          <w:color w:val="000000"/>
          <w:sz w:val="18"/>
          <w:szCs w:val="18"/>
        </w:rPr>
        <w:br/>
        <w:t>scope of work. However, consortium members may</w:t>
      </w:r>
      <w:r>
        <w:rPr>
          <w:rFonts w:ascii="Palatino-Roman" w:hAnsi="Palatino-Roman"/>
          <w:color w:val="000000"/>
          <w:sz w:val="18"/>
          <w:szCs w:val="18"/>
        </w:rPr>
        <w:br/>
        <w:t>share contract price at gross level only to facilitate</w:t>
      </w:r>
      <w:r>
        <w:rPr>
          <w:rFonts w:ascii="Palatino-Roman" w:hAnsi="Palatino-Roman"/>
          <w:color w:val="000000"/>
          <w:sz w:val="18"/>
          <w:szCs w:val="18"/>
        </w:rPr>
        <w:br/>
        <w:t>convenience in billing.</w:t>
      </w:r>
      <w:r>
        <w:rPr>
          <w:rFonts w:ascii="Palatino-Roman" w:hAnsi="Palatino-Roman"/>
          <w:color w:val="000000"/>
          <w:sz w:val="18"/>
          <w:szCs w:val="18"/>
        </w:rPr>
        <w:br/>
        <w:t>c) The men and materials used for any area of work are</w:t>
      </w:r>
      <w:r>
        <w:rPr>
          <w:rFonts w:ascii="Palatino-Roman" w:hAnsi="Palatino-Roman"/>
          <w:color w:val="000000"/>
          <w:sz w:val="18"/>
          <w:szCs w:val="18"/>
        </w:rPr>
        <w:br/>
        <w:t>under the risk and control of respective consortium</w:t>
      </w:r>
      <w:r>
        <w:rPr>
          <w:rFonts w:ascii="Palatino-Roman" w:hAnsi="Palatino-Roman"/>
          <w:color w:val="000000"/>
          <w:sz w:val="18"/>
          <w:szCs w:val="18"/>
        </w:rPr>
        <w:br/>
        <w:t>members.</w:t>
      </w:r>
      <w:r>
        <w:rPr>
          <w:rFonts w:ascii="Palatino-Roman" w:hAnsi="Palatino-Roman"/>
          <w:color w:val="000000"/>
          <w:sz w:val="18"/>
          <w:szCs w:val="18"/>
        </w:rPr>
        <w:br/>
        <w:t>d) The control and management of the consortium is not</w:t>
      </w:r>
      <w:r>
        <w:rPr>
          <w:rFonts w:ascii="Palatino-Roman" w:hAnsi="Palatino-Roman"/>
          <w:color w:val="000000"/>
          <w:sz w:val="18"/>
          <w:szCs w:val="18"/>
        </w:rPr>
        <w:br/>
        <w:t xml:space="preserve">unified and common management is only for the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>inter</w:t>
      </w:r>
      <w:r>
        <w:rPr>
          <w:rFonts w:ascii="Palatino-Italic" w:hAnsi="Palatino-Italic"/>
          <w:color w:val="000000"/>
          <w:sz w:val="18"/>
          <w:szCs w:val="18"/>
        </w:rPr>
        <w:br/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se </w:t>
      </w:r>
      <w:r>
        <w:rPr>
          <w:rFonts w:ascii="Palatino-Roman" w:hAnsi="Palatino-Roman"/>
          <w:color w:val="000000"/>
          <w:sz w:val="18"/>
          <w:szCs w:val="18"/>
        </w:rPr>
        <w:t>co-ordination between the consortium members for</w:t>
      </w:r>
      <w:r>
        <w:rPr>
          <w:rFonts w:ascii="Palatino-Roman" w:hAnsi="Palatino-Roman"/>
          <w:color w:val="000000"/>
          <w:sz w:val="18"/>
          <w:szCs w:val="18"/>
        </w:rPr>
        <w:br/>
        <w:t>administrative convenience.</w:t>
      </w:r>
      <w:r>
        <w:rPr>
          <w:rFonts w:ascii="Palatino-Roman" w:hAnsi="Palatino-Roman"/>
          <w:color w:val="000000"/>
          <w:sz w:val="18"/>
          <w:szCs w:val="18"/>
        </w:rPr>
        <w:br/>
        <w:t>2) There may be other additional factors also which may justify</w:t>
      </w:r>
      <w:r>
        <w:rPr>
          <w:rFonts w:ascii="Palatino-Roman" w:hAnsi="Palatino-Roman"/>
          <w:color w:val="000000"/>
          <w:sz w:val="18"/>
          <w:szCs w:val="18"/>
        </w:rPr>
        <w:br/>
        <w:t>that consortium is not as AOP and the same shall depend</w:t>
      </w:r>
      <w:r>
        <w:rPr>
          <w:rFonts w:ascii="Palatino-Roman" w:hAnsi="Palatino-Roman"/>
          <w:color w:val="000000"/>
          <w:sz w:val="18"/>
          <w:szCs w:val="18"/>
        </w:rPr>
        <w:br/>
        <w:t>upon the specific facts and circumstances of a particular</w:t>
      </w:r>
      <w:r>
        <w:rPr>
          <w:rFonts w:ascii="Palatino-Roman" w:hAnsi="Palatino-Roman"/>
          <w:color w:val="000000"/>
          <w:sz w:val="18"/>
          <w:szCs w:val="18"/>
        </w:rPr>
        <w:br/>
        <w:t>case, which need to be taken into consideration while taking</w:t>
      </w:r>
      <w:r>
        <w:rPr>
          <w:rFonts w:ascii="Palatino-Roman" w:hAnsi="Palatino-Roman"/>
          <w:color w:val="000000"/>
          <w:sz w:val="18"/>
          <w:szCs w:val="18"/>
        </w:rPr>
        <w:br/>
        <w:t>a view in the matter.</w:t>
      </w:r>
      <w:r>
        <w:rPr>
          <w:rFonts w:ascii="Palatino-Roman" w:hAnsi="Palatino-Roman"/>
          <w:color w:val="000000"/>
          <w:sz w:val="18"/>
          <w:szCs w:val="18"/>
        </w:rPr>
        <w:br/>
        <w:t>3) It is further clarified that this circular shall not be applicable</w:t>
      </w:r>
      <w:r>
        <w:rPr>
          <w:rFonts w:ascii="Palatino-Roman" w:hAnsi="Palatino-Roman"/>
          <w:color w:val="000000"/>
          <w:sz w:val="18"/>
          <w:szCs w:val="18"/>
        </w:rPr>
        <w:br/>
        <w:t>in cases where all or some of the members of the consortium</w:t>
      </w:r>
      <w:r>
        <w:rPr>
          <w:rFonts w:ascii="Palatino-Roman" w:hAnsi="Palatino-Roman"/>
          <w:color w:val="000000"/>
          <w:sz w:val="18"/>
          <w:szCs w:val="18"/>
        </w:rPr>
        <w:br/>
        <w:t>are Associated Enterprises within the meaning of section</w:t>
      </w:r>
      <w:r>
        <w:rPr>
          <w:rFonts w:ascii="Palatino-Roman" w:hAnsi="Palatino-Roman"/>
          <w:color w:val="000000"/>
          <w:sz w:val="18"/>
          <w:szCs w:val="18"/>
        </w:rPr>
        <w:br/>
        <w:t>92A of the Act. In such cases, the Assessing Officer will</w:t>
      </w:r>
      <w:r>
        <w:rPr>
          <w:rFonts w:ascii="Palatino-Roman" w:hAnsi="Palatino-Roman"/>
          <w:color w:val="000000"/>
          <w:sz w:val="18"/>
          <w:szCs w:val="18"/>
        </w:rPr>
        <w:br/>
        <w:t>decide whether an AOP is formed or not keeping in view</w:t>
      </w:r>
      <w:r>
        <w:rPr>
          <w:rFonts w:ascii="Palatino-Roman" w:hAnsi="Palatino-Roman"/>
          <w:color w:val="000000"/>
          <w:sz w:val="18"/>
          <w:szCs w:val="18"/>
        </w:rPr>
        <w:br/>
      </w:r>
      <w:r>
        <w:rPr>
          <w:rFonts w:ascii="Palatino-Roman" w:hAnsi="Palatino-Roman"/>
          <w:color w:val="000000"/>
          <w:sz w:val="18"/>
          <w:szCs w:val="18"/>
        </w:rPr>
        <w:lastRenderedPageBreak/>
        <w:t>the relevant provisions of the Act and judicial jurisprudence</w:t>
      </w:r>
      <w:r>
        <w:rPr>
          <w:rFonts w:ascii="Palatino-Roman" w:hAnsi="Palatino-Roman"/>
          <w:color w:val="000000"/>
          <w:sz w:val="18"/>
          <w:szCs w:val="18"/>
        </w:rPr>
        <w:br/>
        <w:t>on this issue.</w:t>
      </w:r>
      <w:bookmarkStart w:id="0" w:name="_GoBack"/>
      <w:bookmarkEnd w:id="0"/>
    </w:p>
    <w:sectPr w:rsidR="00B1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-Bold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RupeeForadi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B"/>
    <w:rsid w:val="00001B7A"/>
    <w:rsid w:val="00045387"/>
    <w:rsid w:val="000617E3"/>
    <w:rsid w:val="00082E92"/>
    <w:rsid w:val="000B67DE"/>
    <w:rsid w:val="000D0204"/>
    <w:rsid w:val="000D7E04"/>
    <w:rsid w:val="000E1FEA"/>
    <w:rsid w:val="0010278E"/>
    <w:rsid w:val="00133812"/>
    <w:rsid w:val="001363C3"/>
    <w:rsid w:val="001413B9"/>
    <w:rsid w:val="001A4B8A"/>
    <w:rsid w:val="0025668F"/>
    <w:rsid w:val="00273FFC"/>
    <w:rsid w:val="002B5F45"/>
    <w:rsid w:val="002B6B93"/>
    <w:rsid w:val="00372BD5"/>
    <w:rsid w:val="003A33B2"/>
    <w:rsid w:val="003C2FD1"/>
    <w:rsid w:val="003E2A8E"/>
    <w:rsid w:val="003E6508"/>
    <w:rsid w:val="004160BD"/>
    <w:rsid w:val="00495F79"/>
    <w:rsid w:val="00526A7C"/>
    <w:rsid w:val="005335B3"/>
    <w:rsid w:val="005370CD"/>
    <w:rsid w:val="005B3BD9"/>
    <w:rsid w:val="005D73A9"/>
    <w:rsid w:val="00603D21"/>
    <w:rsid w:val="00622C35"/>
    <w:rsid w:val="00634D01"/>
    <w:rsid w:val="00681F88"/>
    <w:rsid w:val="006A484C"/>
    <w:rsid w:val="006C7FF3"/>
    <w:rsid w:val="006D358A"/>
    <w:rsid w:val="006E4163"/>
    <w:rsid w:val="00706BC7"/>
    <w:rsid w:val="007130F3"/>
    <w:rsid w:val="007665E0"/>
    <w:rsid w:val="00794511"/>
    <w:rsid w:val="007E6B14"/>
    <w:rsid w:val="007F3776"/>
    <w:rsid w:val="008709C2"/>
    <w:rsid w:val="008B519D"/>
    <w:rsid w:val="008C6BD4"/>
    <w:rsid w:val="008E37DE"/>
    <w:rsid w:val="009221D7"/>
    <w:rsid w:val="0093410B"/>
    <w:rsid w:val="00986418"/>
    <w:rsid w:val="009C140B"/>
    <w:rsid w:val="009D1FBC"/>
    <w:rsid w:val="00A06EE8"/>
    <w:rsid w:val="00A535AD"/>
    <w:rsid w:val="00A6122B"/>
    <w:rsid w:val="00A620CF"/>
    <w:rsid w:val="00AA1CD0"/>
    <w:rsid w:val="00AA2DB0"/>
    <w:rsid w:val="00B03DBC"/>
    <w:rsid w:val="00B05D2D"/>
    <w:rsid w:val="00B1763F"/>
    <w:rsid w:val="00B351E8"/>
    <w:rsid w:val="00B410FC"/>
    <w:rsid w:val="00B53813"/>
    <w:rsid w:val="00B731D2"/>
    <w:rsid w:val="00C11B8C"/>
    <w:rsid w:val="00C33E78"/>
    <w:rsid w:val="00C66B61"/>
    <w:rsid w:val="00C85610"/>
    <w:rsid w:val="00C8737A"/>
    <w:rsid w:val="00CB68E1"/>
    <w:rsid w:val="00D00CF7"/>
    <w:rsid w:val="00D16A65"/>
    <w:rsid w:val="00D75CDE"/>
    <w:rsid w:val="00E362EA"/>
    <w:rsid w:val="00E43755"/>
    <w:rsid w:val="00E6538A"/>
    <w:rsid w:val="00F011E3"/>
    <w:rsid w:val="00F07A5B"/>
    <w:rsid w:val="00F455A3"/>
    <w:rsid w:val="00FA6654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138B3-6D42-4862-B4F3-1F746224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Pugalia</dc:creator>
  <cp:keywords/>
  <dc:description/>
  <cp:lastModifiedBy>Rishabh Pugalia</cp:lastModifiedBy>
  <cp:revision>2</cp:revision>
  <dcterms:created xsi:type="dcterms:W3CDTF">2016-07-12T20:49:00Z</dcterms:created>
  <dcterms:modified xsi:type="dcterms:W3CDTF">2016-07-12T20:49:00Z</dcterms:modified>
</cp:coreProperties>
</file>