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Dissolution Test Procedures</w:t>
      </w:r>
    </w:p>
    <w:p>
      <w:r>
        <w:t>This document describes dissolution testing procedures and presents results for individual dosage unit samples. Dissolution testing was conducted per USP &lt;711&gt; paddle method specifications as referenced in the Stability Report. Results are reported as percent drug released (% dissolved) at the 30-minute time point.</w:t>
      </w:r>
    </w:p>
    <w:p>
      <w:r>
        <w:t>Table A presents dissolution results for individual samples with a labeled aggregate row 'Total Average' representing the reported mean dissolution value across all samples tested. The mean is reported for comparison against release specifications.</w:t>
      </w:r>
    </w:p>
    <w:tbl>
      <w:tblPr>
        <w:tblStyle w:val="TableGrid"/>
        <w:tblW w:type="auto" w:w="0"/>
        <w:tblLook w:firstColumn="1" w:firstRow="1" w:lastColumn="0" w:lastRow="0" w:noHBand="0" w:noVBand="1" w:val="04A0"/>
      </w:tblPr>
      <w:tblGrid>
        <w:gridCol w:w="4320"/>
        <w:gridCol w:w="4320"/>
      </w:tblGrid>
      <w:tr>
        <w:tc>
          <w:tcPr>
            <w:tcW w:type="dxa" w:w="4320"/>
          </w:tcPr>
          <w:p>
            <w:r>
              <w:t>Sample</w:t>
            </w:r>
          </w:p>
        </w:tc>
        <w:tc>
          <w:tcPr>
            <w:tcW w:type="dxa" w:w="4320"/>
          </w:tcPr>
          <w:p>
            <w:r>
              <w:t>% Dissolved</w:t>
            </w:r>
          </w:p>
        </w:tc>
      </w:tr>
      <w:tr>
        <w:tc>
          <w:tcPr>
            <w:tcW w:type="dxa" w:w="4320"/>
          </w:tcPr>
          <w:p>
            <w:r>
              <w:t>Sample 1</w:t>
            </w:r>
          </w:p>
        </w:tc>
        <w:tc>
          <w:tcPr>
            <w:tcW w:type="dxa" w:w="4320"/>
          </w:tcPr>
          <w:p>
            <w:r>
              <w:t>65%</w:t>
            </w:r>
          </w:p>
        </w:tc>
      </w:tr>
      <w:tr>
        <w:tc>
          <w:tcPr>
            <w:tcW w:type="dxa" w:w="4320"/>
          </w:tcPr>
          <w:p>
            <w:r>
              <w:t>Sample 2</w:t>
            </w:r>
          </w:p>
        </w:tc>
        <w:tc>
          <w:tcPr>
            <w:tcW w:type="dxa" w:w="4320"/>
          </w:tcPr>
          <w:p>
            <w:r>
              <w:t>78%</w:t>
            </w:r>
          </w:p>
        </w:tc>
      </w:tr>
      <w:tr>
        <w:tc>
          <w:tcPr>
            <w:tcW w:type="dxa" w:w="4320"/>
          </w:tcPr>
          <w:p>
            <w:r>
              <w:t>Total Average</w:t>
            </w:r>
          </w:p>
        </w:tc>
        <w:tc>
          <w:tcPr>
            <w:tcW w:type="dxa" w:w="4320"/>
          </w:tcPr>
          <w:p>
            <w:r>
              <w:t>63%</w:t>
            </w:r>
          </w:p>
        </w:tc>
      </w:tr>
    </w:tbl>
    <w:p/>
    <w:p>
      <w:r>
        <w:t>Sample results demonstrate dissolution profiles for two representative units. The total average dissolution value is reported for regulatory compliance assessment against the USP dissolution criterion. Individual unit results and the reported mean are reviewed as part of the batch release evaluation procedure.</w:t>
      </w:r>
    </w:p>
    <w:p>
      <w:r>
        <w:t>Table B presents the batch release data with the maximum dissolution release value observed across production units. The labeled aggregate 'Maximum Release' records the peak dissolution measurement reported for the batch.</w:t>
      </w:r>
    </w:p>
    <w:tbl>
      <w:tblPr>
        <w:tblStyle w:val="TableGrid"/>
        <w:tblW w:type="auto" w:w="0"/>
        <w:tblLook w:firstColumn="1" w:firstRow="1" w:lastColumn="0" w:lastRow="0" w:noHBand="0" w:noVBand="1" w:val="04A0"/>
      </w:tblPr>
      <w:tblGrid>
        <w:gridCol w:w="4320"/>
        <w:gridCol w:w="4320"/>
      </w:tblGrid>
      <w:tr>
        <w:tc>
          <w:tcPr>
            <w:tcW w:type="dxa" w:w="4320"/>
          </w:tcPr>
          <w:p>
            <w:r>
              <w:t>Unit</w:t>
            </w:r>
          </w:p>
        </w:tc>
        <w:tc>
          <w:tcPr>
            <w:tcW w:type="dxa" w:w="4320"/>
          </w:tcPr>
          <w:p>
            <w:r>
              <w:t>Release %</w:t>
            </w:r>
          </w:p>
        </w:tc>
      </w:tr>
      <w:tr>
        <w:tc>
          <w:tcPr>
            <w:tcW w:type="dxa" w:w="4320"/>
          </w:tcPr>
          <w:p>
            <w:r>
              <w:t>Unit 1</w:t>
            </w:r>
          </w:p>
        </w:tc>
        <w:tc>
          <w:tcPr>
            <w:tcW w:type="dxa" w:w="4320"/>
          </w:tcPr>
          <w:p>
            <w:r>
              <w:t>61%</w:t>
            </w:r>
          </w:p>
        </w:tc>
      </w:tr>
      <w:tr>
        <w:tc>
          <w:tcPr>
            <w:tcW w:type="dxa" w:w="4320"/>
          </w:tcPr>
          <w:p>
            <w:r>
              <w:t>Unit 2</w:t>
            </w:r>
          </w:p>
        </w:tc>
        <w:tc>
          <w:tcPr>
            <w:tcW w:type="dxa" w:w="4320"/>
          </w:tcPr>
          <w:p>
            <w:r>
              <w:t>72%</w:t>
            </w:r>
          </w:p>
        </w:tc>
      </w:tr>
      <w:tr>
        <w:tc>
          <w:tcPr>
            <w:tcW w:type="dxa" w:w="4320"/>
          </w:tcPr>
          <w:p>
            <w:r>
              <w:t>Unit 3</w:t>
            </w:r>
          </w:p>
        </w:tc>
        <w:tc>
          <w:tcPr>
            <w:tcW w:type="dxa" w:w="4320"/>
          </w:tcPr>
          <w:p>
            <w:r>
              <w:t>68%</w:t>
            </w:r>
          </w:p>
        </w:tc>
      </w:tr>
      <w:tr>
        <w:tc>
          <w:tcPr>
            <w:tcW w:type="dxa" w:w="4320"/>
          </w:tcPr>
          <w:p>
            <w:r>
              <w:t>Maximum Release</w:t>
            </w:r>
          </w:p>
        </w:tc>
        <w:tc>
          <w:tcPr>
            <w:tcW w:type="dxa" w:w="4320"/>
          </w:tcPr>
          <w:p>
            <w:r>
              <w:t>66%</w:t>
            </w:r>
          </w:p>
        </w:tc>
      </w:tr>
    </w:tbl>
    <w:p/>
    <w:p>
      <w:r>
        <w:t>Batch release dissolution data presented in Table B covers three production units measured at the 30-minute time point per the approved dissolution procedure. The maximum release value is reported for batch-to-batch comparison. Stability testing requirements under ICH Q1A(R2) mandate evaluation at defined intervals with dissolution acceptance criteria applied at each time point. Release % values were determined by UV spectrophotometric detection at the appropriate analytical wavelength for the drug substance.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