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0D6E7C"/>
          <w:sz w:val="20"/>
          <w:szCs w:val="20"/>
        </w:rPr>
        <w:t xml:space="preserve">CROSS-MODAL SATELLITE DEBRIS DETECTION</w:t>
      </w:r>
    </w:p>
    <w:p>
      <w:pPr>
        <w:spacing w:after="0" w:before="120"/>
      </w:pPr>
      <w:r>
        <w:rPr>
          <w:b/>
          <w:bCs/>
          <w:color w:val="13202E"/>
          <w:sz w:val="52"/>
          <w:szCs w:val="52"/>
        </w:rPr>
        <w:t xml:space="preserve">Aligning Sentinel-1 and Sentinel-2 to Detect</w:t>
      </w:r>
    </w:p>
    <w:p>
      <w:pPr>
        <w:spacing w:after="200"/>
      </w:pPr>
      <w:r>
        <w:rPr>
          <w:b/>
          <w:bCs/>
          <w:color w:val="13202E"/>
          <w:sz w:val="52"/>
          <w:szCs w:val="52"/>
        </w:rPr>
        <w:t xml:space="preserve">Floating Debris on Nagpur's Water Bodies</w:t>
      </w:r>
    </w:p>
    <w:p>
      <w:pPr>
        <w:spacing w:after="60"/>
      </w:pPr>
      <w:r>
        <w:rPr>
          <w:i/>
          <w:iCs/>
          <w:color w:val="44586A"/>
          <w:sz w:val="24"/>
          <w:szCs w:val="24"/>
        </w:rPr>
        <w:t xml:space="preserve">A cross-modal fusion pipeline whose contribution is a robust point-set alignment (RANSAC → CPD) — benchmarked head-to-head against the traditional method that fuses the two sensors WITHOUT alignment.</w:t>
      </w:r>
    </w:p>
    <w:p>
      <w:pPr>
        <w:spacing w:after="500"/>
      </w:pPr>
    </w:p>
    <w:p>
      <w:pPr>
        <w:spacing w:after="40" w:before="12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62225"/>
                    </a:xfrm>
                    <a:prstGeom prst="rect">
                      <a:avLst/>
                    </a:prstGeom>
                  </pic:spPr>
                </pic:pic>
              </a:graphicData>
            </a:graphic>
          </wp:inline>
        </w:drawing>
      </w:r>
    </w:p>
    <w:p>
      <w:pPr>
        <w:spacing w:after="180"/>
        <w:jc w:val="center"/>
      </w:pPr>
      <w:r>
        <w:rPr>
          <w:i/>
          <w:iCs/>
          <w:color w:val="7C8B99"/>
          <w:sz w:val="17"/>
          <w:szCs w:val="17"/>
        </w:rPr>
        <w:t xml:space="preserve">Fully-real result: latest clear Sentinel-2 optical × latest Sentinel-1D radar over Ambazari Lake, aligned and cross-validated.</w:t>
      </w:r>
    </w:p>
    <w:p>
      <w:pPr>
        <w:spacing w:before="400"/>
      </w:pPr>
      <w:r>
        <w:rPr>
          <w:color w:val="7C8B99"/>
          <w:sz w:val="20"/>
          <w:szCs w:val="20"/>
        </w:rPr>
        <w:t xml:space="preserve">Project-based learning report</w:t>
      </w:r>
    </w:p>
    <w:p>
      <w:r>
        <w:rPr>
          <w:color w:val="7C8B99"/>
          <w:sz w:val="20"/>
          <w:szCs w:val="20"/>
        </w:rPr>
        <w:t xml:space="preserve">Repository: DevDhapodkar/PBL-Sem-7</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color w:val="44586A"/>
          <w:sz w:val="21"/>
          <w:szCs w:val="21"/>
        </w:rPr>
        <w:t xml:space="preserve">Floating matter on inland lakes — water hyacinth, algal scum, plastic and mixed-trash rafts — is visible to two very different satellites. Sentinel-2 sees it optically (a vegetation-like or debris spectral signature); Sentinel-1 sees it in radar (it changes the water-surface roughness). Each sensor alone raises false alarms the other does not, so agreement between the two is strong evidence of real debris.</w:t>
      </w:r>
    </w:p>
    <w:p>
      <w:pPr>
        <w:spacing w:after="140" w:line="276"/>
      </w:pPr>
      <w:r>
        <w:rPr>
          <w:b w:val="false"/>
          <w:bCs w:val="false"/>
          <w:i w:val="false"/>
          <w:iCs w:val="false"/>
          <w:color w:val="44586A"/>
          <w:sz w:val="21"/>
          <w:szCs w:val="21"/>
        </w:rPr>
        <w:t xml:space="preserve">This project runs an independent detector on each sensor, turns the detections into object-level </w:t>
      </w:r>
      <w:r>
        <w:rPr>
          <w:b/>
          <w:bCs/>
          <w:i w:val="false"/>
          <w:iCs w:val="false"/>
          <w:color w:val="44586A"/>
          <w:sz w:val="21"/>
          <w:szCs w:val="21"/>
        </w:rPr>
        <w:t xml:space="preserve">point sets</w:t>
      </w:r>
      <w:r>
        <w:rPr>
          <w:b w:val="false"/>
          <w:bCs w:val="false"/>
          <w:i w:val="false"/>
          <w:iCs w:val="false"/>
          <w:color w:val="44586A"/>
          <w:sz w:val="21"/>
          <w:szCs w:val="21"/>
        </w:rPr>
        <w:t xml:space="preserve"> (a “scatter plot” per sensor), and then — the core idea — </w:t>
      </w:r>
      <w:r>
        <w:rPr>
          <w:b/>
          <w:bCs/>
          <w:i w:val="false"/>
          <w:iCs w:val="false"/>
          <w:color w:val="0D6E7C"/>
          <w:sz w:val="21"/>
          <w:szCs w:val="21"/>
        </w:rPr>
        <w:t xml:space="preserve">aligns the two point sets</w:t>
      </w:r>
      <w:r>
        <w:rPr>
          <w:b w:val="false"/>
          <w:bCs w:val="false"/>
          <w:i w:val="false"/>
          <w:iCs w:val="false"/>
          <w:color w:val="44586A"/>
          <w:sz w:val="21"/>
          <w:szCs w:val="21"/>
        </w:rPr>
        <w:t xml:space="preserve"> before comparing them, using a robust RANSAC → Coherent Point Drift registration. A detection confirmed by both sensors after alignment is reported as debris; a single-sensor detection is discounted as a likely artifact.</w:t>
      </w:r>
    </w:p>
    <w:p>
      <w:pPr>
        <w:spacing w:after="140" w:line="276"/>
      </w:pPr>
      <w:r>
        <w:rPr>
          <w:b w:val="false"/>
          <w:bCs w:val="false"/>
          <w:i w:val="false"/>
          <w:iCs w:val="false"/>
          <w:color w:val="44586A"/>
          <w:sz w:val="21"/>
          <w:szCs w:val="21"/>
        </w:rPr>
        <w:t xml:space="preserve">The headline finding, measured against the traditional method that does the same fusion </w:t>
      </w:r>
      <w:r>
        <w:rPr>
          <w:b/>
          <w:bCs/>
          <w:i/>
          <w:iCs/>
          <w:color w:val="44586A"/>
          <w:sz w:val="21"/>
          <w:szCs w:val="21"/>
        </w:rPr>
        <w:t xml:space="preserve">without</w:t>
      </w:r>
      <w:r>
        <w:rPr>
          <w:b w:val="false"/>
          <w:bCs w:val="false"/>
          <w:i w:val="false"/>
          <w:iCs w:val="false"/>
          <w:color w:val="44586A"/>
          <w:sz w:val="21"/>
          <w:szCs w:val="21"/>
        </w:rPr>
        <w:t xml:space="preserve"> the alignment: on a controlled benchmark with known ground truth, the no-alignment method recovers almost nothing (recall 0.12, F1 0.20), while the identical fusion </w:t>
      </w:r>
      <w:r>
        <w:rPr>
          <w:b/>
          <w:bCs/>
          <w:i w:val="false"/>
          <w:iCs w:val="false"/>
          <w:color w:val="44586A"/>
          <w:sz w:val="21"/>
          <w:szCs w:val="21"/>
        </w:rPr>
        <w:t xml:space="preserve">with</w:t>
      </w:r>
      <w:r>
        <w:rPr>
          <w:b w:val="false"/>
          <w:bCs w:val="false"/>
          <w:i w:val="false"/>
          <w:iCs w:val="false"/>
          <w:color w:val="44586A"/>
          <w:sz w:val="21"/>
          <w:szCs w:val="21"/>
        </w:rPr>
        <w:t xml:space="preserve"> our alignment reaches recall 0.54 and F1 0.67 — a ~4.6× recall gain from that one step. It also beats a classic ICP alignment (F1 0.67 vs 0.42). Everything runs on real, live Sentinel-1 and Sentinel-2 data.</w:t>
      </w:r>
    </w:p>
    <w:p>
      <w:pPr>
        <w:pStyle w:val="Heading1"/>
      </w:pPr>
      <w:r>
        <w:t xml:space="preserve">2. The problem — Nagpur's water bodies</w:t>
      </w:r>
    </w:p>
    <w:p>
      <w:pPr>
        <w:spacing w:after="140" w:line="276"/>
      </w:pPr>
      <w:r>
        <w:rPr>
          <w:color w:val="44586A"/>
          <w:sz w:val="21"/>
          <w:szCs w:val="21"/>
        </w:rPr>
        <w:t xml:space="preserve">Nagpur, the “City of Lakes” (Maharashtra, India), has a set of historic tanks and reservoirs that suffer from water-hyacinth blooms, sewage-driven algal scum and floating solid waste — a real, local environmental-monitoring problem well suited to satellite fusion. All the lakes fall inside a single Sentinel-2 tile (44QKJ, UTM zone 44N), which the pipeline reads directly.</w:t>
      </w:r>
    </w:p>
    <w:p>
      <w:pPr>
        <w:spacing w:after="40" w:before="120"/>
        <w:jc w:val="center"/>
      </w:pPr>
      <w:r>
        <w:drawing>
          <wp:inline distT="0" distB="0" distL="0" distR="0">
            <wp:extent cx="59436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19300"/>
                    </a:xfrm>
                    <a:prstGeom prst="rect">
                      <a:avLst/>
                    </a:prstGeom>
                  </pic:spPr>
                </pic:pic>
              </a:graphicData>
            </a:graphic>
          </wp:inline>
        </w:drawing>
      </w:r>
    </w:p>
    <w:p>
      <w:pPr>
        <w:spacing w:after="180"/>
        <w:jc w:val="center"/>
      </w:pPr>
      <w:r>
        <w:rPr>
          <w:i/>
          <w:iCs/>
          <w:color w:val="7C8B99"/>
          <w:sz w:val="17"/>
          <w:szCs w:val="17"/>
        </w:rPr>
        <w:t xml:space="preserve">Real Sentinel-2 of Ambazari Lake. Left: true colour with both sensors' detections. Middle: NDWI water mask. Right: the NDVI/FDI floating-matter cue on water.</w:t>
      </w:r>
    </w:p>
    <w:p>
      <w:pPr>
        <w:pStyle w:val="Heading1"/>
      </w:pPr>
      <w:r>
        <w:t xml:space="preserve">3. Live satellite data (both sensors real)</w:t>
      </w:r>
    </w:p>
    <w:p>
      <w:pPr>
        <w:spacing w:after="140" w:line="276"/>
      </w:pPr>
      <w:r>
        <w:rPr>
          <w:color w:val="44586A"/>
          <w:sz w:val="21"/>
          <w:szCs w:val="21"/>
        </w:rPr>
        <w:t xml:space="preserve">Both modalities are fetched live from public open-data sources — no simulation and no account required. Sentinel-1 is read straight from a bare AWS S3 bucket, so it works even in networks that block the usual satellite discovery APIs.</w:t>
      </w:r>
    </w:p>
    <w:tbl>
      <w:tblPr>
        <w:tblW w:type="dxa" w:w="9360"/>
        <w:tblBorders>
          <w:top w:val="single" w:color="D9E1EA" w:sz="4"/>
          <w:left w:val="single" w:color="D9E1EA" w:sz="4"/>
          <w:bottom w:val="single" w:color="D9E1EA" w:sz="4"/>
          <w:right w:val="single" w:color="D9E1EA" w:sz="4"/>
          <w:insideH w:val="single" w:color="D9E1EA" w:sz="4"/>
          <w:insideV w:val="single" w:color="D9E1EA" w:sz="4"/>
        </w:tblBorders>
      </w:tblPr>
      <w:tblGrid>
        <w:gridCol w:w="1900"/>
        <w:gridCol w:w="3100"/>
        <w:gridCol w:w="4360"/>
      </w:tblGrid>
      <w:tr>
        <w:trPr>
          <w:tblHeader/>
        </w:trPr>
        <w:tc>
          <w:tcPr>
            <w:tcW w:type="dxa" w:w="1900"/>
            <w:shd w:fill="0D6E7C" w:color="auto" w:val="clear"/>
            <w:tcMar>
              <w:top w:type="dxa" w:w="70"/>
              <w:left w:type="dxa" w:w="110"/>
              <w:bottom w:type="dxa" w:w="70"/>
              <w:right w:type="dxa" w:w="110"/>
            </w:tcMar>
          </w:tcPr>
          <w:p>
            <w:pPr>
              <w:jc w:val="left"/>
            </w:pPr>
            <w:r>
              <w:rPr>
                <w:b/>
                <w:bCs/>
                <w:color w:val="FFFFFF"/>
                <w:sz w:val="17"/>
                <w:szCs w:val="17"/>
              </w:rPr>
              <w:t xml:space="preserve">Modality</w:t>
            </w:r>
          </w:p>
        </w:tc>
        <w:tc>
          <w:tcPr>
            <w:tcW w:type="dxa" w:w="3100"/>
            <w:shd w:fill="0D6E7C" w:color="auto" w:val="clear"/>
            <w:tcMar>
              <w:top w:type="dxa" w:w="70"/>
              <w:left w:type="dxa" w:w="110"/>
              <w:bottom w:type="dxa" w:w="70"/>
              <w:right w:type="dxa" w:w="110"/>
            </w:tcMar>
          </w:tcPr>
          <w:p>
            <w:pPr>
              <w:jc w:val="center"/>
            </w:pPr>
            <w:r>
              <w:rPr>
                <w:b/>
                <w:bCs/>
                <w:color w:val="FFFFFF"/>
                <w:sz w:val="17"/>
                <w:szCs w:val="17"/>
              </w:rPr>
              <w:t xml:space="preserve">Product &amp; source</w:t>
            </w:r>
          </w:p>
        </w:tc>
        <w:tc>
          <w:tcPr>
            <w:tcW w:type="dxa" w:w="4360"/>
            <w:shd w:fill="0D6E7C" w:color="auto" w:val="clear"/>
            <w:tcMar>
              <w:top w:type="dxa" w:w="70"/>
              <w:left w:type="dxa" w:w="110"/>
              <w:bottom w:type="dxa" w:w="70"/>
              <w:right w:type="dxa" w:w="110"/>
            </w:tcMar>
          </w:tcPr>
          <w:p>
            <w:pPr>
              <w:jc w:val="center"/>
            </w:pPr>
            <w:r>
              <w:rPr>
                <w:b/>
                <w:bCs/>
                <w:color w:val="FFFFFF"/>
                <w:sz w:val="17"/>
                <w:szCs w:val="17"/>
              </w:rPr>
              <w:t xml:space="preserve">Live status</w:t>
            </w:r>
          </w:p>
        </w:tc>
      </w:tr>
      <w:tr>
        <w:tc>
          <w:tcPr>
            <w:tcW w:type="dxa" w:w="1900"/>
            <w:tcMar>
              <w:top w:type="dxa" w:w="60"/>
              <w:left w:type="dxa" w:w="110"/>
              <w:bottom w:type="dxa" w:w="60"/>
              <w:right w:type="dxa" w:w="110"/>
            </w:tcMar>
          </w:tcPr>
          <w:p>
            <w:pPr>
              <w:jc w:val="left"/>
            </w:pPr>
            <w:r>
              <w:rPr>
                <w:b w:val="false"/>
                <w:bCs w:val="false"/>
                <w:color w:val="44586A"/>
                <w:sz w:val="18"/>
                <w:szCs w:val="18"/>
              </w:rPr>
              <w:t xml:space="preserve">Sentinel-2 (optical)</w:t>
            </w:r>
          </w:p>
        </w:tc>
        <w:tc>
          <w:tcPr>
            <w:tcW w:type="dxa" w:w="3100"/>
            <w:tcMar>
              <w:top w:type="dxa" w:w="60"/>
              <w:left w:type="dxa" w:w="110"/>
              <w:bottom w:type="dxa" w:w="60"/>
              <w:right w:type="dxa" w:w="110"/>
            </w:tcMar>
          </w:tcPr>
          <w:p>
            <w:pPr>
              <w:jc w:val="left"/>
            </w:pPr>
            <w:r>
              <w:rPr>
                <w:b w:val="false"/>
                <w:bCs w:val="false"/>
                <w:color w:val="44586A"/>
                <w:sz w:val="18"/>
                <w:szCs w:val="18"/>
              </w:rPr>
              <w:t xml:space="preserve">L2A surface reflectance COGs, AWS bucket sentinel-cogs, tile 44QKJ</w:t>
            </w:r>
          </w:p>
        </w:tc>
        <w:tc>
          <w:tcPr>
            <w:tcW w:type="dxa" w:w="4360"/>
            <w:tcMar>
              <w:top w:type="dxa" w:w="60"/>
              <w:left w:type="dxa" w:w="110"/>
              <w:bottom w:type="dxa" w:w="60"/>
              <w:right w:type="dxa" w:w="110"/>
            </w:tcMar>
          </w:tcPr>
          <w:p>
            <w:pPr>
              <w:jc w:val="left"/>
            </w:pPr>
            <w:r>
              <w:rPr>
                <w:b w:val="false"/>
                <w:bCs w:val="false"/>
                <w:color w:val="44586A"/>
                <w:sz w:val="18"/>
                <w:szCs w:val="18"/>
              </w:rPr>
              <w:t xml:space="preserve">Real &amp; live via /vsicurl range reads; five lakes bundled offline</w:t>
            </w:r>
          </w:p>
        </w:tc>
      </w:tr>
      <w:tr>
        <w:tc>
          <w:tcPr>
            <w:tcW w:type="dxa" w:w="1900"/>
            <w:tcMar>
              <w:top w:type="dxa" w:w="60"/>
              <w:left w:type="dxa" w:w="110"/>
              <w:bottom w:type="dxa" w:w="60"/>
              <w:right w:type="dxa" w:w="110"/>
            </w:tcMar>
          </w:tcPr>
          <w:p>
            <w:pPr>
              <w:jc w:val="left"/>
            </w:pPr>
            <w:r>
              <w:rPr>
                <w:b w:val="false"/>
                <w:bCs w:val="false"/>
                <w:color w:val="44586A"/>
                <w:sz w:val="18"/>
                <w:szCs w:val="18"/>
              </w:rPr>
              <w:t xml:space="preserve">Sentinel-1 (radar)</w:t>
            </w:r>
          </w:p>
        </w:tc>
        <w:tc>
          <w:tcPr>
            <w:tcW w:type="dxa" w:w="3100"/>
            <w:tcMar>
              <w:top w:type="dxa" w:w="60"/>
              <w:left w:type="dxa" w:w="110"/>
              <w:bottom w:type="dxa" w:w="60"/>
              <w:right w:type="dxa" w:w="110"/>
            </w:tcMar>
          </w:tcPr>
          <w:p>
            <w:pPr>
              <w:jc w:val="left"/>
            </w:pPr>
            <w:r>
              <w:rPr>
                <w:b w:val="false"/>
                <w:bCs w:val="false"/>
                <w:color w:val="44586A"/>
                <w:sz w:val="18"/>
                <w:szCs w:val="18"/>
              </w:rPr>
              <w:t xml:space="preserve">GRD VV/VH, AWS bucket sentinel-s1-l1c (Sinergise open data)</w:t>
            </w:r>
          </w:p>
        </w:tc>
        <w:tc>
          <w:tcPr>
            <w:tcW w:type="dxa" w:w="4360"/>
            <w:tcMar>
              <w:top w:type="dxa" w:w="60"/>
              <w:left w:type="dxa" w:w="110"/>
              <w:bottom w:type="dxa" w:w="60"/>
              <w:right w:type="dxa" w:w="110"/>
            </w:tcMar>
          </w:tcPr>
          <w:p>
            <w:pPr>
              <w:jc w:val="left"/>
            </w:pPr>
            <w:r>
              <w:rPr>
                <w:b w:val="false"/>
                <w:bCs w:val="false"/>
                <w:color w:val="44586A"/>
                <w:sz w:val="18"/>
                <w:szCs w:val="18"/>
              </w:rPr>
              <w:t xml:space="preserve">Real &amp; live — latest pass found &amp; geocoded via embedded GCPs; needs only S3</w:t>
            </w:r>
          </w:p>
        </w:tc>
      </w:tr>
    </w:tbl>
    <w:p>
      <w:pPr>
        <w:spacing w:after="60"/>
      </w:pPr>
    </w:p>
    <w:p>
      <w:pPr>
        <w:spacing w:after="140" w:line="276"/>
      </w:pPr>
      <w:r>
        <w:rPr>
          <w:b/>
          <w:bCs/>
          <w:i w:val="false"/>
          <w:iCs w:val="false"/>
          <w:color w:val="13202E"/>
          <w:sz w:val="21"/>
          <w:szCs w:val="21"/>
        </w:rPr>
        <w:t xml:space="preserve">How real Sentinel-1 is obtained. </w:t>
      </w:r>
      <w:r>
        <w:rPr>
          <w:b w:val="false"/>
          <w:bCs w:val="false"/>
          <w:i w:val="false"/>
          <w:iCs w:val="false"/>
          <w:color w:val="44586A"/>
          <w:sz w:val="21"/>
          <w:szCs w:val="21"/>
        </w:rPr>
        <w:t xml:space="preserve">The AWS GRD bucket is partitioned only by date, with no spatial index, so the pipeline discovers the latest scene over a lake by sampling each day’s time-sorted frames densely enough that no orbit pass is skipped, then confirming the lake falls inside a frame’s footprint. Each GRD raster carries its geolocation grid as embedded ground-control points, so only the small lake window is reprojected onto the Sentinel-2 grid. The result verified in this report: Sentinel-2 of 2026-07-16 paired with Sentinel-1D of 2026-08-10 over Ambazari.</w:t>
      </w:r>
    </w:p>
    <w:p>
      <w:pPr>
        <w:pStyle w:val="Heading1"/>
      </w:pPr>
      <w:r>
        <w:t xml:space="preserve">4. Method — the pipeline</w:t>
      </w:r>
    </w:p>
    <w:p>
      <w:pPr>
        <w:spacing w:after="140" w:line="276"/>
      </w:pPr>
      <w:r>
        <w:rPr>
          <w:color w:val="44586A"/>
          <w:sz w:val="21"/>
          <w:szCs w:val="21"/>
        </w:rPr>
        <w:t xml:space="preserve">Each stage has a distinct job. The alignment step (Stage 2, highlighted) is the project’s contribution; the traditional baseline simply omits it.</w:t>
      </w:r>
    </w:p>
    <w:p>
      <w:pPr>
        <w:spacing w:after="40" w:before="12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24225"/>
                    </a:xfrm>
                    <a:prstGeom prst="rect">
                      <a:avLst/>
                    </a:prstGeom>
                  </pic:spPr>
                </pic:pic>
              </a:graphicData>
            </a:graphic>
          </wp:inline>
        </w:drawing>
      </w:r>
    </w:p>
    <w:p>
      <w:pPr>
        <w:spacing w:after="180"/>
        <w:jc w:val="center"/>
      </w:pPr>
      <w:r>
        <w:rPr>
          <w:i/>
          <w:iCs/>
          <w:color w:val="7C8B99"/>
          <w:sz w:val="17"/>
          <w:szCs w:val="17"/>
        </w:rPr>
        <w:t xml:space="preserve">The pipeline: detect per sensor → object point sets → align the point sets (our idea) → cross-modal validation → debris map.</w:t>
      </w:r>
    </w:p>
    <w:p>
      <w:pPr>
        <w:pStyle w:val="Heading2"/>
      </w:pPr>
      <w:r>
        <w:t xml:space="preserve">4.1 Detectors (bands → point sets)</w:t>
      </w:r>
    </w:p>
    <w:p>
      <w:pPr>
        <w:pStyle w:val="ListParagraph"/>
        <w:numPr>
          <w:ilvl w:val="0"/>
          <w:numId w:val="2"/>
        </w:numPr>
        <w:spacing w:after="80" w:line="270"/>
      </w:pPr>
      <w:r>
        <w:rPr>
          <w:b/>
          <w:bCs/>
          <w:i w:val="false"/>
          <w:iCs w:val="false"/>
          <w:color w:val="13202E"/>
          <w:sz w:val="21"/>
          <w:szCs w:val="21"/>
        </w:rPr>
        <w:t xml:space="preserve">Water mask: </w:t>
      </w:r>
      <w:r>
        <w:rPr>
          <w:b w:val="false"/>
          <w:bCs w:val="false"/>
          <w:i w:val="false"/>
          <w:iCs w:val="false"/>
          <w:color w:val="44586A"/>
          <w:sz w:val="21"/>
          <w:szCs w:val="21"/>
        </w:rPr>
        <w:t xml:space="preserve">NDWI = (Green − NIR)/(Green + NIR).</w:t>
      </w:r>
    </w:p>
    <w:p>
      <w:pPr>
        <w:pStyle w:val="ListParagraph"/>
        <w:numPr>
          <w:ilvl w:val="0"/>
          <w:numId w:val="2"/>
        </w:numPr>
        <w:spacing w:after="80" w:line="270"/>
      </w:pPr>
      <w:r>
        <w:rPr>
          <w:b/>
          <w:bCs/>
          <w:i w:val="false"/>
          <w:iCs w:val="false"/>
          <w:color w:val="13202E"/>
          <w:sz w:val="21"/>
          <w:szCs w:val="21"/>
        </w:rPr>
        <w:t xml:space="preserve">Floating vegetation: </w:t>
      </w:r>
      <w:r>
        <w:rPr>
          <w:b w:val="false"/>
          <w:bCs w:val="false"/>
          <w:i w:val="false"/>
          <w:iCs w:val="false"/>
          <w:color w:val="44586A"/>
          <w:sz w:val="21"/>
          <w:szCs w:val="21"/>
        </w:rPr>
        <w:t xml:space="preserve">NDVI (hyacinth / algal scum).</w:t>
      </w:r>
    </w:p>
    <w:p>
      <w:pPr>
        <w:pStyle w:val="ListParagraph"/>
        <w:numPr>
          <w:ilvl w:val="0"/>
          <w:numId w:val="2"/>
        </w:numPr>
        <w:spacing w:after="80" w:line="270"/>
      </w:pPr>
      <w:r>
        <w:rPr>
          <w:b/>
          <w:bCs/>
          <w:i w:val="false"/>
          <w:iCs w:val="false"/>
          <w:color w:val="13202E"/>
          <w:sz w:val="21"/>
          <w:szCs w:val="21"/>
        </w:rPr>
        <w:t xml:space="preserve">Floating debris: </w:t>
      </w:r>
      <w:r>
        <w:rPr>
          <w:b w:val="false"/>
          <w:bCs w:val="false"/>
          <w:i w:val="false"/>
          <w:iCs w:val="false"/>
          <w:color w:val="44586A"/>
          <w:sz w:val="21"/>
          <w:szCs w:val="21"/>
        </w:rPr>
        <w:t xml:space="preserve">FDI, the Floating Debris Index (Biermann 2020), for plastic / trash rafts.</w:t>
      </w:r>
    </w:p>
    <w:p>
      <w:pPr>
        <w:pStyle w:val="ListParagraph"/>
        <w:numPr>
          <w:ilvl w:val="0"/>
          <w:numId w:val="2"/>
        </w:numPr>
        <w:spacing w:after="80" w:line="270"/>
      </w:pPr>
      <w:r>
        <w:rPr>
          <w:b/>
          <w:bCs/>
          <w:i w:val="false"/>
          <w:iCs w:val="false"/>
          <w:color w:val="13202E"/>
          <w:sz w:val="21"/>
          <w:szCs w:val="21"/>
        </w:rPr>
        <w:t xml:space="preserve">Radar anomaly: </w:t>
      </w:r>
      <w:r>
        <w:rPr>
          <w:b w:val="false"/>
          <w:bCs w:val="false"/>
          <w:i w:val="false"/>
          <w:iCs w:val="false"/>
          <w:color w:val="44586A"/>
          <w:sz w:val="21"/>
          <w:szCs w:val="21"/>
        </w:rPr>
        <w:t xml:space="preserve">a CFAR-style local-contrast test on VV backscatter over water.</w:t>
      </w:r>
    </w:p>
    <w:p>
      <w:pPr>
        <w:pStyle w:val="ListParagraph"/>
        <w:numPr>
          <w:ilvl w:val="0"/>
          <w:numId w:val="2"/>
        </w:numPr>
        <w:spacing w:after="80" w:line="270"/>
      </w:pPr>
      <w:r>
        <w:rPr>
          <w:b/>
          <w:bCs/>
          <w:i w:val="false"/>
          <w:iCs w:val="false"/>
          <w:color w:val="13202E"/>
          <w:sz w:val="21"/>
          <w:szCs w:val="21"/>
        </w:rPr>
        <w:t xml:space="preserve">Point sets: </w:t>
      </w:r>
      <w:r>
        <w:rPr>
          <w:b w:val="false"/>
          <w:bCs w:val="false"/>
          <w:i w:val="false"/>
          <w:iCs w:val="false"/>
          <w:color w:val="44586A"/>
          <w:sz w:val="21"/>
          <w:szCs w:val="21"/>
        </w:rPr>
        <w:t xml:space="preserve">connected-component centroids of each anomaly mask; the index value gives a per-detection strength.</w:t>
      </w:r>
    </w:p>
    <w:p>
      <w:pPr>
        <w:pStyle w:val="Heading2"/>
      </w:pPr>
      <w:r>
        <w:t xml:space="preserve">4.2 Alignment (Stage 1–2) — the contribution</w:t>
      </w:r>
    </w:p>
    <w:p>
      <w:pPr>
        <w:spacing w:after="140" w:line="276"/>
      </w:pPr>
      <w:r>
        <w:rPr>
          <w:b/>
          <w:bCs/>
          <w:i w:val="false"/>
          <w:iCs w:val="false"/>
          <w:color w:val="13202E"/>
          <w:sz w:val="21"/>
          <w:szCs w:val="21"/>
        </w:rPr>
        <w:t xml:space="preserve">RANSAC </w:t>
      </w:r>
      <w:r>
        <w:rPr>
          <w:b w:val="false"/>
          <w:bCs w:val="false"/>
          <w:i w:val="false"/>
          <w:iCs w:val="false"/>
          <w:color w:val="44586A"/>
          <w:sz w:val="21"/>
          <w:szCs w:val="21"/>
        </w:rPr>
        <w:t xml:space="preserve">estimates a robust initial transform from spatial putative correspondences and rejects gross outlier pairs. </w:t>
      </w:r>
      <w:r>
        <w:rPr>
          <w:b/>
          <w:bCs/>
          <w:i w:val="false"/>
          <w:iCs w:val="false"/>
          <w:color w:val="13202E"/>
          <w:sz w:val="21"/>
          <w:szCs w:val="21"/>
        </w:rPr>
        <w:t xml:space="preserve">Coherent Point Drift (CPD) </w:t>
      </w:r>
      <w:r>
        <w:rPr>
          <w:b w:val="false"/>
          <w:bCs w:val="false"/>
          <w:i w:val="false"/>
          <w:iCs w:val="false"/>
          <w:color w:val="44586A"/>
          <w:sz w:val="21"/>
          <w:szCs w:val="21"/>
        </w:rPr>
        <w:t xml:space="preserve">then refines it probabilistically, with a uniform component that absorbs the modality-specific false alarms that break simpler methods. For real geocoded Sentinel-1/2 the model is a bounded translation (the products already share a grid, so the residual is a small co-registration offset plus limited inter-pass drift).</w:t>
      </w:r>
    </w:p>
    <w:p>
      <w:pPr>
        <w:pStyle w:val="Heading2"/>
      </w:pPr>
      <w:r>
        <w:t xml:space="preserve">4.3 Cross-modal validation &amp; confidence (Stage 3)</w:t>
      </w:r>
    </w:p>
    <w:p>
      <w:pPr>
        <w:spacing w:after="140" w:line="276"/>
      </w:pPr>
      <w:r>
        <w:rPr>
          <w:color w:val="44586A"/>
          <w:sz w:val="21"/>
          <w:szCs w:val="21"/>
        </w:rPr>
        <w:t xml:space="preserve">After the radar point set is aligned into the optical frame, detections are matched by mutual nearest neighbour within a tolerance. Each candidate gets a confidence C that combines geometric agreement, both sensors’ evidence strengths, and a global registration-quality gate Q_reg. Q_reg multiplies every confidence, so a failed alignment can never manufacture confident debris — this is what keeps the score honest. A single-sensor detection is heavily discounted.</w:t>
      </w:r>
    </w:p>
    <w:p>
      <w:r>
        <w:br w:type="page"/>
      </w:r>
    </w:p>
    <w:p>
      <w:pPr>
        <w:pStyle w:val="Heading1"/>
      </w:pPr>
      <w:r>
        <w:t xml:space="preserve">5. The comparison: with vs without the alignment</w:t>
      </w:r>
    </w:p>
    <w:p>
      <w:pPr>
        <w:pStyle w:val="Heading2"/>
      </w:pPr>
      <w:r>
        <w:t xml:space="preserve">5.1 What we compared against</w:t>
      </w:r>
    </w:p>
    <w:p>
      <w:pPr>
        <w:spacing w:after="140" w:line="276"/>
      </w:pPr>
      <w:r>
        <w:rPr>
          <w:color w:val="44586A"/>
          <w:sz w:val="21"/>
          <w:szCs w:val="21"/>
        </w:rPr>
        <w:t xml:space="preserve">Four methods, so the alignment can be isolated:</w:t>
      </w:r>
    </w:p>
    <w:tbl>
      <w:tblPr>
        <w:tblW w:type="dxa" w:w="9360"/>
        <w:tblBorders>
          <w:top w:val="single" w:color="D9E1EA" w:sz="4"/>
          <w:left w:val="single" w:color="D9E1EA" w:sz="4"/>
          <w:bottom w:val="single" w:color="D9E1EA" w:sz="4"/>
          <w:right w:val="single" w:color="D9E1EA" w:sz="4"/>
          <w:insideH w:val="single" w:color="D9E1EA" w:sz="4"/>
          <w:insideV w:val="single" w:color="D9E1EA" w:sz="4"/>
        </w:tblBorders>
      </w:tblPr>
      <w:tblGrid>
        <w:gridCol w:w="2400"/>
        <w:gridCol w:w="2100"/>
        <w:gridCol w:w="4860"/>
      </w:tblGrid>
      <w:tr>
        <w:trPr>
          <w:tblHeader/>
        </w:trPr>
        <w:tc>
          <w:tcPr>
            <w:tcW w:type="dxa" w:w="2400"/>
            <w:shd w:fill="0D6E7C" w:color="auto" w:val="clear"/>
            <w:tcMar>
              <w:top w:type="dxa" w:w="70"/>
              <w:left w:type="dxa" w:w="110"/>
              <w:bottom w:type="dxa" w:w="70"/>
              <w:right w:type="dxa" w:w="110"/>
            </w:tcMar>
          </w:tcPr>
          <w:p>
            <w:pPr>
              <w:jc w:val="left"/>
            </w:pPr>
            <w:r>
              <w:rPr>
                <w:b/>
                <w:bCs/>
                <w:color w:val="FFFFFF"/>
                <w:sz w:val="17"/>
                <w:szCs w:val="17"/>
              </w:rPr>
              <w:t xml:space="preserve">Method</w:t>
            </w:r>
          </w:p>
        </w:tc>
        <w:tc>
          <w:tcPr>
            <w:tcW w:type="dxa" w:w="2100"/>
            <w:shd w:fill="0D6E7C" w:color="auto" w:val="clear"/>
            <w:tcMar>
              <w:top w:type="dxa" w:w="70"/>
              <w:left w:type="dxa" w:w="110"/>
              <w:bottom w:type="dxa" w:w="70"/>
              <w:right w:type="dxa" w:w="110"/>
            </w:tcMar>
          </w:tcPr>
          <w:p>
            <w:pPr>
              <w:jc w:val="center"/>
            </w:pPr>
            <w:r>
              <w:rPr>
                <w:b/>
                <w:bCs/>
                <w:color w:val="FFFFFF"/>
                <w:sz w:val="17"/>
                <w:szCs w:val="17"/>
              </w:rPr>
              <w:t xml:space="preserve">Alignment</w:t>
            </w:r>
          </w:p>
        </w:tc>
        <w:tc>
          <w:tcPr>
            <w:tcW w:type="dxa" w:w="4860"/>
            <w:shd w:fill="0D6E7C" w:color="auto" w:val="clear"/>
            <w:tcMar>
              <w:top w:type="dxa" w:w="70"/>
              <w:left w:type="dxa" w:w="110"/>
              <w:bottom w:type="dxa" w:w="70"/>
              <w:right w:type="dxa" w:w="110"/>
            </w:tcMar>
          </w:tcPr>
          <w:p>
            <w:pPr>
              <w:jc w:val="center"/>
            </w:pPr>
            <w:r>
              <w:rPr>
                <w:b/>
                <w:bCs/>
                <w:color w:val="FFFFFF"/>
                <w:sz w:val="17"/>
                <w:szCs w:val="17"/>
              </w:rPr>
              <w:t xml:space="preserve">What it represents</w:t>
            </w:r>
          </w:p>
        </w:tc>
      </w:tr>
      <w:tr>
        <w:tc>
          <w:tcPr>
            <w:tcW w:type="dxa" w:w="2400"/>
            <w:tcMar>
              <w:top w:type="dxa" w:w="60"/>
              <w:left w:type="dxa" w:w="110"/>
              <w:bottom w:type="dxa" w:w="60"/>
              <w:right w:type="dxa" w:w="110"/>
            </w:tcMar>
          </w:tcPr>
          <w:p>
            <w:pPr>
              <w:jc w:val="left"/>
            </w:pPr>
            <w:r>
              <w:rPr>
                <w:b w:val="false"/>
                <w:bCs w:val="false"/>
                <w:color w:val="44586A"/>
                <w:sz w:val="18"/>
                <w:szCs w:val="18"/>
              </w:rPr>
              <w:t xml:space="preserve">optical-only</w:t>
            </w:r>
          </w:p>
        </w:tc>
        <w:tc>
          <w:tcPr>
            <w:tcW w:type="dxa" w:w="2100"/>
            <w:tcMar>
              <w:top w:type="dxa" w:w="60"/>
              <w:left w:type="dxa" w:w="110"/>
              <w:bottom w:type="dxa" w:w="60"/>
              <w:right w:type="dxa" w:w="110"/>
            </w:tcMar>
          </w:tcPr>
          <w:p>
            <w:pPr>
              <w:jc w:val="left"/>
            </w:pPr>
            <w:r>
              <w:rPr>
                <w:b w:val="false"/>
                <w:bCs w:val="false"/>
                <w:color w:val="44586A"/>
                <w:sz w:val="18"/>
                <w:szCs w:val="18"/>
              </w:rPr>
              <w:t xml:space="preserve">— (single sensor)</w:t>
            </w:r>
          </w:p>
        </w:tc>
        <w:tc>
          <w:tcPr>
            <w:tcW w:type="dxa" w:w="4860"/>
            <w:tcMar>
              <w:top w:type="dxa" w:w="60"/>
              <w:left w:type="dxa" w:w="110"/>
              <w:bottom w:type="dxa" w:w="60"/>
              <w:right w:type="dxa" w:w="110"/>
            </w:tcMar>
          </w:tcPr>
          <w:p>
            <w:pPr>
              <w:jc w:val="left"/>
            </w:pPr>
            <w:r>
              <w:rPr>
                <w:b w:val="false"/>
                <w:bCs w:val="false"/>
                <w:color w:val="44586A"/>
                <w:sz w:val="18"/>
                <w:szCs w:val="18"/>
              </w:rPr>
              <w:t xml:space="preserve">no fusion at all — the “trust one sensor” baseline</w:t>
            </w:r>
          </w:p>
        </w:tc>
      </w:tr>
      <w:tr>
        <w:tc>
          <w:tcPr>
            <w:tcW w:type="dxa" w:w="2400"/>
            <w:shd w:fill="FBEEE9" w:color="auto" w:val="clear"/>
            <w:tcMar>
              <w:top w:type="dxa" w:w="60"/>
              <w:left w:type="dxa" w:w="110"/>
              <w:bottom w:type="dxa" w:w="60"/>
              <w:right w:type="dxa" w:w="110"/>
            </w:tcMar>
          </w:tcPr>
          <w:p>
            <w:pPr>
              <w:jc w:val="left"/>
            </w:pPr>
            <w:r>
              <w:rPr>
                <w:b w:val="false"/>
                <w:bCs w:val="false"/>
                <w:color w:val="44586A"/>
                <w:sz w:val="18"/>
                <w:szCs w:val="18"/>
              </w:rPr>
              <w:t xml:space="preserve">no alignment (traditional)</w:t>
            </w:r>
          </w:p>
        </w:tc>
        <w:tc>
          <w:tcPr>
            <w:tcW w:type="dxa" w:w="2100"/>
            <w:shd w:fill="FBEEE9" w:color="auto" w:val="clear"/>
            <w:tcMar>
              <w:top w:type="dxa" w:w="60"/>
              <w:left w:type="dxa" w:w="110"/>
              <w:bottom w:type="dxa" w:w="60"/>
              <w:right w:type="dxa" w:w="110"/>
            </w:tcMar>
          </w:tcPr>
          <w:p>
            <w:pPr>
              <w:jc w:val="left"/>
            </w:pPr>
            <w:r>
              <w:rPr>
                <w:b w:val="false"/>
                <w:bCs w:val="false"/>
                <w:color w:val="44586A"/>
                <w:sz w:val="18"/>
                <w:szCs w:val="18"/>
              </w:rPr>
              <w:t xml:space="preserve">none (identity)</w:t>
            </w:r>
          </w:p>
        </w:tc>
        <w:tc>
          <w:tcPr>
            <w:tcW w:type="dxa" w:w="4860"/>
            <w:shd w:fill="FBEEE9" w:color="auto" w:val="clear"/>
            <w:tcMar>
              <w:top w:type="dxa" w:w="60"/>
              <w:left w:type="dxa" w:w="110"/>
              <w:bottom w:type="dxa" w:w="60"/>
              <w:right w:type="dxa" w:w="110"/>
            </w:tcMar>
          </w:tcPr>
          <w:p>
            <w:pPr>
              <w:jc w:val="left"/>
            </w:pPr>
            <w:r>
              <w:rPr>
                <w:b w:val="false"/>
                <w:bCs w:val="false"/>
                <w:color w:val="44586A"/>
                <w:sz w:val="18"/>
                <w:szCs w:val="18"/>
              </w:rPr>
              <w:t xml:space="preserve">the traditional cross-modal method WITHOUT our idea: overlay the two geocoded point sets as-is and take the agreement</w:t>
            </w:r>
          </w:p>
        </w:tc>
      </w:tr>
      <w:tr>
        <w:tc>
          <w:tcPr>
            <w:tcW w:type="dxa" w:w="2400"/>
            <w:tcMar>
              <w:top w:type="dxa" w:w="60"/>
              <w:left w:type="dxa" w:w="110"/>
              <w:bottom w:type="dxa" w:w="60"/>
              <w:right w:type="dxa" w:w="110"/>
            </w:tcMar>
          </w:tcPr>
          <w:p>
            <w:pPr>
              <w:jc w:val="left"/>
            </w:pPr>
            <w:r>
              <w:rPr>
                <w:b w:val="false"/>
                <w:bCs w:val="false"/>
                <w:color w:val="44586A"/>
                <w:sz w:val="18"/>
                <w:szCs w:val="18"/>
              </w:rPr>
              <w:t xml:space="preserve">ICP</w:t>
            </w:r>
          </w:p>
        </w:tc>
        <w:tc>
          <w:tcPr>
            <w:tcW w:type="dxa" w:w="2100"/>
            <w:tcMar>
              <w:top w:type="dxa" w:w="60"/>
              <w:left w:type="dxa" w:w="110"/>
              <w:bottom w:type="dxa" w:w="60"/>
              <w:right w:type="dxa" w:w="110"/>
            </w:tcMar>
          </w:tcPr>
          <w:p>
            <w:pPr>
              <w:jc w:val="left"/>
            </w:pPr>
            <w:r>
              <w:rPr>
                <w:b w:val="false"/>
                <w:bCs w:val="false"/>
                <w:color w:val="44586A"/>
                <w:sz w:val="18"/>
                <w:szCs w:val="18"/>
              </w:rPr>
              <w:t xml:space="preserve">ICP registration</w:t>
            </w:r>
          </w:p>
        </w:tc>
        <w:tc>
          <w:tcPr>
            <w:tcW w:type="dxa" w:w="4860"/>
            <w:tcMar>
              <w:top w:type="dxa" w:w="60"/>
              <w:left w:type="dxa" w:w="110"/>
              <w:bottom w:type="dxa" w:w="60"/>
              <w:right w:type="dxa" w:w="110"/>
            </w:tcMar>
          </w:tcPr>
          <w:p>
            <w:pPr>
              <w:jc w:val="left"/>
            </w:pPr>
            <w:r>
              <w:rPr>
                <w:b w:val="false"/>
                <w:bCs w:val="false"/>
                <w:color w:val="44586A"/>
                <w:sz w:val="18"/>
                <w:szCs w:val="18"/>
              </w:rPr>
              <w:t xml:space="preserve">a classic alignment attempt (no outlier model)</w:t>
            </w:r>
          </w:p>
        </w:tc>
      </w:tr>
      <w:tr>
        <w:tc>
          <w:tcPr>
            <w:tcW w:type="dxa" w:w="2400"/>
            <w:shd w:fill="E7F5EF" w:color="auto" w:val="clear"/>
            <w:tcMar>
              <w:top w:type="dxa" w:w="60"/>
              <w:left w:type="dxa" w:w="110"/>
              <w:bottom w:type="dxa" w:w="60"/>
              <w:right w:type="dxa" w:w="110"/>
            </w:tcMar>
          </w:tcPr>
          <w:p>
            <w:pPr>
              <w:jc w:val="left"/>
            </w:pPr>
            <w:r>
              <w:rPr>
                <w:b w:val="false"/>
                <w:bCs w:val="false"/>
                <w:color w:val="44586A"/>
                <w:sz w:val="18"/>
                <w:szCs w:val="18"/>
              </w:rPr>
              <w:t xml:space="preserve">RANSAC + CPD (ours)</w:t>
            </w:r>
          </w:p>
        </w:tc>
        <w:tc>
          <w:tcPr>
            <w:tcW w:type="dxa" w:w="2100"/>
            <w:shd w:fill="E7F5EF" w:color="auto" w:val="clear"/>
            <w:tcMar>
              <w:top w:type="dxa" w:w="60"/>
              <w:left w:type="dxa" w:w="110"/>
              <w:bottom w:type="dxa" w:w="60"/>
              <w:right w:type="dxa" w:w="110"/>
            </w:tcMar>
          </w:tcPr>
          <w:p>
            <w:pPr>
              <w:jc w:val="left"/>
            </w:pPr>
            <w:r>
              <w:rPr>
                <w:b w:val="false"/>
                <w:bCs w:val="false"/>
                <w:color w:val="44586A"/>
                <w:sz w:val="18"/>
                <w:szCs w:val="18"/>
              </w:rPr>
              <w:t xml:space="preserve">our point-set alignment</w:t>
            </w:r>
          </w:p>
        </w:tc>
        <w:tc>
          <w:tcPr>
            <w:tcW w:type="dxa" w:w="4860"/>
            <w:shd w:fill="E7F5EF" w:color="auto" w:val="clear"/>
            <w:tcMar>
              <w:top w:type="dxa" w:w="60"/>
              <w:left w:type="dxa" w:w="110"/>
              <w:bottom w:type="dxa" w:w="60"/>
              <w:right w:type="dxa" w:w="110"/>
            </w:tcMar>
          </w:tcPr>
          <w:p>
            <w:pPr>
              <w:jc w:val="left"/>
            </w:pPr>
            <w:r>
              <w:rPr>
                <w:b w:val="false"/>
                <w:bCs w:val="false"/>
                <w:color w:val="44586A"/>
                <w:sz w:val="18"/>
                <w:szCs w:val="18"/>
              </w:rPr>
              <w:t xml:space="preserve">robust, outlier-aware alignment</w:t>
            </w:r>
          </w:p>
        </w:tc>
      </w:tr>
    </w:tbl>
    <w:p>
      <w:pPr>
        <w:pStyle w:val="Heading2"/>
      </w:pPr>
      <w:r>
        <w:t xml:space="preserve">5.2 How the comparison was done (methodology)</w:t>
      </w:r>
    </w:p>
    <w:p>
      <w:pPr>
        <w:spacing w:after="140" w:line="276"/>
      </w:pPr>
      <w:r>
        <w:rPr>
          <w:color w:val="44586A"/>
          <w:sz w:val="21"/>
          <w:szCs w:val="21"/>
        </w:rPr>
        <w:t xml:space="preserve">The comparison is designed to change only the alignment and hold everything else fixed, so any performance gap is attributable to the alignment and nothing else:</w:t>
      </w:r>
    </w:p>
    <w:p>
      <w:pPr>
        <w:pStyle w:val="ListParagraph"/>
        <w:numPr>
          <w:ilvl w:val="0"/>
          <w:numId w:val="2"/>
        </w:numPr>
        <w:spacing w:after="80" w:line="270"/>
      </w:pPr>
      <w:r>
        <w:rPr>
          <w:b/>
          <w:bCs/>
          <w:i w:val="false"/>
          <w:iCs w:val="false"/>
          <w:color w:val="13202E"/>
          <w:sz w:val="21"/>
          <w:szCs w:val="21"/>
        </w:rPr>
        <w:t xml:space="preserve">Same detectors for every method. </w:t>
      </w:r>
      <w:r>
        <w:rPr>
          <w:b w:val="false"/>
          <w:bCs w:val="false"/>
          <w:i w:val="false"/>
          <w:iCs w:val="false"/>
          <w:color w:val="44586A"/>
          <w:sz w:val="21"/>
          <w:szCs w:val="21"/>
        </w:rPr>
        <w:t xml:space="preserve">All methods start from the identical Sentinel-2 and Sentinel-1 detections — no method gets a better input point set than another.</w:t>
      </w:r>
    </w:p>
    <w:p>
      <w:pPr>
        <w:pStyle w:val="ListParagraph"/>
        <w:numPr>
          <w:ilvl w:val="0"/>
          <w:numId w:val="2"/>
        </w:numPr>
        <w:spacing w:after="80" w:line="270"/>
      </w:pPr>
      <w:r>
        <w:rPr>
          <w:b/>
          <w:bCs/>
          <w:i w:val="false"/>
          <w:iCs w:val="false"/>
          <w:color w:val="13202E"/>
          <w:sz w:val="21"/>
          <w:szCs w:val="21"/>
        </w:rPr>
        <w:t xml:space="preserve">Same decision stage for every fusion method. </w:t>
      </w:r>
      <w:r>
        <w:rPr>
          <w:b w:val="false"/>
          <w:bCs w:val="false"/>
          <w:i w:val="false"/>
          <w:iCs w:val="false"/>
          <w:color w:val="44586A"/>
          <w:sz w:val="21"/>
          <w:szCs w:val="21"/>
        </w:rPr>
        <w:t xml:space="preserve">no-alignment, ICP and ours feed their point sets into the same cross-modal validation and the same confidence threshold. Only the alignment step varies.</w:t>
      </w:r>
    </w:p>
    <w:p>
      <w:pPr>
        <w:pStyle w:val="ListParagraph"/>
        <w:numPr>
          <w:ilvl w:val="0"/>
          <w:numId w:val="2"/>
        </w:numPr>
        <w:spacing w:after="80" w:line="270"/>
      </w:pPr>
      <w:r>
        <w:rPr>
          <w:b/>
          <w:bCs/>
          <w:i w:val="false"/>
          <w:iCs w:val="false"/>
          <w:color w:val="13202E"/>
          <w:sz w:val="21"/>
          <w:szCs w:val="21"/>
        </w:rPr>
        <w:t xml:space="preserve">Regime A — controlled simulation with ground truth. </w:t>
      </w:r>
      <w:r>
        <w:rPr>
          <w:b w:val="false"/>
          <w:bCs w:val="false"/>
          <w:i w:val="false"/>
          <w:iCs w:val="false"/>
          <w:color w:val="44586A"/>
          <w:sz w:val="21"/>
          <w:szCs w:val="21"/>
        </w:rPr>
        <w:t xml:space="preserve">Scenes are generated with a known set of true debris and a known radar→optical mis-registration, then each detector is given realistic misses, localisation noise and modality-specific false positives. Because truth is known, we compute precision, recall, F1 and average precision, averaged over 20 random seeds, at a fixed operating point — and sweep the clutter load for robustness. This isolates the algorithm.</w:t>
      </w:r>
    </w:p>
    <w:p>
      <w:pPr>
        <w:pStyle w:val="ListParagraph"/>
        <w:numPr>
          <w:ilvl w:val="0"/>
          <w:numId w:val="2"/>
        </w:numPr>
        <w:spacing w:after="80" w:line="270"/>
      </w:pPr>
      <w:r>
        <w:rPr>
          <w:b/>
          <w:bCs/>
          <w:i w:val="false"/>
          <w:iCs w:val="false"/>
          <w:color w:val="13202E"/>
          <w:sz w:val="21"/>
          <w:szCs w:val="21"/>
        </w:rPr>
        <w:t xml:space="preserve">Regime B — real Nagpur lakes. </w:t>
      </w:r>
      <w:r>
        <w:rPr>
          <w:b w:val="false"/>
          <w:bCs w:val="false"/>
          <w:i w:val="false"/>
          <w:iCs w:val="false"/>
          <w:color w:val="44586A"/>
          <w:sz w:val="21"/>
          <w:szCs w:val="21"/>
        </w:rPr>
        <w:t xml:space="preserve">There is no ground-truth label for a live lake, so we report what can be measured objectively: debris corroborated by both sensors, the recovered offset, and how the corroboration count behaves as the match tolerance is tightened.</w:t>
      </w:r>
    </w:p>
    <w:p>
      <w:pPr>
        <w:pStyle w:val="ListParagraph"/>
        <w:numPr>
          <w:ilvl w:val="0"/>
          <w:numId w:val="2"/>
        </w:numPr>
        <w:spacing w:after="80" w:line="270"/>
      </w:pPr>
      <w:r>
        <w:rPr>
          <w:b/>
          <w:bCs/>
          <w:i w:val="false"/>
          <w:iCs w:val="false"/>
          <w:color w:val="13202E"/>
          <w:sz w:val="21"/>
          <w:szCs w:val="21"/>
        </w:rPr>
        <w:t xml:space="preserve">Reported result = the ordering. </w:t>
      </w:r>
      <w:r>
        <w:rPr>
          <w:b w:val="false"/>
          <w:bCs w:val="false"/>
          <w:i w:val="false"/>
          <w:iCs w:val="false"/>
          <w:color w:val="44586A"/>
          <w:sz w:val="21"/>
          <w:szCs w:val="21"/>
        </w:rPr>
        <w:t xml:space="preserve">Absolute simulation scores depend on the injected noise; the ranking (ours &gt; ICP &gt; no-alignment) is the finding.</w:t>
      </w:r>
    </w:p>
    <w:p>
      <w:pPr>
        <w:pStyle w:val="Heading2"/>
      </w:pPr>
      <w:r>
        <w:t xml:space="preserve">5.3 Result A — controlled benchmark (20 seeds, ground truth)</w:t>
      </w:r>
    </w:p>
    <w:tbl>
      <w:tblPr>
        <w:tblW w:type="dxa" w:w="9360"/>
        <w:tblBorders>
          <w:top w:val="single" w:color="D9E1EA" w:sz="4"/>
          <w:left w:val="single" w:color="D9E1EA" w:sz="4"/>
          <w:bottom w:val="single" w:color="D9E1EA" w:sz="4"/>
          <w:right w:val="single" w:color="D9E1EA" w:sz="4"/>
          <w:insideH w:val="single" w:color="D9E1EA" w:sz="4"/>
          <w:insideV w:val="single" w:color="D9E1EA" w:sz="4"/>
        </w:tblBorders>
      </w:tblPr>
      <w:tblGrid>
        <w:gridCol w:w="2760"/>
        <w:gridCol w:w="1400"/>
        <w:gridCol w:w="1300"/>
        <w:gridCol w:w="1300"/>
        <w:gridCol w:w="1300"/>
        <w:gridCol w:w="1300"/>
      </w:tblGrid>
      <w:tr>
        <w:trPr>
          <w:tblHeader/>
        </w:trPr>
        <w:tc>
          <w:tcPr>
            <w:tcW w:type="dxa" w:w="2760"/>
            <w:shd w:fill="0D6E7C" w:color="auto" w:val="clear"/>
            <w:tcMar>
              <w:top w:type="dxa" w:w="70"/>
              <w:left w:type="dxa" w:w="110"/>
              <w:bottom w:type="dxa" w:w="70"/>
              <w:right w:type="dxa" w:w="110"/>
            </w:tcMar>
          </w:tcPr>
          <w:p>
            <w:pPr>
              <w:jc w:val="left"/>
            </w:pPr>
            <w:r>
              <w:rPr>
                <w:b/>
                <w:bCs/>
                <w:color w:val="FFFFFF"/>
                <w:sz w:val="17"/>
                <w:szCs w:val="17"/>
              </w:rPr>
              <w:t xml:space="preserve">Method</w:t>
            </w:r>
          </w:p>
        </w:tc>
        <w:tc>
          <w:tcPr>
            <w:tcW w:type="dxa" w:w="1400"/>
            <w:shd w:fill="0D6E7C" w:color="auto" w:val="clear"/>
            <w:tcMar>
              <w:top w:type="dxa" w:w="70"/>
              <w:left w:type="dxa" w:w="110"/>
              <w:bottom w:type="dxa" w:w="70"/>
              <w:right w:type="dxa" w:w="110"/>
            </w:tcMar>
          </w:tcPr>
          <w:p>
            <w:pPr>
              <w:jc w:val="center"/>
            </w:pPr>
            <w:r>
              <w:rPr>
                <w:b/>
                <w:bCs/>
                <w:color w:val="FFFFFF"/>
                <w:sz w:val="17"/>
                <w:szCs w:val="17"/>
              </w:rPr>
              <w:t xml:space="preserve">Align</w:t>
            </w:r>
          </w:p>
        </w:tc>
        <w:tc>
          <w:tcPr>
            <w:tcW w:type="dxa" w:w="1300"/>
            <w:shd w:fill="0D6E7C" w:color="auto" w:val="clear"/>
            <w:tcMar>
              <w:top w:type="dxa" w:w="70"/>
              <w:left w:type="dxa" w:w="110"/>
              <w:bottom w:type="dxa" w:w="70"/>
              <w:right w:type="dxa" w:w="110"/>
            </w:tcMar>
          </w:tcPr>
          <w:p>
            <w:pPr>
              <w:jc w:val="center"/>
            </w:pPr>
            <w:r>
              <w:rPr>
                <w:b/>
                <w:bCs/>
                <w:color w:val="FFFFFF"/>
                <w:sz w:val="17"/>
                <w:szCs w:val="17"/>
              </w:rPr>
              <w:t xml:space="preserve">Precision</w:t>
            </w:r>
          </w:p>
        </w:tc>
        <w:tc>
          <w:tcPr>
            <w:tcW w:type="dxa" w:w="1300"/>
            <w:shd w:fill="0D6E7C" w:color="auto" w:val="clear"/>
            <w:tcMar>
              <w:top w:type="dxa" w:w="70"/>
              <w:left w:type="dxa" w:w="110"/>
              <w:bottom w:type="dxa" w:w="70"/>
              <w:right w:type="dxa" w:w="110"/>
            </w:tcMar>
          </w:tcPr>
          <w:p>
            <w:pPr>
              <w:jc w:val="center"/>
            </w:pPr>
            <w:r>
              <w:rPr>
                <w:b/>
                <w:bCs/>
                <w:color w:val="FFFFFF"/>
                <w:sz w:val="17"/>
                <w:szCs w:val="17"/>
              </w:rPr>
              <w:t xml:space="preserve">Recall</w:t>
            </w:r>
          </w:p>
        </w:tc>
        <w:tc>
          <w:tcPr>
            <w:tcW w:type="dxa" w:w="1300"/>
            <w:shd w:fill="0D6E7C" w:color="auto" w:val="clear"/>
            <w:tcMar>
              <w:top w:type="dxa" w:w="70"/>
              <w:left w:type="dxa" w:w="110"/>
              <w:bottom w:type="dxa" w:w="70"/>
              <w:right w:type="dxa" w:w="110"/>
            </w:tcMar>
          </w:tcPr>
          <w:p>
            <w:pPr>
              <w:jc w:val="center"/>
            </w:pPr>
            <w:r>
              <w:rPr>
                <w:b/>
                <w:bCs/>
                <w:color w:val="FFFFFF"/>
                <w:sz w:val="17"/>
                <w:szCs w:val="17"/>
              </w:rPr>
              <w:t xml:space="preserve">F1</w:t>
            </w:r>
          </w:p>
        </w:tc>
        <w:tc>
          <w:tcPr>
            <w:tcW w:type="dxa" w:w="1300"/>
            <w:shd w:fill="0D6E7C" w:color="auto" w:val="clear"/>
            <w:tcMar>
              <w:top w:type="dxa" w:w="70"/>
              <w:left w:type="dxa" w:w="110"/>
              <w:bottom w:type="dxa" w:w="70"/>
              <w:right w:type="dxa" w:w="110"/>
            </w:tcMar>
          </w:tcPr>
          <w:p>
            <w:pPr>
              <w:jc w:val="center"/>
            </w:pPr>
            <w:r>
              <w:rPr>
                <w:b/>
                <w:bCs/>
                <w:color w:val="FFFFFF"/>
                <w:sz w:val="17"/>
                <w:szCs w:val="17"/>
              </w:rPr>
              <w:t xml:space="preserve">AP</w:t>
            </w:r>
          </w:p>
        </w:tc>
      </w:tr>
      <w:tr>
        <w:tc>
          <w:tcPr>
            <w:tcW w:type="dxa" w:w="2760"/>
            <w:tcMar>
              <w:top w:type="dxa" w:w="60"/>
              <w:left w:type="dxa" w:w="110"/>
              <w:bottom w:type="dxa" w:w="60"/>
              <w:right w:type="dxa" w:w="110"/>
            </w:tcMar>
          </w:tcPr>
          <w:p>
            <w:pPr>
              <w:jc w:val="left"/>
            </w:pPr>
            <w:r>
              <w:rPr>
                <w:b w:val="false"/>
                <w:bCs w:val="false"/>
                <w:color w:val="44586A"/>
                <w:sz w:val="18"/>
                <w:szCs w:val="18"/>
              </w:rPr>
              <w:t xml:space="preserve">optical-only</w:t>
            </w:r>
          </w:p>
        </w:tc>
        <w:tc>
          <w:tcPr>
            <w:tcW w:type="dxa" w:w="1400"/>
            <w:tcMar>
              <w:top w:type="dxa" w:w="60"/>
              <w:left w:type="dxa" w:w="110"/>
              <w:bottom w:type="dxa" w:w="60"/>
              <w:right w:type="dxa" w:w="110"/>
            </w:tcMar>
          </w:tcPr>
          <w:p>
            <w:pPr>
              <w:jc w:val="center"/>
            </w:pPr>
            <w:r>
              <w:rPr>
                <w:b w:val="false"/>
                <w:bCs w:val="false"/>
                <w:color w:val="44586A"/>
                <w:sz w:val="18"/>
                <w:szCs w:val="18"/>
              </w:rPr>
              <w:t xml:space="preserve">—</w:t>
            </w:r>
          </w:p>
        </w:tc>
        <w:tc>
          <w:tcPr>
            <w:tcW w:type="dxa" w:w="1300"/>
            <w:tcMar>
              <w:top w:type="dxa" w:w="60"/>
              <w:left w:type="dxa" w:w="110"/>
              <w:bottom w:type="dxa" w:w="60"/>
              <w:right w:type="dxa" w:w="110"/>
            </w:tcMar>
          </w:tcPr>
          <w:p>
            <w:pPr>
              <w:jc w:val="center"/>
            </w:pPr>
            <w:r>
              <w:rPr>
                <w:b w:val="false"/>
                <w:bCs w:val="false"/>
                <w:color w:val="44586A"/>
                <w:sz w:val="18"/>
                <w:szCs w:val="18"/>
              </w:rPr>
              <w:t xml:space="preserve">0.75</w:t>
            </w:r>
          </w:p>
        </w:tc>
        <w:tc>
          <w:tcPr>
            <w:tcW w:type="dxa" w:w="1300"/>
            <w:tcMar>
              <w:top w:type="dxa" w:w="60"/>
              <w:left w:type="dxa" w:w="110"/>
              <w:bottom w:type="dxa" w:w="60"/>
              <w:right w:type="dxa" w:w="110"/>
            </w:tcMar>
          </w:tcPr>
          <w:p>
            <w:pPr>
              <w:jc w:val="center"/>
            </w:pPr>
            <w:r>
              <w:rPr>
                <w:b w:val="false"/>
                <w:bCs w:val="false"/>
                <w:color w:val="44586A"/>
                <w:sz w:val="18"/>
                <w:szCs w:val="18"/>
              </w:rPr>
              <w:t xml:space="preserve">0.81</w:t>
            </w:r>
          </w:p>
        </w:tc>
        <w:tc>
          <w:tcPr>
            <w:tcW w:type="dxa" w:w="1300"/>
            <w:tcMar>
              <w:top w:type="dxa" w:w="60"/>
              <w:left w:type="dxa" w:w="110"/>
              <w:bottom w:type="dxa" w:w="60"/>
              <w:right w:type="dxa" w:w="110"/>
            </w:tcMar>
          </w:tcPr>
          <w:p>
            <w:pPr>
              <w:jc w:val="center"/>
            </w:pPr>
            <w:r>
              <w:rPr>
                <w:b w:val="false"/>
                <w:bCs w:val="false"/>
                <w:color w:val="44586A"/>
                <w:sz w:val="18"/>
                <w:szCs w:val="18"/>
              </w:rPr>
              <w:t xml:space="preserve">0.78</w:t>
            </w:r>
          </w:p>
        </w:tc>
        <w:tc>
          <w:tcPr>
            <w:tcW w:type="dxa" w:w="1300"/>
            <w:tcMar>
              <w:top w:type="dxa" w:w="60"/>
              <w:left w:type="dxa" w:w="110"/>
              <w:bottom w:type="dxa" w:w="60"/>
              <w:right w:type="dxa" w:w="110"/>
            </w:tcMar>
          </w:tcPr>
          <w:p>
            <w:pPr>
              <w:jc w:val="center"/>
            </w:pPr>
            <w:r>
              <w:rPr>
                <w:b w:val="false"/>
                <w:bCs w:val="false"/>
                <w:color w:val="44586A"/>
                <w:sz w:val="18"/>
                <w:szCs w:val="18"/>
              </w:rPr>
              <w:t xml:space="preserve">0.75</w:t>
            </w:r>
          </w:p>
        </w:tc>
      </w:tr>
      <w:tr>
        <w:tc>
          <w:tcPr>
            <w:tcW w:type="dxa" w:w="2760"/>
            <w:shd w:fill="FBEEE9" w:color="auto" w:val="clear"/>
            <w:tcMar>
              <w:top w:type="dxa" w:w="60"/>
              <w:left w:type="dxa" w:w="110"/>
              <w:bottom w:type="dxa" w:w="60"/>
              <w:right w:type="dxa" w:w="110"/>
            </w:tcMar>
          </w:tcPr>
          <w:p>
            <w:pPr>
              <w:jc w:val="left"/>
            </w:pPr>
            <w:r>
              <w:rPr>
                <w:b w:val="false"/>
                <w:bCs w:val="false"/>
                <w:color w:val="44586A"/>
                <w:sz w:val="18"/>
                <w:szCs w:val="18"/>
              </w:rPr>
              <w:t xml:space="preserve">no alignment (traditional)</w:t>
            </w:r>
          </w:p>
        </w:tc>
        <w:tc>
          <w:tcPr>
            <w:tcW w:type="dxa" w:w="1400"/>
            <w:shd w:fill="FBEEE9" w:color="auto" w:val="clear"/>
            <w:tcMar>
              <w:top w:type="dxa" w:w="60"/>
              <w:left w:type="dxa" w:w="110"/>
              <w:bottom w:type="dxa" w:w="60"/>
              <w:right w:type="dxa" w:w="110"/>
            </w:tcMar>
          </w:tcPr>
          <w:p>
            <w:pPr>
              <w:jc w:val="center"/>
            </w:pPr>
            <w:r>
              <w:rPr>
                <w:b w:val="false"/>
                <w:bCs w:val="false"/>
                <w:color w:val="44586A"/>
                <w:sz w:val="18"/>
                <w:szCs w:val="18"/>
              </w:rPr>
              <w:t xml:space="preserve">none</w:t>
            </w:r>
          </w:p>
        </w:tc>
        <w:tc>
          <w:tcPr>
            <w:tcW w:type="dxa" w:w="1300"/>
            <w:shd w:fill="FBEEE9" w:color="auto" w:val="clear"/>
            <w:tcMar>
              <w:top w:type="dxa" w:w="60"/>
              <w:left w:type="dxa" w:w="110"/>
              <w:bottom w:type="dxa" w:w="60"/>
              <w:right w:type="dxa" w:w="110"/>
            </w:tcMar>
          </w:tcPr>
          <w:p>
            <w:pPr>
              <w:jc w:val="center"/>
            </w:pPr>
            <w:r>
              <w:rPr>
                <w:b w:val="false"/>
                <w:bCs w:val="false"/>
                <w:color w:val="44586A"/>
                <w:sz w:val="18"/>
                <w:szCs w:val="18"/>
              </w:rPr>
              <w:t xml:space="preserve">0.65</w:t>
            </w:r>
          </w:p>
        </w:tc>
        <w:tc>
          <w:tcPr>
            <w:tcW w:type="dxa" w:w="1300"/>
            <w:shd w:fill="FBEEE9" w:color="auto" w:val="clear"/>
            <w:tcMar>
              <w:top w:type="dxa" w:w="60"/>
              <w:left w:type="dxa" w:w="110"/>
              <w:bottom w:type="dxa" w:w="60"/>
              <w:right w:type="dxa" w:w="110"/>
            </w:tcMar>
          </w:tcPr>
          <w:p>
            <w:pPr>
              <w:jc w:val="center"/>
            </w:pPr>
            <w:r>
              <w:rPr>
                <w:b w:val="false"/>
                <w:bCs w:val="false"/>
                <w:color w:val="44586A"/>
                <w:sz w:val="18"/>
                <w:szCs w:val="18"/>
              </w:rPr>
              <w:t xml:space="preserve">0.12</w:t>
            </w:r>
          </w:p>
        </w:tc>
        <w:tc>
          <w:tcPr>
            <w:tcW w:type="dxa" w:w="1300"/>
            <w:shd w:fill="FBEEE9" w:color="auto" w:val="clear"/>
            <w:tcMar>
              <w:top w:type="dxa" w:w="60"/>
              <w:left w:type="dxa" w:w="110"/>
              <w:bottom w:type="dxa" w:w="60"/>
              <w:right w:type="dxa" w:w="110"/>
            </w:tcMar>
          </w:tcPr>
          <w:p>
            <w:pPr>
              <w:jc w:val="center"/>
            </w:pPr>
            <w:r>
              <w:rPr>
                <w:b w:val="false"/>
                <w:bCs w:val="false"/>
                <w:color w:val="44586A"/>
                <w:sz w:val="18"/>
                <w:szCs w:val="18"/>
              </w:rPr>
              <w:t xml:space="preserve">0.20</w:t>
            </w:r>
          </w:p>
        </w:tc>
        <w:tc>
          <w:tcPr>
            <w:tcW w:type="dxa" w:w="1300"/>
            <w:shd w:fill="FBEEE9" w:color="auto" w:val="clear"/>
            <w:tcMar>
              <w:top w:type="dxa" w:w="60"/>
              <w:left w:type="dxa" w:w="110"/>
              <w:bottom w:type="dxa" w:w="60"/>
              <w:right w:type="dxa" w:w="110"/>
            </w:tcMar>
          </w:tcPr>
          <w:p>
            <w:pPr>
              <w:jc w:val="center"/>
            </w:pPr>
            <w:r>
              <w:rPr>
                <w:b w:val="false"/>
                <w:bCs w:val="false"/>
                <w:color w:val="44586A"/>
                <w:sz w:val="18"/>
                <w:szCs w:val="18"/>
              </w:rPr>
              <w:t xml:space="preserve">0.52</w:t>
            </w:r>
          </w:p>
        </w:tc>
      </w:tr>
      <w:tr>
        <w:tc>
          <w:tcPr>
            <w:tcW w:type="dxa" w:w="2760"/>
            <w:tcMar>
              <w:top w:type="dxa" w:w="60"/>
              <w:left w:type="dxa" w:w="110"/>
              <w:bottom w:type="dxa" w:w="60"/>
              <w:right w:type="dxa" w:w="110"/>
            </w:tcMar>
          </w:tcPr>
          <w:p>
            <w:pPr>
              <w:jc w:val="left"/>
            </w:pPr>
            <w:r>
              <w:rPr>
                <w:b w:val="false"/>
                <w:bCs w:val="false"/>
                <w:color w:val="44586A"/>
                <w:sz w:val="18"/>
                <w:szCs w:val="18"/>
              </w:rPr>
              <w:t xml:space="preserve">ICP</w:t>
            </w:r>
          </w:p>
        </w:tc>
        <w:tc>
          <w:tcPr>
            <w:tcW w:type="dxa" w:w="1400"/>
            <w:tcMar>
              <w:top w:type="dxa" w:w="60"/>
              <w:left w:type="dxa" w:w="110"/>
              <w:bottom w:type="dxa" w:w="60"/>
              <w:right w:type="dxa" w:w="110"/>
            </w:tcMar>
          </w:tcPr>
          <w:p>
            <w:pPr>
              <w:jc w:val="center"/>
            </w:pPr>
            <w:r>
              <w:rPr>
                <w:b w:val="false"/>
                <w:bCs w:val="false"/>
                <w:color w:val="44586A"/>
                <w:sz w:val="18"/>
                <w:szCs w:val="18"/>
              </w:rPr>
              <w:t xml:space="preserve">ICP</w:t>
            </w:r>
          </w:p>
        </w:tc>
        <w:tc>
          <w:tcPr>
            <w:tcW w:type="dxa" w:w="1300"/>
            <w:tcMar>
              <w:top w:type="dxa" w:w="60"/>
              <w:left w:type="dxa" w:w="110"/>
              <w:bottom w:type="dxa" w:w="60"/>
              <w:right w:type="dxa" w:w="110"/>
            </w:tcMar>
          </w:tcPr>
          <w:p>
            <w:pPr>
              <w:jc w:val="center"/>
            </w:pPr>
            <w:r>
              <w:rPr>
                <w:b w:val="false"/>
                <w:bCs w:val="false"/>
                <w:color w:val="44586A"/>
                <w:sz w:val="18"/>
                <w:szCs w:val="18"/>
              </w:rPr>
              <w:t xml:space="preserve">0.79</w:t>
            </w:r>
          </w:p>
        </w:tc>
        <w:tc>
          <w:tcPr>
            <w:tcW w:type="dxa" w:w="1300"/>
            <w:tcMar>
              <w:top w:type="dxa" w:w="60"/>
              <w:left w:type="dxa" w:w="110"/>
              <w:bottom w:type="dxa" w:w="60"/>
              <w:right w:type="dxa" w:w="110"/>
            </w:tcMar>
          </w:tcPr>
          <w:p>
            <w:pPr>
              <w:jc w:val="center"/>
            </w:pPr>
            <w:r>
              <w:rPr>
                <w:b w:val="false"/>
                <w:bCs w:val="false"/>
                <w:color w:val="44586A"/>
                <w:sz w:val="18"/>
                <w:szCs w:val="18"/>
              </w:rPr>
              <w:t xml:space="preserve">0.30</w:t>
            </w:r>
          </w:p>
        </w:tc>
        <w:tc>
          <w:tcPr>
            <w:tcW w:type="dxa" w:w="1300"/>
            <w:tcMar>
              <w:top w:type="dxa" w:w="60"/>
              <w:left w:type="dxa" w:w="110"/>
              <w:bottom w:type="dxa" w:w="60"/>
              <w:right w:type="dxa" w:w="110"/>
            </w:tcMar>
          </w:tcPr>
          <w:p>
            <w:pPr>
              <w:jc w:val="center"/>
            </w:pPr>
            <w:r>
              <w:rPr>
                <w:b w:val="false"/>
                <w:bCs w:val="false"/>
                <w:color w:val="44586A"/>
                <w:sz w:val="18"/>
                <w:szCs w:val="18"/>
              </w:rPr>
              <w:t xml:space="preserve">0.42</w:t>
            </w:r>
          </w:p>
        </w:tc>
        <w:tc>
          <w:tcPr>
            <w:tcW w:type="dxa" w:w="1300"/>
            <w:tcMar>
              <w:top w:type="dxa" w:w="60"/>
              <w:left w:type="dxa" w:w="110"/>
              <w:bottom w:type="dxa" w:w="60"/>
              <w:right w:type="dxa" w:w="110"/>
            </w:tcMar>
          </w:tcPr>
          <w:p>
            <w:pPr>
              <w:jc w:val="center"/>
            </w:pPr>
            <w:r>
              <w:rPr>
                <w:b w:val="false"/>
                <w:bCs w:val="false"/>
                <w:color w:val="44586A"/>
                <w:sz w:val="18"/>
                <w:szCs w:val="18"/>
              </w:rPr>
              <w:t xml:space="preserve">0.66</w:t>
            </w:r>
          </w:p>
        </w:tc>
      </w:tr>
      <w:tr>
        <w:tc>
          <w:tcPr>
            <w:tcW w:type="dxa" w:w="2760"/>
            <w:shd w:fill="E7F5EF" w:color="auto" w:val="clear"/>
            <w:tcMar>
              <w:top w:type="dxa" w:w="60"/>
              <w:left w:type="dxa" w:w="110"/>
              <w:bottom w:type="dxa" w:w="60"/>
              <w:right w:type="dxa" w:w="110"/>
            </w:tcMar>
          </w:tcPr>
          <w:p>
            <w:pPr>
              <w:jc w:val="left"/>
            </w:pPr>
            <w:r>
              <w:rPr>
                <w:b/>
                <w:bCs/>
                <w:color w:val="13202E"/>
                <w:sz w:val="18"/>
                <w:szCs w:val="18"/>
              </w:rPr>
              <w:t xml:space="preserve">RANSAC + CPD (ours)</w:t>
            </w:r>
          </w:p>
        </w:tc>
        <w:tc>
          <w:tcPr>
            <w:tcW w:type="dxa" w:w="1400"/>
            <w:shd w:fill="E7F5EF" w:color="auto" w:val="clear"/>
            <w:tcMar>
              <w:top w:type="dxa" w:w="60"/>
              <w:left w:type="dxa" w:w="110"/>
              <w:bottom w:type="dxa" w:w="60"/>
              <w:right w:type="dxa" w:w="110"/>
            </w:tcMar>
          </w:tcPr>
          <w:p>
            <w:pPr>
              <w:jc w:val="center"/>
            </w:pPr>
            <w:r>
              <w:rPr>
                <w:b/>
                <w:bCs/>
                <w:color w:val="13202E"/>
                <w:sz w:val="18"/>
                <w:szCs w:val="18"/>
              </w:rPr>
              <w:t xml:space="preserve">ours</w:t>
            </w:r>
          </w:p>
        </w:tc>
        <w:tc>
          <w:tcPr>
            <w:tcW w:type="dxa" w:w="1300"/>
            <w:shd w:fill="E7F5EF" w:color="auto" w:val="clear"/>
            <w:tcMar>
              <w:top w:type="dxa" w:w="60"/>
              <w:left w:type="dxa" w:w="110"/>
              <w:bottom w:type="dxa" w:w="60"/>
              <w:right w:type="dxa" w:w="110"/>
            </w:tcMar>
          </w:tcPr>
          <w:p>
            <w:pPr>
              <w:jc w:val="center"/>
            </w:pPr>
            <w:r>
              <w:rPr>
                <w:b/>
                <w:bCs/>
                <w:color w:val="13202E"/>
                <w:sz w:val="18"/>
                <w:szCs w:val="18"/>
              </w:rPr>
              <w:t xml:space="preserve">0.93</w:t>
            </w:r>
          </w:p>
        </w:tc>
        <w:tc>
          <w:tcPr>
            <w:tcW w:type="dxa" w:w="1300"/>
            <w:shd w:fill="E7F5EF" w:color="auto" w:val="clear"/>
            <w:tcMar>
              <w:top w:type="dxa" w:w="60"/>
              <w:left w:type="dxa" w:w="110"/>
              <w:bottom w:type="dxa" w:w="60"/>
              <w:right w:type="dxa" w:w="110"/>
            </w:tcMar>
          </w:tcPr>
          <w:p>
            <w:pPr>
              <w:jc w:val="center"/>
            </w:pPr>
            <w:r>
              <w:rPr>
                <w:b/>
                <w:bCs/>
                <w:color w:val="13202E"/>
                <w:sz w:val="18"/>
                <w:szCs w:val="18"/>
              </w:rPr>
              <w:t xml:space="preserve">0.54</w:t>
            </w:r>
          </w:p>
        </w:tc>
        <w:tc>
          <w:tcPr>
            <w:tcW w:type="dxa" w:w="1300"/>
            <w:shd w:fill="E7F5EF" w:color="auto" w:val="clear"/>
            <w:tcMar>
              <w:top w:type="dxa" w:w="60"/>
              <w:left w:type="dxa" w:w="110"/>
              <w:bottom w:type="dxa" w:w="60"/>
              <w:right w:type="dxa" w:w="110"/>
            </w:tcMar>
          </w:tcPr>
          <w:p>
            <w:pPr>
              <w:jc w:val="center"/>
            </w:pPr>
            <w:r>
              <w:rPr>
                <w:b/>
                <w:bCs/>
                <w:color w:val="13202E"/>
                <w:sz w:val="18"/>
                <w:szCs w:val="18"/>
              </w:rPr>
              <w:t xml:space="preserve">0.67</w:t>
            </w:r>
          </w:p>
        </w:tc>
        <w:tc>
          <w:tcPr>
            <w:tcW w:type="dxa" w:w="1300"/>
            <w:shd w:fill="E7F5EF" w:color="auto" w:val="clear"/>
            <w:tcMar>
              <w:top w:type="dxa" w:w="60"/>
              <w:left w:type="dxa" w:w="110"/>
              <w:bottom w:type="dxa" w:w="60"/>
              <w:right w:type="dxa" w:w="110"/>
            </w:tcMar>
          </w:tcPr>
          <w:p>
            <w:pPr>
              <w:jc w:val="center"/>
            </w:pPr>
            <w:r>
              <w:rPr>
                <w:b/>
                <w:bCs/>
                <w:color w:val="13202E"/>
                <w:sz w:val="18"/>
                <w:szCs w:val="18"/>
              </w:rPr>
              <w:t xml:space="preserve">0.81</w:t>
            </w:r>
          </w:p>
        </w:tc>
      </w:tr>
    </w:tbl>
    <w:p>
      <w:pPr>
        <w:spacing w:after="40"/>
      </w:pPr>
    </w:p>
    <w:p>
      <w:pPr>
        <w:spacing w:after="140" w:line="276"/>
      </w:pPr>
      <w:r>
        <w:rPr>
          <w:b/>
          <w:bCs/>
          <w:i w:val="false"/>
          <w:iCs w:val="false"/>
          <w:color w:val="13202E"/>
          <w:sz w:val="21"/>
          <w:szCs w:val="21"/>
        </w:rPr>
        <w:t xml:space="preserve">Reading it: </w:t>
      </w:r>
      <w:r>
        <w:rPr>
          <w:b w:val="false"/>
          <w:bCs w:val="false"/>
          <w:i w:val="false"/>
          <w:iCs w:val="false"/>
          <w:color w:val="44586A"/>
          <w:sz w:val="21"/>
          <w:szCs w:val="21"/>
        </w:rPr>
        <w:t xml:space="preserve">without alignment the offset between the two point sets pushes real pairs outside the match tolerance, so almost nothing is corroborated (recall 0.12, F1 0.20). Adding the alignment lifts the same fusion to recall 0.54, F1 0.67 — ~4.6× recall and ~3.4× F1 from one step — and beats ICP, which has no outlier model and is dragged off by each sensor’s false alarms.</w:t>
      </w:r>
    </w:p>
    <w:p>
      <w:pPr>
        <w:spacing w:after="40" w:before="120"/>
        <w:jc w:val="center"/>
      </w:pPr>
      <w:r>
        <w:drawing>
          <wp:inline distT="0" distB="0" distL="0" distR="0">
            <wp:extent cx="59436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362575"/>
                    </a:xfrm>
                    <a:prstGeom prst="rect">
                      <a:avLst/>
                    </a:prstGeom>
                  </pic:spPr>
                </pic:pic>
              </a:graphicData>
            </a:graphic>
          </wp:inline>
        </w:drawing>
      </w:r>
    </w:p>
    <w:p>
      <w:pPr>
        <w:spacing w:after="180"/>
        <w:jc w:val="center"/>
      </w:pPr>
      <w:r>
        <w:rPr>
          <w:i/>
          <w:iCs/>
          <w:color w:val="7C8B99"/>
          <w:sz w:val="17"/>
          <w:szCs w:val="17"/>
        </w:rPr>
        <w:t xml:space="preserve">The comparison at a glance: four-method table and F1 / recall bars. No-alignment (orange) collapses; our alignment (green) recovers the corroborations.</w:t>
      </w:r>
    </w:p>
    <w:p>
      <w:pPr>
        <w:spacing w:after="40" w:before="120"/>
        <w:jc w:val="center"/>
      </w:pPr>
      <w:r>
        <w:drawing>
          <wp:inline distT="0" distB="0" distL="0" distR="0">
            <wp:extent cx="4953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248150"/>
                    </a:xfrm>
                    <a:prstGeom prst="rect">
                      <a:avLst/>
                    </a:prstGeom>
                  </pic:spPr>
                </pic:pic>
              </a:graphicData>
            </a:graphic>
          </wp:inline>
        </w:drawing>
      </w:r>
    </w:p>
    <w:p>
      <w:pPr>
        <w:spacing w:after="180"/>
        <w:jc w:val="center"/>
      </w:pPr>
      <w:r>
        <w:rPr>
          <w:i/>
          <w:iCs/>
          <w:color w:val="7C8B99"/>
          <w:sz w:val="17"/>
          <w:szCs w:val="17"/>
        </w:rPr>
        <w:t xml:space="preserve">Precision–recall curves. Average precision: ours 0.81 &gt; ICP 0.66 &gt; no-alignment 0.55.</w:t>
      </w:r>
    </w:p>
    <w:p>
      <w:pPr>
        <w:spacing w:after="4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81250"/>
                    </a:xfrm>
                    <a:prstGeom prst="rect">
                      <a:avLst/>
                    </a:prstGeom>
                  </pic:spPr>
                </pic:pic>
              </a:graphicData>
            </a:graphic>
          </wp:inline>
        </w:drawing>
      </w:r>
    </w:p>
    <w:p>
      <w:pPr>
        <w:spacing w:after="180"/>
        <w:jc w:val="center"/>
      </w:pPr>
      <w:r>
        <w:rPr>
          <w:i/>
          <w:iCs/>
          <w:color w:val="7C8B99"/>
          <w:sz w:val="17"/>
          <w:szCs w:val="17"/>
        </w:rPr>
        <w:t xml:space="preserve">Robustness: as modality-specific clutter rises, our aligned fusion holds precision far longer than the baselines.</w:t>
      </w:r>
    </w:p>
    <w:p>
      <w:pPr>
        <w:pStyle w:val="Heading2"/>
      </w:pPr>
      <w:r>
        <w:t xml:space="preserve">5.4 Result B — with vs without alignment on real, live data</w:t>
      </w:r>
    </w:p>
    <w:p>
      <w:pPr>
        <w:spacing w:after="140" w:line="276"/>
      </w:pPr>
      <w:r>
        <w:rPr>
          <w:color w:val="44586A"/>
          <w:sz w:val="21"/>
          <w:szCs w:val="21"/>
        </w:rPr>
        <w:t xml:space="preserve">The fully-real pipeline over three Nagpur lakes recovers a genuine but small residual offset (real products are already fairly well geolocated):</w:t>
      </w:r>
    </w:p>
    <w:tbl>
      <w:tblPr>
        <w:tblW w:type="dxa" w:w="9360"/>
        <w:tblBorders>
          <w:top w:val="single" w:color="D9E1EA" w:sz="4"/>
          <w:left w:val="single" w:color="D9E1EA" w:sz="4"/>
          <w:bottom w:val="single" w:color="D9E1EA" w:sz="4"/>
          <w:right w:val="single" w:color="D9E1EA" w:sz="4"/>
          <w:insideH w:val="single" w:color="D9E1EA" w:sz="4"/>
          <w:insideV w:val="single" w:color="D9E1EA" w:sz="4"/>
        </w:tblBorders>
      </w:tblPr>
      <w:tblGrid>
        <w:gridCol w:w="2000"/>
        <w:gridCol w:w="1500"/>
        <w:gridCol w:w="1500"/>
        <w:gridCol w:w="1440"/>
        <w:gridCol w:w="1440"/>
        <w:gridCol w:w="1480"/>
      </w:tblGrid>
      <w:tr>
        <w:trPr>
          <w:tblHeader/>
        </w:trPr>
        <w:tc>
          <w:tcPr>
            <w:tcW w:type="dxa" w:w="2000"/>
            <w:shd w:fill="0D6E7C" w:color="auto" w:val="clear"/>
            <w:tcMar>
              <w:top w:type="dxa" w:w="70"/>
              <w:left w:type="dxa" w:w="110"/>
              <w:bottom w:type="dxa" w:w="70"/>
              <w:right w:type="dxa" w:w="110"/>
            </w:tcMar>
          </w:tcPr>
          <w:p>
            <w:pPr>
              <w:jc w:val="left"/>
            </w:pPr>
            <w:r>
              <w:rPr>
                <w:b/>
                <w:bCs/>
                <w:color w:val="FFFFFF"/>
                <w:sz w:val="17"/>
                <w:szCs w:val="17"/>
              </w:rPr>
              <w:t xml:space="preserve">Lake</w:t>
            </w:r>
          </w:p>
        </w:tc>
        <w:tc>
          <w:tcPr>
            <w:tcW w:type="dxa" w:w="1500"/>
            <w:shd w:fill="0D6E7C" w:color="auto" w:val="clear"/>
            <w:tcMar>
              <w:top w:type="dxa" w:w="70"/>
              <w:left w:type="dxa" w:w="110"/>
              <w:bottom w:type="dxa" w:w="70"/>
              <w:right w:type="dxa" w:w="110"/>
            </w:tcMar>
          </w:tcPr>
          <w:p>
            <w:pPr>
              <w:jc w:val="center"/>
            </w:pPr>
            <w:r>
              <w:rPr>
                <w:b/>
                <w:bCs/>
                <w:color w:val="FFFFFF"/>
                <w:sz w:val="17"/>
                <w:szCs w:val="17"/>
              </w:rPr>
              <w:t xml:space="preserve">S2 date</w:t>
            </w:r>
          </w:p>
        </w:tc>
        <w:tc>
          <w:tcPr>
            <w:tcW w:type="dxa" w:w="1500"/>
            <w:shd w:fill="0D6E7C" w:color="auto" w:val="clear"/>
            <w:tcMar>
              <w:top w:type="dxa" w:w="70"/>
              <w:left w:type="dxa" w:w="110"/>
              <w:bottom w:type="dxa" w:w="70"/>
              <w:right w:type="dxa" w:w="110"/>
            </w:tcMar>
          </w:tcPr>
          <w:p>
            <w:pPr>
              <w:jc w:val="center"/>
            </w:pPr>
            <w:r>
              <w:rPr>
                <w:b/>
                <w:bCs/>
                <w:color w:val="FFFFFF"/>
                <w:sz w:val="17"/>
                <w:szCs w:val="17"/>
              </w:rPr>
              <w:t xml:space="preserve">S1 date</w:t>
            </w:r>
          </w:p>
        </w:tc>
        <w:tc>
          <w:tcPr>
            <w:tcW w:type="dxa" w:w="1440"/>
            <w:shd w:fill="0D6E7C" w:color="auto" w:val="clear"/>
            <w:tcMar>
              <w:top w:type="dxa" w:w="70"/>
              <w:left w:type="dxa" w:w="110"/>
              <w:bottom w:type="dxa" w:w="70"/>
              <w:right w:type="dxa" w:w="110"/>
            </w:tcMar>
          </w:tcPr>
          <w:p>
            <w:pPr>
              <w:jc w:val="center"/>
            </w:pPr>
            <w:r>
              <w:rPr>
                <w:b/>
                <w:bCs/>
                <w:color w:val="FFFFFF"/>
                <w:sz w:val="17"/>
                <w:szCs w:val="17"/>
              </w:rPr>
              <w:t xml:space="preserve">Optical</w:t>
            </w:r>
          </w:p>
        </w:tc>
        <w:tc>
          <w:tcPr>
            <w:tcW w:type="dxa" w:w="1440"/>
            <w:shd w:fill="0D6E7C" w:color="auto" w:val="clear"/>
            <w:tcMar>
              <w:top w:type="dxa" w:w="70"/>
              <w:left w:type="dxa" w:w="110"/>
              <w:bottom w:type="dxa" w:w="70"/>
              <w:right w:type="dxa" w:w="110"/>
            </w:tcMar>
          </w:tcPr>
          <w:p>
            <w:pPr>
              <w:jc w:val="center"/>
            </w:pPr>
            <w:r>
              <w:rPr>
                <w:b/>
                <w:bCs/>
                <w:color w:val="FFFFFF"/>
                <w:sz w:val="17"/>
                <w:szCs w:val="17"/>
              </w:rPr>
              <w:t xml:space="preserve">Radar</w:t>
            </w:r>
          </w:p>
        </w:tc>
        <w:tc>
          <w:tcPr>
            <w:tcW w:type="dxa" w:w="1480"/>
            <w:shd w:fill="0D6E7C" w:color="auto" w:val="clear"/>
            <w:tcMar>
              <w:top w:type="dxa" w:w="70"/>
              <w:left w:type="dxa" w:w="110"/>
              <w:bottom w:type="dxa" w:w="70"/>
              <w:right w:type="dxa" w:w="110"/>
            </w:tcMar>
          </w:tcPr>
          <w:p>
            <w:pPr>
              <w:jc w:val="center"/>
            </w:pPr>
            <w:r>
              <w:rPr>
                <w:b/>
                <w:bCs/>
                <w:color w:val="FFFFFF"/>
                <w:sz w:val="17"/>
                <w:szCs w:val="17"/>
              </w:rPr>
              <w:t xml:space="preserve">Offset</w:t>
            </w:r>
          </w:p>
        </w:tc>
      </w:tr>
      <w:tr>
        <w:tc>
          <w:tcPr>
            <w:tcW w:type="dxa" w:w="2000"/>
            <w:tcMar>
              <w:top w:type="dxa" w:w="60"/>
              <w:left w:type="dxa" w:w="110"/>
              <w:bottom w:type="dxa" w:w="60"/>
              <w:right w:type="dxa" w:w="110"/>
            </w:tcMar>
          </w:tcPr>
          <w:p>
            <w:pPr>
              <w:jc w:val="left"/>
            </w:pPr>
            <w:r>
              <w:rPr>
                <w:b w:val="false"/>
                <w:bCs w:val="false"/>
                <w:color w:val="44586A"/>
                <w:sz w:val="18"/>
                <w:szCs w:val="18"/>
              </w:rPr>
              <w:t xml:space="preserve">Ambazari</w:t>
            </w:r>
          </w:p>
        </w:tc>
        <w:tc>
          <w:tcPr>
            <w:tcW w:type="dxa" w:w="1500"/>
            <w:tcMar>
              <w:top w:type="dxa" w:w="60"/>
              <w:left w:type="dxa" w:w="110"/>
              <w:bottom w:type="dxa" w:w="60"/>
              <w:right w:type="dxa" w:w="110"/>
            </w:tcMar>
          </w:tcPr>
          <w:p>
            <w:pPr>
              <w:jc w:val="center"/>
            </w:pPr>
            <w:r>
              <w:rPr>
                <w:b w:val="false"/>
                <w:bCs w:val="false"/>
                <w:color w:val="44586A"/>
                <w:sz w:val="18"/>
                <w:szCs w:val="18"/>
              </w:rPr>
              <w:t xml:space="preserve">2026-07-16</w:t>
            </w:r>
          </w:p>
        </w:tc>
        <w:tc>
          <w:tcPr>
            <w:tcW w:type="dxa" w:w="1500"/>
            <w:tcMar>
              <w:top w:type="dxa" w:w="60"/>
              <w:left w:type="dxa" w:w="110"/>
              <w:bottom w:type="dxa" w:w="60"/>
              <w:right w:type="dxa" w:w="110"/>
            </w:tcMar>
          </w:tcPr>
          <w:p>
            <w:pPr>
              <w:jc w:val="center"/>
            </w:pPr>
            <w:r>
              <w:rPr>
                <w:b w:val="false"/>
                <w:bCs w:val="false"/>
                <w:color w:val="44586A"/>
                <w:sz w:val="18"/>
                <w:szCs w:val="18"/>
              </w:rPr>
              <w:t xml:space="preserve">2026-08-10</w:t>
            </w:r>
          </w:p>
        </w:tc>
        <w:tc>
          <w:tcPr>
            <w:tcW w:type="dxa" w:w="1440"/>
            <w:tcMar>
              <w:top w:type="dxa" w:w="60"/>
              <w:left w:type="dxa" w:w="110"/>
              <w:bottom w:type="dxa" w:w="60"/>
              <w:right w:type="dxa" w:w="110"/>
            </w:tcMar>
          </w:tcPr>
          <w:p>
            <w:pPr>
              <w:jc w:val="center"/>
            </w:pPr>
            <w:r>
              <w:rPr>
                <w:b w:val="false"/>
                <w:bCs w:val="false"/>
                <w:color w:val="44586A"/>
                <w:sz w:val="18"/>
                <w:szCs w:val="18"/>
              </w:rPr>
              <w:t xml:space="preserve">41</w:t>
            </w:r>
          </w:p>
        </w:tc>
        <w:tc>
          <w:tcPr>
            <w:tcW w:type="dxa" w:w="1440"/>
            <w:tcMar>
              <w:top w:type="dxa" w:w="60"/>
              <w:left w:type="dxa" w:w="110"/>
              <w:bottom w:type="dxa" w:w="60"/>
              <w:right w:type="dxa" w:w="110"/>
            </w:tcMar>
          </w:tcPr>
          <w:p>
            <w:pPr>
              <w:jc w:val="center"/>
            </w:pPr>
            <w:r>
              <w:rPr>
                <w:b w:val="false"/>
                <w:bCs w:val="false"/>
                <w:color w:val="44586A"/>
                <w:sz w:val="18"/>
                <w:szCs w:val="18"/>
              </w:rPr>
              <w:t xml:space="preserve">31</w:t>
            </w:r>
          </w:p>
        </w:tc>
        <w:tc>
          <w:tcPr>
            <w:tcW w:type="dxa" w:w="1480"/>
            <w:tcMar>
              <w:top w:type="dxa" w:w="60"/>
              <w:left w:type="dxa" w:w="110"/>
              <w:bottom w:type="dxa" w:w="60"/>
              <w:right w:type="dxa" w:w="110"/>
            </w:tcMar>
          </w:tcPr>
          <w:p>
            <w:pPr>
              <w:jc w:val="center"/>
            </w:pPr>
            <w:r>
              <w:rPr>
                <w:b w:val="false"/>
                <w:bCs w:val="false"/>
                <w:color w:val="44586A"/>
                <w:sz w:val="18"/>
                <w:szCs w:val="18"/>
              </w:rPr>
              <w:t xml:space="preserve">~50 m</w:t>
            </w:r>
          </w:p>
        </w:tc>
      </w:tr>
      <w:tr>
        <w:tc>
          <w:tcPr>
            <w:tcW w:type="dxa" w:w="2000"/>
            <w:tcMar>
              <w:top w:type="dxa" w:w="60"/>
              <w:left w:type="dxa" w:w="110"/>
              <w:bottom w:type="dxa" w:w="60"/>
              <w:right w:type="dxa" w:w="110"/>
            </w:tcMar>
          </w:tcPr>
          <w:p>
            <w:pPr>
              <w:jc w:val="left"/>
            </w:pPr>
            <w:r>
              <w:rPr>
                <w:b w:val="false"/>
                <w:bCs w:val="false"/>
                <w:color w:val="44586A"/>
                <w:sz w:val="18"/>
                <w:szCs w:val="18"/>
              </w:rPr>
              <w:t xml:space="preserve">Gorewada</w:t>
            </w:r>
          </w:p>
        </w:tc>
        <w:tc>
          <w:tcPr>
            <w:tcW w:type="dxa" w:w="1500"/>
            <w:tcMar>
              <w:top w:type="dxa" w:w="60"/>
              <w:left w:type="dxa" w:w="110"/>
              <w:bottom w:type="dxa" w:w="60"/>
              <w:right w:type="dxa" w:w="110"/>
            </w:tcMar>
          </w:tcPr>
          <w:p>
            <w:pPr>
              <w:jc w:val="center"/>
            </w:pPr>
            <w:r>
              <w:rPr>
                <w:b w:val="false"/>
                <w:bCs w:val="false"/>
                <w:color w:val="44586A"/>
                <w:sz w:val="18"/>
                <w:szCs w:val="18"/>
              </w:rPr>
              <w:t xml:space="preserve">2026-05-30</w:t>
            </w:r>
          </w:p>
        </w:tc>
        <w:tc>
          <w:tcPr>
            <w:tcW w:type="dxa" w:w="1500"/>
            <w:tcMar>
              <w:top w:type="dxa" w:w="60"/>
              <w:left w:type="dxa" w:w="110"/>
              <w:bottom w:type="dxa" w:w="60"/>
              <w:right w:type="dxa" w:w="110"/>
            </w:tcMar>
          </w:tcPr>
          <w:p>
            <w:pPr>
              <w:jc w:val="center"/>
            </w:pPr>
            <w:r>
              <w:rPr>
                <w:b w:val="false"/>
                <w:bCs w:val="false"/>
                <w:color w:val="44586A"/>
                <w:sz w:val="18"/>
                <w:szCs w:val="18"/>
              </w:rPr>
              <w:t xml:space="preserve">2026-08-10</w:t>
            </w:r>
          </w:p>
        </w:tc>
        <w:tc>
          <w:tcPr>
            <w:tcW w:type="dxa" w:w="1440"/>
            <w:tcMar>
              <w:top w:type="dxa" w:w="60"/>
              <w:left w:type="dxa" w:w="110"/>
              <w:bottom w:type="dxa" w:w="60"/>
              <w:right w:type="dxa" w:w="110"/>
            </w:tcMar>
          </w:tcPr>
          <w:p>
            <w:pPr>
              <w:jc w:val="center"/>
            </w:pPr>
            <w:r>
              <w:rPr>
                <w:b w:val="false"/>
                <w:bCs w:val="false"/>
                <w:color w:val="44586A"/>
                <w:sz w:val="18"/>
                <w:szCs w:val="18"/>
              </w:rPr>
              <w:t xml:space="preserve">47</w:t>
            </w:r>
          </w:p>
        </w:tc>
        <w:tc>
          <w:tcPr>
            <w:tcW w:type="dxa" w:w="1440"/>
            <w:tcMar>
              <w:top w:type="dxa" w:w="60"/>
              <w:left w:type="dxa" w:w="110"/>
              <w:bottom w:type="dxa" w:w="60"/>
              <w:right w:type="dxa" w:w="110"/>
            </w:tcMar>
          </w:tcPr>
          <w:p>
            <w:pPr>
              <w:jc w:val="center"/>
            </w:pPr>
            <w:r>
              <w:rPr>
                <w:b w:val="false"/>
                <w:bCs w:val="false"/>
                <w:color w:val="44586A"/>
                <w:sz w:val="18"/>
                <w:szCs w:val="18"/>
              </w:rPr>
              <w:t xml:space="preserve">25</w:t>
            </w:r>
          </w:p>
        </w:tc>
        <w:tc>
          <w:tcPr>
            <w:tcW w:type="dxa" w:w="1480"/>
            <w:tcMar>
              <w:top w:type="dxa" w:w="60"/>
              <w:left w:type="dxa" w:w="110"/>
              <w:bottom w:type="dxa" w:w="60"/>
              <w:right w:type="dxa" w:w="110"/>
            </w:tcMar>
          </w:tcPr>
          <w:p>
            <w:pPr>
              <w:jc w:val="center"/>
            </w:pPr>
            <w:r>
              <w:rPr>
                <w:b w:val="false"/>
                <w:bCs w:val="false"/>
                <w:color w:val="44586A"/>
                <w:sz w:val="18"/>
                <w:szCs w:val="18"/>
              </w:rPr>
              <w:t xml:space="preserve">~19 m</w:t>
            </w:r>
          </w:p>
        </w:tc>
      </w:tr>
      <w:tr>
        <w:tc>
          <w:tcPr>
            <w:tcW w:type="dxa" w:w="2000"/>
            <w:tcMar>
              <w:top w:type="dxa" w:w="60"/>
              <w:left w:type="dxa" w:w="110"/>
              <w:bottom w:type="dxa" w:w="60"/>
              <w:right w:type="dxa" w:w="110"/>
            </w:tcMar>
          </w:tcPr>
          <w:p>
            <w:pPr>
              <w:jc w:val="left"/>
            </w:pPr>
            <w:r>
              <w:rPr>
                <w:b w:val="false"/>
                <w:bCs w:val="false"/>
                <w:color w:val="44586A"/>
                <w:sz w:val="18"/>
                <w:szCs w:val="18"/>
              </w:rPr>
              <w:t xml:space="preserve">Futala</w:t>
            </w:r>
          </w:p>
        </w:tc>
        <w:tc>
          <w:tcPr>
            <w:tcW w:type="dxa" w:w="1500"/>
            <w:tcMar>
              <w:top w:type="dxa" w:w="60"/>
              <w:left w:type="dxa" w:w="110"/>
              <w:bottom w:type="dxa" w:w="60"/>
              <w:right w:type="dxa" w:w="110"/>
            </w:tcMar>
          </w:tcPr>
          <w:p>
            <w:pPr>
              <w:jc w:val="center"/>
            </w:pPr>
            <w:r>
              <w:rPr>
                <w:b w:val="false"/>
                <w:bCs w:val="false"/>
                <w:color w:val="44586A"/>
                <w:sz w:val="18"/>
                <w:szCs w:val="18"/>
              </w:rPr>
              <w:t xml:space="preserve">2026-05-27</w:t>
            </w:r>
          </w:p>
        </w:tc>
        <w:tc>
          <w:tcPr>
            <w:tcW w:type="dxa" w:w="1500"/>
            <w:tcMar>
              <w:top w:type="dxa" w:w="60"/>
              <w:left w:type="dxa" w:w="110"/>
              <w:bottom w:type="dxa" w:w="60"/>
              <w:right w:type="dxa" w:w="110"/>
            </w:tcMar>
          </w:tcPr>
          <w:p>
            <w:pPr>
              <w:jc w:val="center"/>
            </w:pPr>
            <w:r>
              <w:rPr>
                <w:b w:val="false"/>
                <w:bCs w:val="false"/>
                <w:color w:val="44586A"/>
                <w:sz w:val="18"/>
                <w:szCs w:val="18"/>
              </w:rPr>
              <w:t xml:space="preserve">2026-08-10</w:t>
            </w:r>
          </w:p>
        </w:tc>
        <w:tc>
          <w:tcPr>
            <w:tcW w:type="dxa" w:w="1440"/>
            <w:tcMar>
              <w:top w:type="dxa" w:w="60"/>
              <w:left w:type="dxa" w:w="110"/>
              <w:bottom w:type="dxa" w:w="60"/>
              <w:right w:type="dxa" w:w="110"/>
            </w:tcMar>
          </w:tcPr>
          <w:p>
            <w:pPr>
              <w:jc w:val="center"/>
            </w:pPr>
            <w:r>
              <w:rPr>
                <w:b w:val="false"/>
                <w:bCs w:val="false"/>
                <w:color w:val="44586A"/>
                <w:sz w:val="18"/>
                <w:szCs w:val="18"/>
              </w:rPr>
              <w:t xml:space="preserve">49</w:t>
            </w:r>
          </w:p>
        </w:tc>
        <w:tc>
          <w:tcPr>
            <w:tcW w:type="dxa" w:w="1440"/>
            <w:tcMar>
              <w:top w:type="dxa" w:w="60"/>
              <w:left w:type="dxa" w:w="110"/>
              <w:bottom w:type="dxa" w:w="60"/>
              <w:right w:type="dxa" w:w="110"/>
            </w:tcMar>
          </w:tcPr>
          <w:p>
            <w:pPr>
              <w:jc w:val="center"/>
            </w:pPr>
            <w:r>
              <w:rPr>
                <w:b w:val="false"/>
                <w:bCs w:val="false"/>
                <w:color w:val="44586A"/>
                <w:sz w:val="18"/>
                <w:szCs w:val="18"/>
              </w:rPr>
              <w:t xml:space="preserve">15</w:t>
            </w:r>
          </w:p>
        </w:tc>
        <w:tc>
          <w:tcPr>
            <w:tcW w:type="dxa" w:w="1480"/>
            <w:tcMar>
              <w:top w:type="dxa" w:w="60"/>
              <w:left w:type="dxa" w:w="110"/>
              <w:bottom w:type="dxa" w:w="60"/>
              <w:right w:type="dxa" w:w="110"/>
            </w:tcMar>
          </w:tcPr>
          <w:p>
            <w:pPr>
              <w:jc w:val="center"/>
            </w:pPr>
            <w:r>
              <w:rPr>
                <w:b w:val="false"/>
                <w:bCs w:val="false"/>
                <w:color w:val="44586A"/>
                <w:sz w:val="18"/>
                <w:szCs w:val="18"/>
              </w:rPr>
              <w:t xml:space="preserve">~130 m</w:t>
            </w:r>
          </w:p>
        </w:tc>
      </w:tr>
    </w:tbl>
    <w:p>
      <w:pPr>
        <w:spacing w:after="60"/>
      </w:pPr>
    </w:p>
    <w:p>
      <w:pPr>
        <w:spacing w:after="140" w:line="276"/>
      </w:pPr>
      <w:r>
        <w:rPr>
          <w:color w:val="44586A"/>
          <w:sz w:val="21"/>
          <w:szCs w:val="21"/>
        </w:rPr>
        <w:t xml:space="preserve">The alignment’s value appears when the match tolerance is tight (a precise, low-false-match radius). Sweeping the tolerance on Ambazari, the no-alignment overlay loses the corroborations the offset pushes out of range, while our alignment keeps them:</w:t>
      </w:r>
    </w:p>
    <w:tbl>
      <w:tblPr>
        <w:tblW w:type="dxa" w:w="9360"/>
        <w:tblBorders>
          <w:top w:val="single" w:color="D9E1EA" w:sz="4"/>
          <w:left w:val="single" w:color="D9E1EA" w:sz="4"/>
          <w:bottom w:val="single" w:color="D9E1EA" w:sz="4"/>
          <w:right w:val="single" w:color="D9E1EA" w:sz="4"/>
          <w:insideH w:val="single" w:color="D9E1EA" w:sz="4"/>
          <w:insideV w:val="single" w:color="D9E1EA" w:sz="4"/>
        </w:tblBorders>
      </w:tblPr>
      <w:tblGrid>
        <w:gridCol w:w="3360"/>
        <w:gridCol w:w="1000"/>
        <w:gridCol w:w="1000"/>
        <w:gridCol w:w="1000"/>
        <w:gridCol w:w="1000"/>
        <w:gridCol w:w="1000"/>
        <w:gridCol w:w="1000"/>
      </w:tblGrid>
      <w:tr>
        <w:trPr>
          <w:tblHeader/>
        </w:trPr>
        <w:tc>
          <w:tcPr>
            <w:tcW w:type="dxa" w:w="3360"/>
            <w:shd w:fill="0D6E7C" w:color="auto" w:val="clear"/>
            <w:tcMar>
              <w:top w:type="dxa" w:w="70"/>
              <w:left w:type="dxa" w:w="110"/>
              <w:bottom w:type="dxa" w:w="70"/>
              <w:right w:type="dxa" w:w="110"/>
            </w:tcMar>
          </w:tcPr>
          <w:p>
            <w:pPr>
              <w:jc w:val="left"/>
            </w:pPr>
            <w:r>
              <w:rPr>
                <w:b/>
                <w:bCs/>
                <w:color w:val="FFFFFF"/>
                <w:sz w:val="17"/>
                <w:szCs w:val="17"/>
              </w:rPr>
              <w:t xml:space="preserve">Match tolerance</w:t>
            </w:r>
          </w:p>
        </w:tc>
        <w:tc>
          <w:tcPr>
            <w:tcW w:type="dxa" w:w="1000"/>
            <w:shd w:fill="0D6E7C" w:color="auto" w:val="clear"/>
            <w:tcMar>
              <w:top w:type="dxa" w:w="70"/>
              <w:left w:type="dxa" w:w="110"/>
              <w:bottom w:type="dxa" w:w="70"/>
              <w:right w:type="dxa" w:w="110"/>
            </w:tcMar>
          </w:tcPr>
          <w:p>
            <w:pPr>
              <w:jc w:val="center"/>
            </w:pPr>
            <w:r>
              <w:rPr>
                <w:b/>
                <w:bCs/>
                <w:color w:val="FFFFFF"/>
                <w:sz w:val="17"/>
                <w:szCs w:val="17"/>
              </w:rPr>
              <w:t xml:space="preserve">20 m</w:t>
            </w:r>
          </w:p>
        </w:tc>
        <w:tc>
          <w:tcPr>
            <w:tcW w:type="dxa" w:w="1000"/>
            <w:shd w:fill="0D6E7C" w:color="auto" w:val="clear"/>
            <w:tcMar>
              <w:top w:type="dxa" w:w="70"/>
              <w:left w:type="dxa" w:w="110"/>
              <w:bottom w:type="dxa" w:w="70"/>
              <w:right w:type="dxa" w:w="110"/>
            </w:tcMar>
          </w:tcPr>
          <w:p>
            <w:pPr>
              <w:jc w:val="center"/>
            </w:pPr>
            <w:r>
              <w:rPr>
                <w:b/>
                <w:bCs/>
                <w:color w:val="FFFFFF"/>
                <w:sz w:val="17"/>
                <w:szCs w:val="17"/>
              </w:rPr>
              <w:t xml:space="preserve">30 m</w:t>
            </w:r>
          </w:p>
        </w:tc>
        <w:tc>
          <w:tcPr>
            <w:tcW w:type="dxa" w:w="1000"/>
            <w:shd w:fill="0D6E7C" w:color="auto" w:val="clear"/>
            <w:tcMar>
              <w:top w:type="dxa" w:w="70"/>
              <w:left w:type="dxa" w:w="110"/>
              <w:bottom w:type="dxa" w:w="70"/>
              <w:right w:type="dxa" w:w="110"/>
            </w:tcMar>
          </w:tcPr>
          <w:p>
            <w:pPr>
              <w:jc w:val="center"/>
            </w:pPr>
            <w:r>
              <w:rPr>
                <w:b/>
                <w:bCs/>
                <w:color w:val="FFFFFF"/>
                <w:sz w:val="17"/>
                <w:szCs w:val="17"/>
              </w:rPr>
              <w:t xml:space="preserve">40 m</w:t>
            </w:r>
          </w:p>
        </w:tc>
        <w:tc>
          <w:tcPr>
            <w:tcW w:type="dxa" w:w="1000"/>
            <w:shd w:fill="0D6E7C" w:color="auto" w:val="clear"/>
            <w:tcMar>
              <w:top w:type="dxa" w:w="70"/>
              <w:left w:type="dxa" w:w="110"/>
              <w:bottom w:type="dxa" w:w="70"/>
              <w:right w:type="dxa" w:w="110"/>
            </w:tcMar>
          </w:tcPr>
          <w:p>
            <w:pPr>
              <w:jc w:val="center"/>
            </w:pPr>
            <w:r>
              <w:rPr>
                <w:b/>
                <w:bCs/>
                <w:color w:val="FFFFFF"/>
                <w:sz w:val="17"/>
                <w:szCs w:val="17"/>
              </w:rPr>
              <w:t xml:space="preserve">50 m</w:t>
            </w:r>
          </w:p>
        </w:tc>
        <w:tc>
          <w:tcPr>
            <w:tcW w:type="dxa" w:w="1000"/>
            <w:shd w:fill="0D6E7C" w:color="auto" w:val="clear"/>
            <w:tcMar>
              <w:top w:type="dxa" w:w="70"/>
              <w:left w:type="dxa" w:w="110"/>
              <w:bottom w:type="dxa" w:w="70"/>
              <w:right w:type="dxa" w:w="110"/>
            </w:tcMar>
          </w:tcPr>
          <w:p>
            <w:pPr>
              <w:jc w:val="center"/>
            </w:pPr>
            <w:r>
              <w:rPr>
                <w:b/>
                <w:bCs/>
                <w:color w:val="FFFFFF"/>
                <w:sz w:val="17"/>
                <w:szCs w:val="17"/>
              </w:rPr>
              <w:t xml:space="preserve">60 m</w:t>
            </w:r>
          </w:p>
        </w:tc>
        <w:tc>
          <w:tcPr>
            <w:tcW w:type="dxa" w:w="1000"/>
            <w:shd w:fill="0D6E7C" w:color="auto" w:val="clear"/>
            <w:tcMar>
              <w:top w:type="dxa" w:w="70"/>
              <w:left w:type="dxa" w:w="110"/>
              <w:bottom w:type="dxa" w:w="70"/>
              <w:right w:type="dxa" w:w="110"/>
            </w:tcMar>
          </w:tcPr>
          <w:p>
            <w:pPr>
              <w:jc w:val="center"/>
            </w:pPr>
            <w:r>
              <w:rPr>
                <w:b/>
                <w:bCs/>
                <w:color w:val="FFFFFF"/>
                <w:sz w:val="17"/>
                <w:szCs w:val="17"/>
              </w:rPr>
              <w:t xml:space="preserve">80 m</w:t>
            </w:r>
          </w:p>
        </w:tc>
      </w:tr>
      <w:tr>
        <w:tc>
          <w:tcPr>
            <w:tcW w:type="dxa" w:w="3360"/>
            <w:shd w:fill="FBEEE9" w:color="auto" w:val="clear"/>
            <w:tcMar>
              <w:top w:type="dxa" w:w="60"/>
              <w:left w:type="dxa" w:w="110"/>
              <w:bottom w:type="dxa" w:w="60"/>
              <w:right w:type="dxa" w:w="110"/>
            </w:tcMar>
          </w:tcPr>
          <w:p>
            <w:pPr>
              <w:jc w:val="left"/>
            </w:pPr>
            <w:r>
              <w:rPr>
                <w:b w:val="false"/>
                <w:bCs w:val="false"/>
                <w:color w:val="44586A"/>
                <w:sz w:val="18"/>
                <w:szCs w:val="18"/>
              </w:rPr>
              <w:t xml:space="preserve">no alignment (traditional)</w:t>
            </w:r>
          </w:p>
        </w:tc>
        <w:tc>
          <w:tcPr>
            <w:tcW w:type="dxa" w:w="1000"/>
            <w:shd w:fill="FBEEE9" w:color="auto" w:val="clear"/>
            <w:tcMar>
              <w:top w:type="dxa" w:w="60"/>
              <w:left w:type="dxa" w:w="110"/>
              <w:bottom w:type="dxa" w:w="60"/>
              <w:right w:type="dxa" w:w="110"/>
            </w:tcMar>
          </w:tcPr>
          <w:p>
            <w:pPr>
              <w:jc w:val="center"/>
            </w:pPr>
            <w:r>
              <w:rPr>
                <w:b w:val="false"/>
                <w:bCs w:val="false"/>
                <w:color w:val="44586A"/>
                <w:sz w:val="18"/>
                <w:szCs w:val="18"/>
              </w:rPr>
              <w:t xml:space="preserve">1</w:t>
            </w:r>
          </w:p>
        </w:tc>
        <w:tc>
          <w:tcPr>
            <w:tcW w:type="dxa" w:w="1000"/>
            <w:shd w:fill="FBEEE9" w:color="auto" w:val="clear"/>
            <w:tcMar>
              <w:top w:type="dxa" w:w="60"/>
              <w:left w:type="dxa" w:w="110"/>
              <w:bottom w:type="dxa" w:w="60"/>
              <w:right w:type="dxa" w:w="110"/>
            </w:tcMar>
          </w:tcPr>
          <w:p>
            <w:pPr>
              <w:jc w:val="center"/>
            </w:pPr>
            <w:r>
              <w:rPr>
                <w:b w:val="false"/>
                <w:bCs w:val="false"/>
                <w:color w:val="44586A"/>
                <w:sz w:val="18"/>
                <w:szCs w:val="18"/>
              </w:rPr>
              <w:t xml:space="preserve">1</w:t>
            </w:r>
          </w:p>
        </w:tc>
        <w:tc>
          <w:tcPr>
            <w:tcW w:type="dxa" w:w="1000"/>
            <w:shd w:fill="FBEEE9" w:color="auto" w:val="clear"/>
            <w:tcMar>
              <w:top w:type="dxa" w:w="60"/>
              <w:left w:type="dxa" w:w="110"/>
              <w:bottom w:type="dxa" w:w="60"/>
              <w:right w:type="dxa" w:w="110"/>
            </w:tcMar>
          </w:tcPr>
          <w:p>
            <w:pPr>
              <w:jc w:val="center"/>
            </w:pPr>
            <w:r>
              <w:rPr>
                <w:b w:val="false"/>
                <w:bCs w:val="false"/>
                <w:color w:val="44586A"/>
                <w:sz w:val="18"/>
                <w:szCs w:val="18"/>
              </w:rPr>
              <w:t xml:space="preserve">1</w:t>
            </w:r>
          </w:p>
        </w:tc>
        <w:tc>
          <w:tcPr>
            <w:tcW w:type="dxa" w:w="1000"/>
            <w:shd w:fill="FBEEE9" w:color="auto" w:val="clear"/>
            <w:tcMar>
              <w:top w:type="dxa" w:w="60"/>
              <w:left w:type="dxa" w:w="110"/>
              <w:bottom w:type="dxa" w:w="60"/>
              <w:right w:type="dxa" w:w="110"/>
            </w:tcMar>
          </w:tcPr>
          <w:p>
            <w:pPr>
              <w:jc w:val="center"/>
            </w:pPr>
            <w:r>
              <w:rPr>
                <w:b w:val="false"/>
                <w:bCs w:val="false"/>
                <w:color w:val="44586A"/>
                <w:sz w:val="18"/>
                <w:szCs w:val="18"/>
              </w:rPr>
              <w:t xml:space="preserve">2</w:t>
            </w:r>
          </w:p>
        </w:tc>
        <w:tc>
          <w:tcPr>
            <w:tcW w:type="dxa" w:w="1000"/>
            <w:shd w:fill="FBEEE9" w:color="auto" w:val="clear"/>
            <w:tcMar>
              <w:top w:type="dxa" w:w="60"/>
              <w:left w:type="dxa" w:w="110"/>
              <w:bottom w:type="dxa" w:w="60"/>
              <w:right w:type="dxa" w:w="110"/>
            </w:tcMar>
          </w:tcPr>
          <w:p>
            <w:pPr>
              <w:jc w:val="center"/>
            </w:pPr>
            <w:r>
              <w:rPr>
                <w:b w:val="false"/>
                <w:bCs w:val="false"/>
                <w:color w:val="44586A"/>
                <w:sz w:val="18"/>
                <w:szCs w:val="18"/>
              </w:rPr>
              <w:t xml:space="preserve">5</w:t>
            </w:r>
          </w:p>
        </w:tc>
        <w:tc>
          <w:tcPr>
            <w:tcW w:type="dxa" w:w="1000"/>
            <w:shd w:fill="FBEEE9" w:color="auto" w:val="clear"/>
            <w:tcMar>
              <w:top w:type="dxa" w:w="60"/>
              <w:left w:type="dxa" w:w="110"/>
              <w:bottom w:type="dxa" w:w="60"/>
              <w:right w:type="dxa" w:w="110"/>
            </w:tcMar>
          </w:tcPr>
          <w:p>
            <w:pPr>
              <w:jc w:val="center"/>
            </w:pPr>
            <w:r>
              <w:rPr>
                <w:b w:val="false"/>
                <w:bCs w:val="false"/>
                <w:color w:val="44586A"/>
                <w:sz w:val="18"/>
                <w:szCs w:val="18"/>
              </w:rPr>
              <w:t xml:space="preserve">5</w:t>
            </w:r>
          </w:p>
        </w:tc>
      </w:tr>
      <w:tr>
        <w:tc>
          <w:tcPr>
            <w:tcW w:type="dxa" w:w="3360"/>
            <w:shd w:fill="E7F5EF" w:color="auto" w:val="clear"/>
            <w:tcMar>
              <w:top w:type="dxa" w:w="60"/>
              <w:left w:type="dxa" w:w="110"/>
              <w:bottom w:type="dxa" w:w="60"/>
              <w:right w:type="dxa" w:w="110"/>
            </w:tcMar>
          </w:tcPr>
          <w:p>
            <w:pPr>
              <w:jc w:val="left"/>
            </w:pPr>
            <w:r>
              <w:rPr>
                <w:b/>
                <w:bCs/>
                <w:color w:val="13202E"/>
                <w:sz w:val="18"/>
                <w:szCs w:val="18"/>
              </w:rPr>
              <w:t xml:space="preserve">with alignment (ours)</w:t>
            </w:r>
          </w:p>
        </w:tc>
        <w:tc>
          <w:tcPr>
            <w:tcW w:type="dxa" w:w="1000"/>
            <w:shd w:fill="E7F5EF" w:color="auto" w:val="clear"/>
            <w:tcMar>
              <w:top w:type="dxa" w:w="60"/>
              <w:left w:type="dxa" w:w="110"/>
              <w:bottom w:type="dxa" w:w="60"/>
              <w:right w:type="dxa" w:w="110"/>
            </w:tcMar>
          </w:tcPr>
          <w:p>
            <w:pPr>
              <w:jc w:val="center"/>
            </w:pPr>
            <w:r>
              <w:rPr>
                <w:b/>
                <w:bCs/>
                <w:color w:val="13202E"/>
                <w:sz w:val="18"/>
                <w:szCs w:val="18"/>
              </w:rPr>
              <w:t xml:space="preserve">3</w:t>
            </w:r>
          </w:p>
        </w:tc>
        <w:tc>
          <w:tcPr>
            <w:tcW w:type="dxa" w:w="1000"/>
            <w:shd w:fill="E7F5EF" w:color="auto" w:val="clear"/>
            <w:tcMar>
              <w:top w:type="dxa" w:w="60"/>
              <w:left w:type="dxa" w:w="110"/>
              <w:bottom w:type="dxa" w:w="60"/>
              <w:right w:type="dxa" w:w="110"/>
            </w:tcMar>
          </w:tcPr>
          <w:p>
            <w:pPr>
              <w:jc w:val="center"/>
            </w:pPr>
            <w:r>
              <w:rPr>
                <w:b/>
                <w:bCs/>
                <w:color w:val="13202E"/>
                <w:sz w:val="18"/>
                <w:szCs w:val="18"/>
              </w:rPr>
              <w:t xml:space="preserve">3</w:t>
            </w:r>
          </w:p>
        </w:tc>
        <w:tc>
          <w:tcPr>
            <w:tcW w:type="dxa" w:w="1000"/>
            <w:shd w:fill="E7F5EF" w:color="auto" w:val="clear"/>
            <w:tcMar>
              <w:top w:type="dxa" w:w="60"/>
              <w:left w:type="dxa" w:w="110"/>
              <w:bottom w:type="dxa" w:w="60"/>
              <w:right w:type="dxa" w:w="110"/>
            </w:tcMar>
          </w:tcPr>
          <w:p>
            <w:pPr>
              <w:jc w:val="center"/>
            </w:pPr>
            <w:r>
              <w:rPr>
                <w:b/>
                <w:bCs/>
                <w:color w:val="13202E"/>
                <w:sz w:val="18"/>
                <w:szCs w:val="18"/>
              </w:rPr>
              <w:t xml:space="preserve">3</w:t>
            </w:r>
          </w:p>
        </w:tc>
        <w:tc>
          <w:tcPr>
            <w:tcW w:type="dxa" w:w="1000"/>
            <w:shd w:fill="E7F5EF" w:color="auto" w:val="clear"/>
            <w:tcMar>
              <w:top w:type="dxa" w:w="60"/>
              <w:left w:type="dxa" w:w="110"/>
              <w:bottom w:type="dxa" w:w="60"/>
              <w:right w:type="dxa" w:w="110"/>
            </w:tcMar>
          </w:tcPr>
          <w:p>
            <w:pPr>
              <w:jc w:val="center"/>
            </w:pPr>
            <w:r>
              <w:rPr>
                <w:b/>
                <w:bCs/>
                <w:color w:val="13202E"/>
                <w:sz w:val="18"/>
                <w:szCs w:val="18"/>
              </w:rPr>
              <w:t xml:space="preserve">3</w:t>
            </w:r>
          </w:p>
        </w:tc>
        <w:tc>
          <w:tcPr>
            <w:tcW w:type="dxa" w:w="1000"/>
            <w:shd w:fill="E7F5EF" w:color="auto" w:val="clear"/>
            <w:tcMar>
              <w:top w:type="dxa" w:w="60"/>
              <w:left w:type="dxa" w:w="110"/>
              <w:bottom w:type="dxa" w:w="60"/>
              <w:right w:type="dxa" w:w="110"/>
            </w:tcMar>
          </w:tcPr>
          <w:p>
            <w:pPr>
              <w:jc w:val="center"/>
            </w:pPr>
            <w:r>
              <w:rPr>
                <w:b/>
                <w:bCs/>
                <w:color w:val="13202E"/>
                <w:sz w:val="18"/>
                <w:szCs w:val="18"/>
              </w:rPr>
              <w:t xml:space="preserve">3</w:t>
            </w:r>
          </w:p>
        </w:tc>
        <w:tc>
          <w:tcPr>
            <w:tcW w:type="dxa" w:w="1000"/>
            <w:shd w:fill="E7F5EF" w:color="auto" w:val="clear"/>
            <w:tcMar>
              <w:top w:type="dxa" w:w="60"/>
              <w:left w:type="dxa" w:w="110"/>
              <w:bottom w:type="dxa" w:w="60"/>
              <w:right w:type="dxa" w:w="110"/>
            </w:tcMar>
          </w:tcPr>
          <w:p>
            <w:pPr>
              <w:jc w:val="center"/>
            </w:pPr>
            <w:r>
              <w:rPr>
                <w:b/>
                <w:bCs/>
                <w:color w:val="13202E"/>
                <w:sz w:val="18"/>
                <w:szCs w:val="18"/>
              </w:rPr>
              <w:t xml:space="preserve">5</w:t>
            </w:r>
          </w:p>
        </w:tc>
      </w:tr>
    </w:tbl>
    <w:p>
      <w:pPr>
        <w:spacing w:after="40"/>
      </w:pPr>
    </w:p>
    <w:p>
      <w:pPr>
        <w:spacing w:after="140" w:line="276"/>
      </w:pPr>
      <w:r>
        <w:rPr>
          <w:b/>
          <w:bCs/>
          <w:i w:val="false"/>
          <w:iCs w:val="false"/>
          <w:color w:val="13202E"/>
          <w:sz w:val="21"/>
          <w:szCs w:val="21"/>
        </w:rPr>
        <w:t xml:space="preserve">At a tight 30 m tolerance the alignment confirms 3× more debris (3 vs 1). </w:t>
      </w:r>
      <w:r>
        <w:rPr>
          <w:b w:val="false"/>
          <w:bCs w:val="false"/>
          <w:i w:val="false"/>
          <w:iCs w:val="false"/>
          <w:color w:val="44586A"/>
          <w:sz w:val="21"/>
          <w:szCs w:val="21"/>
        </w:rPr>
        <w:t xml:space="preserve">At a loose tolerance the two converge — but a loose tolerance also admits false matches, so the alignment is what lets you match precisely.</w:t>
      </w:r>
    </w:p>
    <w:p>
      <w:pPr>
        <w:spacing w:after="40" w:before="120"/>
        <w:jc w:val="center"/>
      </w:pPr>
      <w:r>
        <w:drawing>
          <wp:inline distT="0" distB="0" distL="0" distR="0">
            <wp:extent cx="59436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419725"/>
                    </a:xfrm>
                    <a:prstGeom prst="rect">
                      <a:avLst/>
                    </a:prstGeom>
                  </pic:spPr>
                </pic:pic>
              </a:graphicData>
            </a:graphic>
          </wp:inline>
        </w:drawing>
      </w:r>
    </w:p>
    <w:p>
      <w:pPr>
        <w:spacing w:after="180"/>
        <w:jc w:val="center"/>
      </w:pPr>
      <w:r>
        <w:rPr>
          <w:i/>
          <w:iCs/>
          <w:color w:val="7C8B99"/>
          <w:sz w:val="17"/>
          <w:szCs w:val="17"/>
        </w:rPr>
        <w:t xml:space="preserve">Live Nagpur panel: the real S1×S2 overlay (left), the per-lake table, and the match-tolerance sweep (right) — alignment holds true pairs a tight tolerance drops.</w:t>
      </w:r>
    </w:p>
    <w:p>
      <w:r>
        <w:br w:type="page"/>
      </w:r>
    </w:p>
    <w:p>
      <w:pPr>
        <w:pStyle w:val="Heading1"/>
      </w:pPr>
      <w:r>
        <w:t xml:space="preserve">6. The user interface</w:t>
      </w:r>
    </w:p>
    <w:p>
      <w:pPr>
        <w:spacing w:after="140" w:line="276"/>
      </w:pPr>
      <w:r>
        <w:rPr>
          <w:color w:val="44586A"/>
          <w:sz w:val="21"/>
          <w:szCs w:val="21"/>
        </w:rPr>
        <w:t xml:space="preserve">Two UIs ship with the project. An interactive Streamlit dashboard (streamlit run app.py) drives the pipeline on any lake with live controls. And a self-contained HTML dashboard (docs/dashboard.html) is dedicated to this comparison — a single static page, no server, that reads the pipeline’s own result files so its numbers can never drift from the code. It is theme-aware (light and dark).</w:t>
      </w:r>
    </w:p>
    <w:p>
      <w:pPr>
        <w:spacing w:after="4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180"/>
        <w:jc w:val="center"/>
      </w:pPr>
      <w:r>
        <w:rPr>
          <w:i/>
          <w:iCs/>
          <w:color w:val="7C8B99"/>
          <w:sz w:val="17"/>
          <w:szCs w:val="17"/>
        </w:rPr>
        <w:t xml:space="preserve">The comparison dashboard header and key-metric strip, showing the with→without alignment deltas at a glance.</w:t>
      </w:r>
    </w:p>
    <w:p>
      <w:pPr>
        <w:spacing w:after="140" w:line="276"/>
      </w:pPr>
      <w:r>
        <w:rPr>
          <w:color w:val="44586A"/>
          <w:sz w:val="21"/>
          <w:szCs w:val="21"/>
        </w:rPr>
        <w:t xml:space="preserve">The dashboard walks through the pipeline, the four-method comparison table and charts, the robustness curve, and the live Nagpur data — the same evidence as Section 5, rendered interactively and shareable as a link.</w:t>
      </w:r>
    </w:p>
    <w:p>
      <w:pPr>
        <w:pStyle w:val="Heading1"/>
      </w:pPr>
      <w:r>
        <w:t xml:space="preserve">7. Conclusions</w:t>
      </w:r>
    </w:p>
    <w:p>
      <w:pPr>
        <w:pStyle w:val="ListParagraph"/>
        <w:numPr>
          <w:ilvl w:val="0"/>
          <w:numId w:val="2"/>
        </w:numPr>
        <w:spacing w:after="80" w:line="270"/>
      </w:pPr>
      <w:r>
        <w:rPr>
          <w:b/>
          <w:bCs/>
          <w:i w:val="false"/>
          <w:iCs w:val="false"/>
          <w:color w:val="13202E"/>
          <w:sz w:val="21"/>
          <w:szCs w:val="21"/>
        </w:rPr>
        <w:t xml:space="preserve">The point-set alignment is what makes cross-modal fusion work. </w:t>
      </w:r>
      <w:r>
        <w:rPr>
          <w:b w:val="false"/>
          <w:bCs w:val="false"/>
          <w:i w:val="false"/>
          <w:iCs w:val="false"/>
          <w:color w:val="44586A"/>
          <w:sz w:val="21"/>
          <w:szCs w:val="21"/>
        </w:rPr>
        <w:t xml:space="preserve">Fusing the two sensors without aligning the point sets barely corroborates anything (recall 0.12, F1 0.20); adding the alignment lifts the identical fusion to recall 0.54 / F1 0.67. This is the central result.</w:t>
      </w:r>
    </w:p>
    <w:p>
      <w:pPr>
        <w:pStyle w:val="ListParagraph"/>
        <w:numPr>
          <w:ilvl w:val="0"/>
          <w:numId w:val="2"/>
        </w:numPr>
        <w:spacing w:after="80" w:line="270"/>
      </w:pPr>
      <w:r>
        <w:rPr>
          <w:b/>
          <w:bCs/>
          <w:i w:val="false"/>
          <w:iCs w:val="false"/>
          <w:color w:val="13202E"/>
          <w:sz w:val="21"/>
          <w:szCs w:val="21"/>
        </w:rPr>
        <w:t xml:space="preserve">It runs on real, live data for both sensors. </w:t>
      </w:r>
      <w:r>
        <w:rPr>
          <w:b w:val="false"/>
          <w:bCs w:val="false"/>
          <w:i w:val="false"/>
          <w:iCs w:val="false"/>
          <w:color w:val="44586A"/>
          <w:sz w:val="21"/>
          <w:szCs w:val="21"/>
        </w:rPr>
        <w:t xml:space="preserve">Latest clear Sentinel-2 and latest Sentinel-1 are fetched from open buckets and aligned, with no simulation.</w:t>
      </w:r>
    </w:p>
    <w:p>
      <w:pPr>
        <w:pStyle w:val="ListParagraph"/>
        <w:numPr>
          <w:ilvl w:val="0"/>
          <w:numId w:val="2"/>
        </w:numPr>
        <w:spacing w:after="80" w:line="270"/>
      </w:pPr>
      <w:r>
        <w:rPr>
          <w:b/>
          <w:bCs/>
          <w:i w:val="false"/>
          <w:iCs w:val="false"/>
          <w:color w:val="13202E"/>
          <w:sz w:val="21"/>
          <w:szCs w:val="21"/>
        </w:rPr>
        <w:t xml:space="preserve">Cross-modal validation is a precision tool. </w:t>
      </w:r>
      <w:r>
        <w:rPr>
          <w:b w:val="false"/>
          <w:bCs w:val="false"/>
          <w:i w:val="false"/>
          <w:iCs w:val="false"/>
          <w:color w:val="44586A"/>
          <w:sz w:val="21"/>
          <w:szCs w:val="21"/>
        </w:rPr>
        <w:t xml:space="preserve">Requiring agreement between radar and optical roughly halves false alarms versus trusting one sensor.</w:t>
      </w:r>
    </w:p>
    <w:p>
      <w:pPr>
        <w:pStyle w:val="ListParagraph"/>
        <w:numPr>
          <w:ilvl w:val="0"/>
          <w:numId w:val="2"/>
        </w:numPr>
        <w:spacing w:after="80" w:line="270"/>
      </w:pPr>
      <w:r>
        <w:rPr>
          <w:b/>
          <w:bCs/>
          <w:i w:val="false"/>
          <w:iCs w:val="false"/>
          <w:color w:val="13202E"/>
          <w:sz w:val="21"/>
          <w:szCs w:val="21"/>
        </w:rPr>
        <w:t xml:space="preserve">It also beats classic ICP alignment </w:t>
      </w:r>
      <w:r>
        <w:rPr>
          <w:b w:val="false"/>
          <w:bCs w:val="false"/>
          <w:i w:val="false"/>
          <w:iCs w:val="false"/>
          <w:color w:val="44586A"/>
          <w:sz w:val="21"/>
          <w:szCs w:val="21"/>
        </w:rPr>
        <w:t xml:space="preserve">(F1 0.67 vs 0.42, AP 0.81 vs 0.66), because RANSAC+CPD is robust to each sensor’s modality-specific false alarms where ICP is not.</w:t>
      </w:r>
    </w:p>
    <w:p>
      <w:pPr>
        <w:pStyle w:val="Heading1"/>
      </w:pPr>
      <w:r>
        <w:t xml:space="preserve">8. Limitations &amp; future work</w:t>
      </w:r>
    </w:p>
    <w:p>
      <w:pPr>
        <w:pStyle w:val="ListParagraph"/>
        <w:numPr>
          <w:ilvl w:val="0"/>
          <w:numId w:val="2"/>
        </w:numPr>
        <w:spacing w:after="80" w:line="270"/>
      </w:pPr>
      <w:r>
        <w:rPr>
          <w:color w:val="44586A"/>
          <w:sz w:val="21"/>
          <w:szCs w:val="21"/>
        </w:rPr>
        <w:t xml:space="preserve">Real-data corroboration on a single small lake is sparse (few radar detections; S1–S2 gaps of weeks in monsoon season), so the ground-truthed simulation is where the with/without-alignment gap is quantified cleanly.</w:t>
      </w:r>
    </w:p>
    <w:p>
      <w:pPr>
        <w:pStyle w:val="ListParagraph"/>
        <w:numPr>
          <w:ilvl w:val="0"/>
          <w:numId w:val="2"/>
        </w:numPr>
        <w:spacing w:after="80" w:line="270"/>
      </w:pPr>
      <w:r>
        <w:rPr>
          <w:color w:val="44586A"/>
          <w:sz w:val="21"/>
          <w:szCs w:val="21"/>
        </w:rPr>
        <w:t xml:space="preserve">The AWS radar backscatter is an uncalibrated γ⁰ proxy — sufficient for the local-contrast detector, but not for absolute radiometric analysis.</w:t>
      </w:r>
    </w:p>
    <w:p>
      <w:pPr>
        <w:pStyle w:val="ListParagraph"/>
        <w:numPr>
          <w:ilvl w:val="0"/>
          <w:numId w:val="2"/>
        </w:numPr>
        <w:spacing w:after="80" w:line="270"/>
      </w:pPr>
      <w:r>
        <w:rPr>
          <w:color w:val="44586A"/>
          <w:sz w:val="21"/>
          <w:szCs w:val="21"/>
        </w:rPr>
        <w:t xml:space="preserve">No field-validated debris labels yet; ground truth is the both-sensors-agree set or synthetic truth. This is a research prototype, not an operational monitor.</w:t>
      </w:r>
    </w:p>
    <w:p>
      <w:pPr>
        <w:pStyle w:val="ListParagraph"/>
        <w:numPr>
          <w:ilvl w:val="0"/>
          <w:numId w:val="2"/>
        </w:numPr>
        <w:spacing w:after="80" w:line="270"/>
      </w:pPr>
      <w:r>
        <w:rPr>
          <w:color w:val="44586A"/>
          <w:sz w:val="21"/>
          <w:szCs w:val="21"/>
        </w:rPr>
        <w:t xml:space="preserve">Detectors are index-threshold based; a learned detector would improve the point sets that feed the pipeline.</w:t>
      </w:r>
    </w:p>
    <w:p>
      <w:pPr>
        <w:pStyle w:val="Heading1"/>
      </w:pPr>
      <w:r>
        <w:t xml:space="preserve">9. References</w:t>
      </w:r>
    </w:p>
    <w:p>
      <w:pPr>
        <w:pStyle w:val="ListParagraph"/>
        <w:numPr>
          <w:ilvl w:val="0"/>
          <w:numId w:val="2"/>
        </w:numPr>
        <w:spacing w:after="80" w:line="270"/>
      </w:pPr>
      <w:r>
        <w:rPr>
          <w:color w:val="44586A"/>
          <w:sz w:val="21"/>
          <w:szCs w:val="21"/>
        </w:rPr>
        <w:t xml:space="preserve">A. Myronenko, X. Song. Point Set Registration: Coherent Point Drift. IEEE TPAMI, 2010.</w:t>
      </w:r>
    </w:p>
    <w:p>
      <w:pPr>
        <w:pStyle w:val="ListParagraph"/>
        <w:numPr>
          <w:ilvl w:val="0"/>
          <w:numId w:val="2"/>
        </w:numPr>
        <w:spacing w:after="80" w:line="270"/>
      </w:pPr>
      <w:r>
        <w:rPr>
          <w:color w:val="44586A"/>
          <w:sz w:val="21"/>
          <w:szCs w:val="21"/>
        </w:rPr>
        <w:t xml:space="preserve">M. A. Fischler, R. C. Bolles. Random Sample Consensus (RANSAC). Comm. ACM, 1981.</w:t>
      </w:r>
    </w:p>
    <w:p>
      <w:pPr>
        <w:pStyle w:val="ListParagraph"/>
        <w:numPr>
          <w:ilvl w:val="0"/>
          <w:numId w:val="2"/>
        </w:numPr>
        <w:spacing w:after="80" w:line="270"/>
      </w:pPr>
      <w:r>
        <w:rPr>
          <w:color w:val="44586A"/>
          <w:sz w:val="21"/>
          <w:szCs w:val="21"/>
        </w:rPr>
        <w:t xml:space="preserve">S. Umeyama. Least-squares estimation of transformation parameters between two point patterns. IEEE TPAMI, 1991.</w:t>
      </w:r>
    </w:p>
    <w:p>
      <w:pPr>
        <w:pStyle w:val="ListParagraph"/>
        <w:numPr>
          <w:ilvl w:val="0"/>
          <w:numId w:val="2"/>
        </w:numPr>
        <w:spacing w:after="80" w:line="270"/>
      </w:pPr>
      <w:r>
        <w:rPr>
          <w:color w:val="44586A"/>
          <w:sz w:val="21"/>
          <w:szCs w:val="21"/>
        </w:rPr>
        <w:t xml:space="preserve">L. Biermann et al. Finding Plastic Patches in Coastal Waters using Optical Satellite Data (FDI). Scientific Reports, 2020.</w:t>
      </w:r>
    </w:p>
    <w:p>
      <w:pPr>
        <w:pStyle w:val="ListParagraph"/>
        <w:numPr>
          <w:ilvl w:val="0"/>
          <w:numId w:val="2"/>
        </w:numPr>
        <w:spacing w:after="80" w:line="270"/>
      </w:pPr>
      <w:r>
        <w:rPr>
          <w:color w:val="44586A"/>
          <w:sz w:val="21"/>
          <w:szCs w:val="21"/>
        </w:rPr>
        <w:t xml:space="preserve">S. K. McFeeters. The use of the NDWI in the delineation of open water features. Int. J. Remote Sensing, 1996.</w:t>
      </w:r>
    </w:p>
    <w:p>
      <w:pPr>
        <w:pStyle w:val="ListParagraph"/>
        <w:numPr>
          <w:ilvl w:val="0"/>
          <w:numId w:val="2"/>
        </w:numPr>
        <w:spacing w:after="80" w:line="270"/>
      </w:pPr>
      <w:r>
        <w:rPr>
          <w:color w:val="44586A"/>
          <w:sz w:val="21"/>
          <w:szCs w:val="21"/>
        </w:rPr>
        <w:t xml:space="preserve">Copernicus Sentinel data (ESA); Sentinel-2 L2A COGs via AWS sentinel-cogs; Sentinel-1 GRD via AWS sentinel-s1-l1c.</w:t>
      </w:r>
    </w:p>
    <w:p>
      <w:pPr>
        <w:spacing w:after="120"/>
      </w:pPr>
    </w:p>
    <w:p>
      <w:pPr>
        <w:pBdr>
          <w:bottom w:val="single" w:color="D9E1EA" w:sz="6"/>
        </w:pBdr>
        <w:spacing w:after="160"/>
      </w:pPr>
    </w:p>
    <w:p>
      <w:r>
        <w:rPr>
          <w:i/>
          <w:iCs/>
          <w:color w:val="7C8B99"/>
          <w:sz w:val="17"/>
          <w:szCs w:val="17"/>
        </w:rPr>
        <w:t xml:space="preserve">Prototype for a project-based-learning module. Not for operational or safety-critical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586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280"/>
    </w:pPr>
    <w:rPr>
      <w:rFonts w:ascii="Calibri" w:cs="Calibri" w:eastAsia="Calibri" w:hAnsi="Calibri"/>
      <w:b/>
      <w:bCs/>
      <w:color w:val="13202E"/>
      <w:sz w:val="52"/>
      <w:szCs w:val="52"/>
    </w:rPr>
  </w:style>
  <w:style w:type="paragraph" w:styleId="Heading1">
    <w:name w:val="Heading 1"/>
    <w:basedOn w:val="Normal"/>
    <w:next w:val="Normal"/>
    <w:qFormat/>
    <w:pPr>
      <w:pBdr>
        <w:bottom w:val="single" w:color="0D6E7C" w:sz="6"/>
      </w:pBdr>
      <w:spacing w:after="140" w:before="320"/>
    </w:pPr>
    <w:rPr>
      <w:rFonts w:ascii="Calibri" w:cs="Calibri" w:eastAsia="Calibri" w:hAnsi="Calibri"/>
      <w:b/>
      <w:bCs/>
      <w:color w:val="13202E"/>
      <w:sz w:val="30"/>
      <w:szCs w:val="30"/>
    </w:rPr>
  </w:style>
  <w:style w:type="paragraph" w:styleId="Heading2">
    <w:name w:val="Heading 2"/>
    <w:basedOn w:val="Normal"/>
    <w:next w:val="Normal"/>
    <w:qFormat/>
    <w:pPr>
      <w:spacing w:after="100" w:before="240"/>
    </w:pPr>
    <w:rPr>
      <w:rFonts w:ascii="Calibri" w:cs="Calibri" w:eastAsia="Calibri" w:hAnsi="Calibri"/>
      <w:b/>
      <w:bCs/>
      <w:color w:val="0D6E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2b2df8e2f102cec0a7b1fb86132f816b21ea01.png"/><Relationship Id="rId8" Type="http://schemas.openxmlformats.org/officeDocument/2006/relationships/image" Target="media/80b841066c863a63edb2f44513dc545a15a6dc39.png"/><Relationship Id="rId9" Type="http://schemas.openxmlformats.org/officeDocument/2006/relationships/image" Target="media/4bfc97e93cb7399f776c5798599cf1b727f59fa1.png"/><Relationship Id="rId10" Type="http://schemas.openxmlformats.org/officeDocument/2006/relationships/image" Target="media/44597c5dea92b1d0a682be2f812197b8b519dc4e.png"/><Relationship Id="rId11" Type="http://schemas.openxmlformats.org/officeDocument/2006/relationships/image" Target="media/c4608126a371e6cdffcbdb53f8ec769933316268.png"/><Relationship Id="rId12" Type="http://schemas.openxmlformats.org/officeDocument/2006/relationships/image" Target="media/96c12d3a80c080e5205f69ec0553019c4c885ed5.png"/><Relationship Id="rId13" Type="http://schemas.openxmlformats.org/officeDocument/2006/relationships/image" Target="media/350f0a23b0cc290fc9b9ce867e2a41488b6f43e8.png"/><Relationship Id="rId14" Type="http://schemas.openxmlformats.org/officeDocument/2006/relationships/image" Target="media/9a088ea29f14adba612ce667bb41b9ab5d3041f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Cross-Modal Sentinel-1/Sentinel-2 Debris Detection — Nagpur</dc:title>
  <dc:creator>PBL-Sem-7</dc:creator>
  <cp:lastModifiedBy>Un-named</cp:lastModifiedBy>
  <cp:revision>1</cp:revision>
  <dcterms:created xsi:type="dcterms:W3CDTF">2026-08-22T06:44:40.613Z</dcterms:created>
  <dcterms:modified xsi:type="dcterms:W3CDTF">2026-08-22T06:44:40.613Z</dcterms:modified>
</cp:coreProperties>
</file>

<file path=docProps/custom.xml><?xml version="1.0" encoding="utf-8"?>
<Properties xmlns="http://schemas.openxmlformats.org/officeDocument/2006/custom-properties" xmlns:vt="http://schemas.openxmlformats.org/officeDocument/2006/docPropsVTypes"/>
</file>