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69" w:lineRule="auto"/>
        <w:jc w:val="center"/>
      </w:pPr>
      <w:r>
        <w:rPr>
          <w:rFonts w:ascii="Times New Roman" w:hAnsi="Times New Roman"/>
          <w:b/>
          <w:color w:val="0071CE"/>
          <w:sz w:val="24"/>
        </w:rPr>
        <w:t>PREDICTIVE ANALYTICS — CONTINUOUS ASSESSMENT 3 (CA3)</w:t>
        <w:br/>
      </w:r>
      <w:r>
        <w:rPr>
          <w:rFonts w:ascii="Times New Roman" w:hAnsi="Times New Roman"/>
          <w:b/>
          <w:color w:val="0F2942"/>
          <w:sz w:val="32"/>
        </w:rPr>
        <w:t>Sales Forecasting: End-to-End Predictive Analytics Model Development and Supply Chain Inventory Optimization Using the KDD Process</w:t>
        <w:br/>
      </w:r>
      <w:r>
        <w:rPr>
          <w:rFonts w:ascii="Times New Roman" w:hAnsi="Times New Roman"/>
          <w:color w:val="475569"/>
          <w:sz w:val="22"/>
        </w:rPr>
        <w:t>Submitted By: Dev Dilip Dhapodkar   |   PRN: 24070521505   |   Symbiosis International University</w:t>
      </w:r>
    </w:p>
    <w:p>
      <w:pPr>
        <w:spacing w:before="240" w:after="100" w:line="269" w:lineRule="auto"/>
        <w:jc w:val="left"/>
      </w:pPr>
      <w:r>
        <w:rPr>
          <w:rFonts w:ascii="Times New Roman" w:hAnsi="Times New Roman"/>
          <w:b/>
          <w:color w:val="0F2942"/>
          <w:sz w:val="30"/>
        </w:rPr>
        <w:t>Chapter 1: Introduction</w:t>
      </w:r>
    </w:p>
    <w:p>
      <w:pPr>
        <w:spacing w:before="120" w:after="120" w:line="269" w:lineRule="auto"/>
        <w:jc w:val="both"/>
      </w:pPr>
      <w:r>
        <w:rPr>
          <w:rFonts w:ascii="Times New Roman" w:hAnsi="Times New Roman"/>
          <w:b/>
          <w:sz w:val="24"/>
        </w:rPr>
        <w:t xml:space="preserve">1.1 Context and Problem Domain: </w:t>
      </w:r>
      <w:r>
        <w:rPr>
          <w:rFonts w:ascii="Times New Roman" w:hAnsi="Times New Roman"/>
          <w:sz w:val="24"/>
        </w:rPr>
        <w:t>In large-scale retail commerce, accurate sales forecasting constitutes the operational foundation of multi-echelon supply chain coordination. Retail enterprises such as Walmart manage complex fulfillment networks encompassing thousands of store-department intersections across heterogeneous geographical markets. Each store location is subject to long-term macroeconomic trends, localized disposable income variations, ambient weather conditions, multi-channel promotional markdowns, and abrupt calendar holiday surges. Conventional replenishment models relying on historical moving averages or unadjusted exponential smoothing repeatedly fail to handle these multi-frequency patterns. Inaccurate forecasts create two severe operational risks: catastrophic out-of-stock (OOS) conditions during high-volume holiday periods that permanently erode market share and customer goodwill, and excessive inventory accumulation during routine trading cycles that inflates holding overhead and triggers forced margin-dilutive post-holiday clearance markdowns.</w:t>
      </w:r>
    </w:p>
    <w:p>
      <w:pPr>
        <w:spacing w:before="120" w:after="120" w:line="269" w:lineRule="auto"/>
        <w:jc w:val="both"/>
      </w:pPr>
      <w:r>
        <w:rPr>
          <w:rFonts w:ascii="Times New Roman" w:hAnsi="Times New Roman"/>
          <w:b/>
          <w:sz w:val="24"/>
        </w:rPr>
        <w:t xml:space="preserve">1.2 Research Objectives and Scope: </w:t>
      </w:r>
      <w:r>
        <w:rPr>
          <w:rFonts w:ascii="Times New Roman" w:hAnsi="Times New Roman"/>
          <w:sz w:val="24"/>
        </w:rPr>
        <w:t>This investigation develops, validates, and interprets an end-to-end predictive analytics regression pipeline that forecasts weekly department-level sales across multiple retail stores using historical transaction records, promotional price markdown schedules, holiday calendars, and macroeconomic indicators. Implemented on the benchmark Kaggle Walmart Recruiting dataset, the analytical framework adheres strictly to the formal Knowledge Discovery in Databases (KDD) process. Specifically, the model forecasts weekly revenue across 45 physical stores and 81 departments across three distinct retail formats: Type A Supercenters, Type B Discount Stores, and Type C Neighborhood Markets.</w:t>
      </w:r>
    </w:p>
    <w:p>
      <w:pPr>
        <w:spacing w:before="120" w:after="120" w:line="269" w:lineRule="auto"/>
        <w:jc w:val="both"/>
      </w:pPr>
      <w:r>
        <w:rPr>
          <w:rFonts w:ascii="Times New Roman" w:hAnsi="Times New Roman"/>
          <w:b/>
          <w:sz w:val="24"/>
        </w:rPr>
        <w:t xml:space="preserve">1.3 Asymmetric Supply Chain Cost Structure: </w:t>
      </w:r>
      <w:r>
        <w:rPr>
          <w:rFonts w:ascii="Times New Roman" w:hAnsi="Times New Roman"/>
          <w:sz w:val="24"/>
        </w:rPr>
        <w:t>In retail supply chains, forecast error costs exhibit acute operational asymmetry. During routine mid-year weeks, moderate prediction errors can be absorbed through standard safety stock buffers and scheduled replenishment. Conversely, during major retail holidays such as Thanksgiving (Black Friday) and the pre-Christmas shopping peak, consumer foot traffic spikes by 40% to 50%, lead times from regional distribution centers are saturated, and stockouts cannot be alleviated through emergency deliveries. To formalize this business reality, the evaluation protocol employs the official Weighted Mean Absolute Error (WMAE) metric, which assigns a five-fold penalty (w = 5) to holiday weeks relative to regular baseline weeks (w = 1). The predictive system developed herein is explicitly calibrated to optimize this asymmetric cost surface.</w:t>
      </w:r>
    </w:p>
    <w:p>
      <w:pPr>
        <w:spacing w:before="240" w:after="100" w:line="269" w:lineRule="auto"/>
        <w:jc w:val="left"/>
      </w:pPr>
      <w:r>
        <w:rPr>
          <w:rFonts w:ascii="Times New Roman" w:hAnsi="Times New Roman"/>
          <w:b/>
          <w:color w:val="0F2942"/>
          <w:sz w:val="30"/>
        </w:rPr>
        <w:t>Chapter 2: Literature Review</w:t>
      </w:r>
    </w:p>
    <w:p>
      <w:pPr>
        <w:spacing w:before="120" w:after="120" w:line="269" w:lineRule="auto"/>
        <w:jc w:val="both"/>
      </w:pPr>
      <w:r>
        <w:rPr>
          <w:rFonts w:ascii="Times New Roman" w:hAnsi="Times New Roman"/>
          <w:b/>
          <w:sz w:val="24"/>
        </w:rPr>
        <w:t xml:space="preserve">2.1 Classical Econometric Formulations: </w:t>
      </w:r>
      <w:r>
        <w:rPr>
          <w:rFonts w:ascii="Times New Roman" w:hAnsi="Times New Roman"/>
          <w:sz w:val="24"/>
        </w:rPr>
        <w:t>Retail demand forecasting methodologies have evolved substantially over the past two decades. Early parametric approaches relied on univariate statistical formulations, primarily Autoregressive Integrated Moving Average (ARIMA), Seasonal ARIMA (SARIMA), and Holt-Winters Exponential Smoothing state-space models. While effective for isolated stationary series, univariate parametric models require fitting and maintaining thousands of independent local models across every store-department pair and struggle to incorporate high-dimensional exogenous drivers—such as multi-channel promotional markdowns and regional economic indices—without parameter instability.</w:t>
      </w:r>
    </w:p>
    <w:p>
      <w:pPr>
        <w:spacing w:before="120" w:after="120" w:line="269" w:lineRule="auto"/>
        <w:jc w:val="both"/>
      </w:pPr>
      <w:r>
        <w:rPr>
          <w:rFonts w:ascii="Times New Roman" w:hAnsi="Times New Roman"/>
          <w:b/>
          <w:sz w:val="24"/>
        </w:rPr>
        <w:t xml:space="preserve">2.2 Global Gradient-Boosted Decision Trees: </w:t>
      </w:r>
      <w:r>
        <w:rPr>
          <w:rFonts w:ascii="Times New Roman" w:hAnsi="Times New Roman"/>
          <w:sz w:val="24"/>
        </w:rPr>
        <w:t>To overcome these limitations, modern predictive analytics utilizes global machine learning architectures that pool observations across all store and department hierarchies into a unified tabular feature space. Breiman's Random Forest established the power of bootstrap aggregation to reduce predictive variance and model non-linear interactions. More recently, extreme gradient boosting architectures—notably XGBoost (Chen and Guestrin) and LightGBM (Ke et al.)—have become the premier standard in retail analytics. These architectures leverage second-order Taylor approximations, tree regularization penalties, and histogram-based binning. The M5 Forecasting Competition (Makridakis et al.) conclusively proved that global tree ensembles enriched with multi-horizon autoregressive lags and shifted rolling statistics outperform classical models and deep recurrent networks on promotional retail demand series.</w:t>
      </w:r>
    </w:p>
    <w:p>
      <w:pPr>
        <w:spacing w:before="160" w:after="60" w:line="269" w:lineRule="auto"/>
        <w:jc w:val="left"/>
      </w:pPr>
      <w:r>
        <w:rPr>
          <w:rFonts w:ascii="Times New Roman" w:hAnsi="Times New Roman"/>
          <w:b/>
          <w:color w:val="0F2942"/>
          <w:sz w:val="22"/>
        </w:rPr>
        <w:t>Table 1: Synthesis of Relevant Prior Literature in Predictive Retail Analytics and Machine Learning</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016"/>
            <w:shd w:fill="0F2942"/>
          </w:tcPr>
          <w:p>
            <w:pPr>
              <w:spacing w:before="60" w:after="60" w:line="240" w:lineRule="auto"/>
              <w:jc w:val="center"/>
            </w:pPr>
            <w:r>
              <w:rPr>
                <w:rFonts w:ascii="Times New Roman" w:hAnsi="Times New Roman"/>
                <w:b/>
                <w:color w:val="FFFFFF"/>
                <w:sz w:val="19"/>
              </w:rPr>
              <w:t>Author(s) &amp; Year</w:t>
            </w:r>
          </w:p>
        </w:tc>
        <w:tc>
          <w:tcPr>
            <w:tcW w:type="dxa" w:w="2304"/>
            <w:shd w:fill="0F2942"/>
          </w:tcPr>
          <w:p>
            <w:pPr>
              <w:spacing w:before="60" w:after="60" w:line="240" w:lineRule="auto"/>
              <w:jc w:val="center"/>
            </w:pPr>
            <w:r>
              <w:rPr>
                <w:rFonts w:ascii="Times New Roman" w:hAnsi="Times New Roman"/>
                <w:b/>
                <w:color w:val="FFFFFF"/>
                <w:sz w:val="19"/>
              </w:rPr>
              <w:t>Methodology / Model</w:t>
            </w:r>
          </w:p>
        </w:tc>
        <w:tc>
          <w:tcPr>
            <w:tcW w:type="dxa" w:w="2016"/>
            <w:shd w:fill="0F2942"/>
          </w:tcPr>
          <w:p>
            <w:pPr>
              <w:spacing w:before="60" w:after="60" w:line="240" w:lineRule="auto"/>
              <w:jc w:val="center"/>
            </w:pPr>
            <w:r>
              <w:rPr>
                <w:rFonts w:ascii="Times New Roman" w:hAnsi="Times New Roman"/>
                <w:b/>
                <w:color w:val="FFFFFF"/>
                <w:sz w:val="19"/>
              </w:rPr>
              <w:t>Dataset / Domain</w:t>
            </w:r>
          </w:p>
        </w:tc>
        <w:tc>
          <w:tcPr>
            <w:tcW w:type="dxa" w:w="3024"/>
            <w:shd w:fill="0F2942"/>
          </w:tcPr>
          <w:p>
            <w:pPr>
              <w:spacing w:before="60" w:after="60" w:line="240" w:lineRule="auto"/>
              <w:jc w:val="center"/>
            </w:pPr>
            <w:r>
              <w:rPr>
                <w:rFonts w:ascii="Times New Roman" w:hAnsi="Times New Roman"/>
                <w:b/>
                <w:color w:val="FFFFFF"/>
                <w:sz w:val="19"/>
              </w:rPr>
              <w:t>Key Strengths &amp; Identified Limitations</w:t>
            </w:r>
          </w:p>
        </w:tc>
      </w:tr>
      <w:tr>
        <w:tc>
          <w:tcPr>
            <w:tcW w:type="dxa" w:w="2016"/>
            <w:shd w:fill="FFFFFF"/>
          </w:tcPr>
          <w:p>
            <w:pPr>
              <w:spacing w:before="50" w:after="50" w:line="245" w:lineRule="auto"/>
              <w:jc w:val="left"/>
            </w:pPr>
            <w:r>
              <w:rPr>
                <w:rFonts w:ascii="Times New Roman" w:hAnsi="Times New Roman"/>
                <w:color w:val="1E293B"/>
                <w:sz w:val="18"/>
              </w:rPr>
              <w:t>Box &amp; Jenkins (2015); Hyndman (2021)</w:t>
            </w:r>
          </w:p>
        </w:tc>
        <w:tc>
          <w:tcPr>
            <w:tcW w:type="dxa" w:w="2304"/>
            <w:shd w:fill="FFFFFF"/>
          </w:tcPr>
          <w:p>
            <w:pPr>
              <w:spacing w:before="50" w:after="50" w:line="245" w:lineRule="auto"/>
              <w:jc w:val="left"/>
            </w:pPr>
            <w:r>
              <w:rPr>
                <w:rFonts w:ascii="Times New Roman" w:hAnsi="Times New Roman"/>
                <w:color w:val="1E293B"/>
                <w:sz w:val="18"/>
              </w:rPr>
              <w:t>ARIMA, SARIMAX &amp; ETS State-Space</w:t>
            </w:r>
          </w:p>
        </w:tc>
        <w:tc>
          <w:tcPr>
            <w:tcW w:type="dxa" w:w="2016"/>
            <w:shd w:fill="FFFFFF"/>
          </w:tcPr>
          <w:p>
            <w:pPr>
              <w:spacing w:before="50" w:after="50" w:line="245" w:lineRule="auto"/>
              <w:jc w:val="left"/>
            </w:pPr>
            <w:r>
              <w:rPr>
                <w:rFonts w:ascii="Times New Roman" w:hAnsi="Times New Roman"/>
                <w:color w:val="1E293B"/>
                <w:sz w:val="18"/>
              </w:rPr>
              <w:t>Univariate Retail Series</w:t>
            </w:r>
          </w:p>
        </w:tc>
        <w:tc>
          <w:tcPr>
            <w:tcW w:type="dxa" w:w="3024"/>
            <w:shd w:fill="FFFFFF"/>
          </w:tcPr>
          <w:p>
            <w:pPr>
              <w:spacing w:before="50" w:after="50" w:line="245" w:lineRule="auto"/>
              <w:jc w:val="left"/>
            </w:pPr>
            <w:r>
              <w:rPr>
                <w:rFonts w:ascii="Times New Roman" w:hAnsi="Times New Roman"/>
                <w:color w:val="1E293B"/>
                <w:sz w:val="18"/>
              </w:rPr>
              <w:t>Captures linear autocorrelation; fails on abrupt promotional spikes and cross-store data pooling.</w:t>
            </w:r>
          </w:p>
        </w:tc>
      </w:tr>
      <w:tr>
        <w:tc>
          <w:tcPr>
            <w:tcW w:type="dxa" w:w="2016"/>
            <w:shd w:fill="F8FAFC"/>
          </w:tcPr>
          <w:p>
            <w:pPr>
              <w:spacing w:before="50" w:after="50" w:line="245" w:lineRule="auto"/>
              <w:jc w:val="left"/>
            </w:pPr>
            <w:r>
              <w:rPr>
                <w:rFonts w:ascii="Times New Roman" w:hAnsi="Times New Roman"/>
                <w:color w:val="1E293B"/>
                <w:sz w:val="18"/>
              </w:rPr>
              <w:t>Breiman (2001)</w:t>
            </w:r>
          </w:p>
        </w:tc>
        <w:tc>
          <w:tcPr>
            <w:tcW w:type="dxa" w:w="2304"/>
            <w:shd w:fill="F8FAFC"/>
          </w:tcPr>
          <w:p>
            <w:pPr>
              <w:spacing w:before="50" w:after="50" w:line="245" w:lineRule="auto"/>
              <w:jc w:val="left"/>
            </w:pPr>
            <w:r>
              <w:rPr>
                <w:rFonts w:ascii="Times New Roman" w:hAnsi="Times New Roman"/>
                <w:color w:val="1E293B"/>
                <w:sz w:val="18"/>
              </w:rPr>
              <w:t>Random Forest Regressor (Bagging)</w:t>
            </w:r>
          </w:p>
        </w:tc>
        <w:tc>
          <w:tcPr>
            <w:tcW w:type="dxa" w:w="2016"/>
            <w:shd w:fill="F8FAFC"/>
          </w:tcPr>
          <w:p>
            <w:pPr>
              <w:spacing w:before="50" w:after="50" w:line="245" w:lineRule="auto"/>
              <w:jc w:val="left"/>
            </w:pPr>
            <w:r>
              <w:rPr>
                <w:rFonts w:ascii="Times New Roman" w:hAnsi="Times New Roman"/>
                <w:color w:val="1E293B"/>
                <w:sz w:val="18"/>
              </w:rPr>
              <w:t>Tabular Machine Learning</w:t>
            </w:r>
          </w:p>
        </w:tc>
        <w:tc>
          <w:tcPr>
            <w:tcW w:type="dxa" w:w="3024"/>
            <w:shd w:fill="F8FAFC"/>
          </w:tcPr>
          <w:p>
            <w:pPr>
              <w:spacing w:before="50" w:after="50" w:line="245" w:lineRule="auto"/>
              <w:jc w:val="left"/>
            </w:pPr>
            <w:r>
              <w:rPr>
                <w:rFonts w:ascii="Times New Roman" w:hAnsi="Times New Roman"/>
                <w:color w:val="1E293B"/>
                <w:sz w:val="18"/>
              </w:rPr>
              <w:t>Robust against noisy outliers; high computational memory overhead and slower inference speed.</w:t>
            </w:r>
          </w:p>
        </w:tc>
      </w:tr>
      <w:tr>
        <w:tc>
          <w:tcPr>
            <w:tcW w:type="dxa" w:w="2016"/>
            <w:shd w:fill="FFFFFF"/>
          </w:tcPr>
          <w:p>
            <w:pPr>
              <w:spacing w:before="50" w:after="50" w:line="245" w:lineRule="auto"/>
              <w:jc w:val="left"/>
            </w:pPr>
            <w:r>
              <w:rPr>
                <w:rFonts w:ascii="Times New Roman" w:hAnsi="Times New Roman"/>
                <w:color w:val="1E293B"/>
                <w:sz w:val="18"/>
              </w:rPr>
              <w:t>Chen &amp; Guestrin (2016)</w:t>
            </w:r>
          </w:p>
        </w:tc>
        <w:tc>
          <w:tcPr>
            <w:tcW w:type="dxa" w:w="2304"/>
            <w:shd w:fill="FFFFFF"/>
          </w:tcPr>
          <w:p>
            <w:pPr>
              <w:spacing w:before="50" w:after="50" w:line="245" w:lineRule="auto"/>
              <w:jc w:val="left"/>
            </w:pPr>
            <w:r>
              <w:rPr>
                <w:rFonts w:ascii="Times New Roman" w:hAnsi="Times New Roman"/>
                <w:color w:val="1E293B"/>
                <w:sz w:val="18"/>
              </w:rPr>
              <w:t>XGBoost (Regularized GBDT)</w:t>
            </w:r>
          </w:p>
        </w:tc>
        <w:tc>
          <w:tcPr>
            <w:tcW w:type="dxa" w:w="2016"/>
            <w:shd w:fill="FFFFFF"/>
          </w:tcPr>
          <w:p>
            <w:pPr>
              <w:spacing w:before="50" w:after="50" w:line="245" w:lineRule="auto"/>
              <w:jc w:val="left"/>
            </w:pPr>
            <w:r>
              <w:rPr>
                <w:rFonts w:ascii="Times New Roman" w:hAnsi="Times New Roman"/>
                <w:color w:val="1E293B"/>
                <w:sz w:val="18"/>
              </w:rPr>
              <w:t>High-Dimensional Data</w:t>
            </w:r>
          </w:p>
        </w:tc>
        <w:tc>
          <w:tcPr>
            <w:tcW w:type="dxa" w:w="3024"/>
            <w:shd w:fill="FFFFFF"/>
          </w:tcPr>
          <w:p>
            <w:pPr>
              <w:spacing w:before="50" w:after="50" w:line="245" w:lineRule="auto"/>
              <w:jc w:val="left"/>
            </w:pPr>
            <w:r>
              <w:rPr>
                <w:rFonts w:ascii="Times New Roman" w:hAnsi="Times New Roman"/>
                <w:color w:val="1E293B"/>
                <w:sz w:val="18"/>
              </w:rPr>
              <w:t>Second-order Taylor optimization with L1/L2 leaf regularization; depth-wise tree growth.</w:t>
            </w:r>
          </w:p>
        </w:tc>
      </w:tr>
      <w:tr>
        <w:tc>
          <w:tcPr>
            <w:tcW w:type="dxa" w:w="2016"/>
            <w:shd w:fill="F8FAFC"/>
          </w:tcPr>
          <w:p>
            <w:pPr>
              <w:spacing w:before="50" w:after="50" w:line="245" w:lineRule="auto"/>
              <w:jc w:val="left"/>
            </w:pPr>
            <w:r>
              <w:rPr>
                <w:rFonts w:ascii="Times New Roman" w:hAnsi="Times New Roman"/>
                <w:color w:val="1E293B"/>
                <w:sz w:val="18"/>
              </w:rPr>
              <w:t>Ke et al. (2017)</w:t>
            </w:r>
          </w:p>
        </w:tc>
        <w:tc>
          <w:tcPr>
            <w:tcW w:type="dxa" w:w="2304"/>
            <w:shd w:fill="F8FAFC"/>
          </w:tcPr>
          <w:p>
            <w:pPr>
              <w:spacing w:before="50" w:after="50" w:line="245" w:lineRule="auto"/>
              <w:jc w:val="left"/>
            </w:pPr>
            <w:r>
              <w:rPr>
                <w:rFonts w:ascii="Times New Roman" w:hAnsi="Times New Roman"/>
                <w:color w:val="1E293B"/>
                <w:sz w:val="18"/>
              </w:rPr>
              <w:t>LightGBM (Leaf-Wise Histogram Boosting)</w:t>
            </w:r>
          </w:p>
        </w:tc>
        <w:tc>
          <w:tcPr>
            <w:tcW w:type="dxa" w:w="2016"/>
            <w:shd w:fill="F8FAFC"/>
          </w:tcPr>
          <w:p>
            <w:pPr>
              <w:spacing w:before="50" w:after="50" w:line="245" w:lineRule="auto"/>
              <w:jc w:val="left"/>
            </w:pPr>
            <w:r>
              <w:rPr>
                <w:rFonts w:ascii="Times New Roman" w:hAnsi="Times New Roman"/>
                <w:color w:val="1E293B"/>
                <w:sz w:val="18"/>
              </w:rPr>
              <w:t>Multi-Store Retail Data</w:t>
            </w:r>
          </w:p>
        </w:tc>
        <w:tc>
          <w:tcPr>
            <w:tcW w:type="dxa" w:w="3024"/>
            <w:shd w:fill="F8FAFC"/>
          </w:tcPr>
          <w:p>
            <w:pPr>
              <w:spacing w:before="50" w:after="50" w:line="245" w:lineRule="auto"/>
              <w:jc w:val="left"/>
            </w:pPr>
            <w:r>
              <w:rPr>
                <w:rFonts w:ascii="Times New Roman" w:hAnsi="Times New Roman"/>
                <w:color w:val="1E293B"/>
                <w:sz w:val="18"/>
              </w:rPr>
              <w:t>Leaf-wise splitting with histogram binning; &gt;80% faster training with superior convergence.</w:t>
            </w:r>
          </w:p>
        </w:tc>
      </w:tr>
      <w:tr>
        <w:tc>
          <w:tcPr>
            <w:tcW w:type="dxa" w:w="2016"/>
            <w:shd w:fill="FFFFFF"/>
          </w:tcPr>
          <w:p>
            <w:pPr>
              <w:spacing w:before="50" w:after="50" w:line="245" w:lineRule="auto"/>
              <w:jc w:val="left"/>
            </w:pPr>
            <w:r>
              <w:rPr>
                <w:rFonts w:ascii="Times New Roman" w:hAnsi="Times New Roman"/>
                <w:color w:val="1E293B"/>
                <w:sz w:val="18"/>
              </w:rPr>
              <w:t>Makridakis et al. (2022)</w:t>
            </w:r>
          </w:p>
        </w:tc>
        <w:tc>
          <w:tcPr>
            <w:tcW w:type="dxa" w:w="2304"/>
            <w:shd w:fill="FFFFFF"/>
          </w:tcPr>
          <w:p>
            <w:pPr>
              <w:spacing w:before="50" w:after="50" w:line="245" w:lineRule="auto"/>
              <w:jc w:val="left"/>
            </w:pPr>
            <w:r>
              <w:rPr>
                <w:rFonts w:ascii="Times New Roman" w:hAnsi="Times New Roman"/>
                <w:color w:val="1E293B"/>
                <w:sz w:val="18"/>
              </w:rPr>
              <w:t>M5 Accuracy Competition (Tree Ensembles)</w:t>
            </w:r>
          </w:p>
        </w:tc>
        <w:tc>
          <w:tcPr>
            <w:tcW w:type="dxa" w:w="2016"/>
            <w:shd w:fill="FFFFFF"/>
          </w:tcPr>
          <w:p>
            <w:pPr>
              <w:spacing w:before="50" w:after="50" w:line="245" w:lineRule="auto"/>
              <w:jc w:val="left"/>
            </w:pPr>
            <w:r>
              <w:rPr>
                <w:rFonts w:ascii="Times New Roman" w:hAnsi="Times New Roman"/>
                <w:color w:val="1E293B"/>
                <w:sz w:val="18"/>
              </w:rPr>
              <w:t>Walmart Hierarchical (42,840 series)</w:t>
            </w:r>
          </w:p>
        </w:tc>
        <w:tc>
          <w:tcPr>
            <w:tcW w:type="dxa" w:w="3024"/>
            <w:shd w:fill="FFFFFF"/>
          </w:tcPr>
          <w:p>
            <w:pPr>
              <w:spacing w:before="50" w:after="50" w:line="245" w:lineRule="auto"/>
              <w:jc w:val="left"/>
            </w:pPr>
            <w:r>
              <w:rPr>
                <w:rFonts w:ascii="Times New Roman" w:hAnsi="Times New Roman"/>
                <w:color w:val="1E293B"/>
                <w:sz w:val="18"/>
              </w:rPr>
              <w:t>Proved global GBDT ensembles with lag and rolling features decisively outperform neural architectures.</w:t>
            </w:r>
          </w:p>
        </w:tc>
      </w:tr>
      <w:tr>
        <w:tc>
          <w:tcPr>
            <w:tcW w:type="dxa" w:w="2016"/>
            <w:shd w:fill="F8FAFC"/>
          </w:tcPr>
          <w:p>
            <w:pPr>
              <w:spacing w:before="50" w:after="50" w:line="245" w:lineRule="auto"/>
              <w:jc w:val="left"/>
            </w:pPr>
            <w:r>
              <w:rPr>
                <w:rFonts w:ascii="Times New Roman" w:hAnsi="Times New Roman"/>
                <w:color w:val="1E293B"/>
                <w:sz w:val="18"/>
              </w:rPr>
              <w:t>Barrow &amp; Kourentzes (2016)</w:t>
            </w:r>
          </w:p>
        </w:tc>
        <w:tc>
          <w:tcPr>
            <w:tcW w:type="dxa" w:w="2304"/>
            <w:shd w:fill="F8FAFC"/>
          </w:tcPr>
          <w:p>
            <w:pPr>
              <w:spacing w:before="50" w:after="50" w:line="245" w:lineRule="auto"/>
              <w:jc w:val="left"/>
            </w:pPr>
            <w:r>
              <w:rPr>
                <w:rFonts w:ascii="Times New Roman" w:hAnsi="Times New Roman"/>
                <w:color w:val="1E293B"/>
                <w:sz w:val="18"/>
              </w:rPr>
              <w:t>Inventory Safety Stock Optimization</w:t>
            </w:r>
          </w:p>
        </w:tc>
        <w:tc>
          <w:tcPr>
            <w:tcW w:type="dxa" w:w="2016"/>
            <w:shd w:fill="F8FAFC"/>
          </w:tcPr>
          <w:p>
            <w:pPr>
              <w:spacing w:before="50" w:after="50" w:line="245" w:lineRule="auto"/>
              <w:jc w:val="left"/>
            </w:pPr>
            <w:r>
              <w:rPr>
                <w:rFonts w:ascii="Times New Roman" w:hAnsi="Times New Roman"/>
                <w:color w:val="1E293B"/>
                <w:sz w:val="18"/>
              </w:rPr>
              <w:t>Supply Chain Operations</w:t>
            </w:r>
          </w:p>
        </w:tc>
        <w:tc>
          <w:tcPr>
            <w:tcW w:type="dxa" w:w="3024"/>
            <w:shd w:fill="F8FAFC"/>
          </w:tcPr>
          <w:p>
            <w:pPr>
              <w:spacing w:before="50" w:after="50" w:line="245" w:lineRule="auto"/>
              <w:jc w:val="left"/>
            </w:pPr>
            <w:r>
              <w:rPr>
                <w:rFonts w:ascii="Times New Roman" w:hAnsi="Times New Roman"/>
                <w:color w:val="1E293B"/>
                <w:sz w:val="18"/>
              </w:rPr>
              <w:t>Demonstrated that reducing peak-period forecast variance yields substantial buffer stockholding savings.</w:t>
            </w:r>
          </w:p>
        </w:tc>
      </w:tr>
    </w:tbl>
    <w:p>
      <w:pPr>
        <w:spacing w:before="120" w:after="120" w:line="269" w:lineRule="auto"/>
        <w:jc w:val="both"/>
      </w:pPr>
      <w:r>
        <w:rPr>
          <w:rFonts w:ascii="Times New Roman" w:hAnsi="Times New Roman"/>
          <w:b/>
          <w:sz w:val="24"/>
        </w:rPr>
        <w:t xml:space="preserve">2.3 Research Gap Addressed: </w:t>
      </w:r>
      <w:r>
        <w:rPr>
          <w:rFonts w:ascii="Times New Roman" w:hAnsi="Times New Roman"/>
          <w:sz w:val="24"/>
        </w:rPr>
        <w:t>Existing empirical implementations often suffer from two methodological weaknesses: inadvertent look-ahead leakage in rolling window statistics, and model optimization against symmetric metrics that ignore the 5x stockout penalty of holiday peaks. This study addresses both issues through leak-free feature engineering and sample-weighted optimization.</w:t>
      </w:r>
    </w:p>
    <w:p>
      <w:pPr>
        <w:spacing w:before="240" w:after="100" w:line="269" w:lineRule="auto"/>
        <w:jc w:val="left"/>
      </w:pPr>
      <w:r>
        <w:rPr>
          <w:rFonts w:ascii="Times New Roman" w:hAnsi="Times New Roman"/>
          <w:b/>
          <w:color w:val="0F2942"/>
          <w:sz w:val="30"/>
        </w:rPr>
        <w:t>Chapter 3: Workflow / Predictive Modelling Process</w:t>
      </w:r>
    </w:p>
    <w:p>
      <w:pPr>
        <w:spacing w:before="120" w:after="120" w:line="269" w:lineRule="auto"/>
        <w:jc w:val="both"/>
      </w:pPr>
      <w:r>
        <w:rPr>
          <w:rFonts w:ascii="Times New Roman" w:hAnsi="Times New Roman"/>
          <w:b/>
          <w:sz w:val="24"/>
        </w:rPr>
        <w:t xml:space="preserve">3.1 The KDD Methodological Architecture: </w:t>
      </w:r>
      <w:r>
        <w:rPr>
          <w:rFonts w:ascii="Times New Roman" w:hAnsi="Times New Roman"/>
          <w:sz w:val="24"/>
        </w:rPr>
        <w:t>The analytical workflow operationalizes the classical Knowledge Discovery in Databases (KDD) process through seven structured phases: Data Selection, Preprocessing, Feature Engineering, Exploratory Data Analysis, Model Training, Evaluation, and Supply Chain Interpretation.</w:t>
      </w:r>
    </w:p>
    <w:p>
      <w:pPr>
        <w:spacing w:before="120" w:after="120" w:line="269" w:lineRule="auto"/>
        <w:jc w:val="both"/>
      </w:pPr>
      <w:r>
        <w:rPr>
          <w:rFonts w:ascii="Times New Roman" w:hAnsi="Times New Roman"/>
          <w:b/>
          <w:sz w:val="24"/>
        </w:rPr>
        <w:t xml:space="preserve">3.2 Stage 1: Data Selection and Relational Ingestion: </w:t>
      </w:r>
      <w:r>
        <w:rPr>
          <w:rFonts w:ascii="Times New Roman" w:hAnsi="Times New Roman"/>
          <w:sz w:val="24"/>
        </w:rPr>
        <w:t>The dataset integrates four relational files from the Walmart Recruiting repository: historical department transactions (train.csv), environmental and economic attributes (features.csv), store metadata (stores.csv), and holdout structures (test.csv). Merged on [Store, Date, IsHoliday] and [Store], the analytical training matrix contains 421,570 records spanning 143 consecutive weeks (February 2010 to October 2012) across 45 stores and 81 departments.</w:t>
      </w:r>
    </w:p>
    <w:p>
      <w:pPr>
        <w:spacing w:before="160" w:after="60" w:line="269" w:lineRule="auto"/>
        <w:jc w:val="left"/>
      </w:pPr>
      <w:r>
        <w:rPr>
          <w:rFonts w:ascii="Times New Roman" w:hAnsi="Times New Roman"/>
          <w:b/>
          <w:color w:val="0F2942"/>
          <w:sz w:val="22"/>
        </w:rPr>
        <w:t>Table 2: Relational Database Schema and Ingestion Properties of the Walmart Corpus</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584"/>
            <w:shd w:fill="0F2942"/>
          </w:tcPr>
          <w:p>
            <w:pPr>
              <w:spacing w:before="60" w:after="60" w:line="240" w:lineRule="auto"/>
              <w:jc w:val="center"/>
            </w:pPr>
            <w:r>
              <w:rPr>
                <w:rFonts w:ascii="Times New Roman" w:hAnsi="Times New Roman"/>
                <w:b/>
                <w:color w:val="FFFFFF"/>
                <w:sz w:val="19"/>
              </w:rPr>
              <w:t>File Name</w:t>
            </w:r>
          </w:p>
        </w:tc>
        <w:tc>
          <w:tcPr>
            <w:tcW w:type="dxa" w:w="1296"/>
            <w:shd w:fill="0F2942"/>
          </w:tcPr>
          <w:p>
            <w:pPr>
              <w:spacing w:before="60" w:after="60" w:line="240" w:lineRule="auto"/>
              <w:jc w:val="center"/>
            </w:pPr>
            <w:r>
              <w:rPr>
                <w:rFonts w:ascii="Times New Roman" w:hAnsi="Times New Roman"/>
                <w:b/>
                <w:color w:val="FFFFFF"/>
                <w:sz w:val="19"/>
              </w:rPr>
              <w:t>Records</w:t>
            </w:r>
          </w:p>
        </w:tc>
        <w:tc>
          <w:tcPr>
            <w:tcW w:type="dxa" w:w="1296"/>
            <w:shd w:fill="0F2942"/>
          </w:tcPr>
          <w:p>
            <w:pPr>
              <w:spacing w:before="60" w:after="60" w:line="240" w:lineRule="auto"/>
              <w:jc w:val="center"/>
            </w:pPr>
            <w:r>
              <w:rPr>
                <w:rFonts w:ascii="Times New Roman" w:hAnsi="Times New Roman"/>
                <w:b/>
                <w:color w:val="FFFFFF"/>
                <w:sz w:val="19"/>
              </w:rPr>
              <w:t>Columns</w:t>
            </w:r>
          </w:p>
        </w:tc>
        <w:tc>
          <w:tcPr>
            <w:tcW w:type="dxa" w:w="1728"/>
            <w:shd w:fill="0F2942"/>
          </w:tcPr>
          <w:p>
            <w:pPr>
              <w:spacing w:before="60" w:after="60" w:line="240" w:lineRule="auto"/>
              <w:jc w:val="center"/>
            </w:pPr>
            <w:r>
              <w:rPr>
                <w:rFonts w:ascii="Times New Roman" w:hAnsi="Times New Roman"/>
                <w:b/>
                <w:color w:val="FFFFFF"/>
                <w:sz w:val="19"/>
              </w:rPr>
              <w:t>Primary Key</w:t>
            </w:r>
          </w:p>
        </w:tc>
        <w:tc>
          <w:tcPr>
            <w:tcW w:type="dxa" w:w="3456"/>
            <w:shd w:fill="0F2942"/>
          </w:tcPr>
          <w:p>
            <w:pPr>
              <w:spacing w:before="60" w:after="60" w:line="240" w:lineRule="auto"/>
              <w:jc w:val="center"/>
            </w:pPr>
            <w:r>
              <w:rPr>
                <w:rFonts w:ascii="Times New Roman" w:hAnsi="Times New Roman"/>
                <w:b/>
                <w:color w:val="FFFFFF"/>
                <w:sz w:val="19"/>
              </w:rPr>
              <w:t>Attribute Role in Predictive Pipeline</w:t>
            </w:r>
          </w:p>
        </w:tc>
      </w:tr>
      <w:tr>
        <w:tc>
          <w:tcPr>
            <w:tcW w:type="dxa" w:w="1584"/>
            <w:shd w:fill="FFFFFF"/>
          </w:tcPr>
          <w:p>
            <w:pPr>
              <w:spacing w:before="50" w:after="50" w:line="245" w:lineRule="auto"/>
              <w:jc w:val="left"/>
            </w:pPr>
            <w:r>
              <w:rPr>
                <w:rFonts w:ascii="Times New Roman" w:hAnsi="Times New Roman"/>
                <w:color w:val="1E293B"/>
                <w:sz w:val="18"/>
              </w:rPr>
              <w:t>stores.csv</w:t>
            </w:r>
          </w:p>
        </w:tc>
        <w:tc>
          <w:tcPr>
            <w:tcW w:type="dxa" w:w="1296"/>
            <w:shd w:fill="FFFFFF"/>
          </w:tcPr>
          <w:p>
            <w:pPr>
              <w:spacing w:before="50" w:after="50" w:line="245" w:lineRule="auto"/>
              <w:jc w:val="center"/>
            </w:pPr>
            <w:r>
              <w:rPr>
                <w:rFonts w:ascii="Times New Roman" w:hAnsi="Times New Roman"/>
                <w:color w:val="1E293B"/>
                <w:sz w:val="18"/>
              </w:rPr>
              <w:t>45</w:t>
            </w:r>
          </w:p>
        </w:tc>
        <w:tc>
          <w:tcPr>
            <w:tcW w:type="dxa" w:w="1296"/>
            <w:shd w:fill="FFFFFF"/>
          </w:tcPr>
          <w:p>
            <w:pPr>
              <w:spacing w:before="50" w:after="50" w:line="245" w:lineRule="auto"/>
              <w:jc w:val="center"/>
            </w:pPr>
            <w:r>
              <w:rPr>
                <w:rFonts w:ascii="Times New Roman" w:hAnsi="Times New Roman"/>
                <w:color w:val="1E293B"/>
                <w:sz w:val="18"/>
              </w:rPr>
              <w:t>3</w:t>
            </w:r>
          </w:p>
        </w:tc>
        <w:tc>
          <w:tcPr>
            <w:tcW w:type="dxa" w:w="1728"/>
            <w:shd w:fill="FFFFFF"/>
          </w:tcPr>
          <w:p>
            <w:pPr>
              <w:spacing w:before="50" w:after="50" w:line="245" w:lineRule="auto"/>
              <w:jc w:val="center"/>
            </w:pPr>
            <w:r>
              <w:rPr>
                <w:rFonts w:ascii="Times New Roman" w:hAnsi="Times New Roman"/>
                <w:color w:val="1E293B"/>
                <w:sz w:val="18"/>
              </w:rPr>
              <w:t>Store</w:t>
            </w:r>
          </w:p>
        </w:tc>
        <w:tc>
          <w:tcPr>
            <w:tcW w:type="dxa" w:w="3456"/>
            <w:shd w:fill="FFFFFF"/>
          </w:tcPr>
          <w:p>
            <w:pPr>
              <w:spacing w:before="50" w:after="50" w:line="245" w:lineRule="auto"/>
              <w:jc w:val="left"/>
            </w:pPr>
            <w:r>
              <w:rPr>
                <w:rFonts w:ascii="Times New Roman" w:hAnsi="Times New Roman"/>
                <w:color w:val="1E293B"/>
                <w:sz w:val="18"/>
              </w:rPr>
              <w:t>Store format Type (A: 22 Supercenters, B: 17 Discount, C: 6 Neighborhood) and physical Size (sq. ft.).</w:t>
            </w:r>
          </w:p>
        </w:tc>
      </w:tr>
      <w:tr>
        <w:tc>
          <w:tcPr>
            <w:tcW w:type="dxa" w:w="1584"/>
            <w:shd w:fill="F8FAFC"/>
          </w:tcPr>
          <w:p>
            <w:pPr>
              <w:spacing w:before="50" w:after="50" w:line="245" w:lineRule="auto"/>
              <w:jc w:val="left"/>
            </w:pPr>
            <w:r>
              <w:rPr>
                <w:rFonts w:ascii="Times New Roman" w:hAnsi="Times New Roman"/>
                <w:color w:val="1E293B"/>
                <w:sz w:val="18"/>
              </w:rPr>
              <w:t>features.csv</w:t>
            </w:r>
          </w:p>
        </w:tc>
        <w:tc>
          <w:tcPr>
            <w:tcW w:type="dxa" w:w="1296"/>
            <w:shd w:fill="F8FAFC"/>
          </w:tcPr>
          <w:p>
            <w:pPr>
              <w:spacing w:before="50" w:after="50" w:line="245" w:lineRule="auto"/>
              <w:jc w:val="center"/>
            </w:pPr>
            <w:r>
              <w:rPr>
                <w:rFonts w:ascii="Times New Roman" w:hAnsi="Times New Roman"/>
                <w:color w:val="1E293B"/>
                <w:sz w:val="18"/>
              </w:rPr>
              <w:t>8,190</w:t>
            </w:r>
          </w:p>
        </w:tc>
        <w:tc>
          <w:tcPr>
            <w:tcW w:type="dxa" w:w="1296"/>
            <w:shd w:fill="F8FAFC"/>
          </w:tcPr>
          <w:p>
            <w:pPr>
              <w:spacing w:before="50" w:after="50" w:line="245" w:lineRule="auto"/>
              <w:jc w:val="center"/>
            </w:pPr>
            <w:r>
              <w:rPr>
                <w:rFonts w:ascii="Times New Roman" w:hAnsi="Times New Roman"/>
                <w:color w:val="1E293B"/>
                <w:sz w:val="18"/>
              </w:rPr>
              <w:t>12</w:t>
            </w:r>
          </w:p>
        </w:tc>
        <w:tc>
          <w:tcPr>
            <w:tcW w:type="dxa" w:w="1728"/>
            <w:shd w:fill="F8FAFC"/>
          </w:tcPr>
          <w:p>
            <w:pPr>
              <w:spacing w:before="50" w:after="50" w:line="245" w:lineRule="auto"/>
              <w:jc w:val="center"/>
            </w:pPr>
            <w:r>
              <w:rPr>
                <w:rFonts w:ascii="Times New Roman" w:hAnsi="Times New Roman"/>
                <w:color w:val="1E293B"/>
                <w:sz w:val="18"/>
              </w:rPr>
              <w:t>(Store, Date)</w:t>
            </w:r>
          </w:p>
        </w:tc>
        <w:tc>
          <w:tcPr>
            <w:tcW w:type="dxa" w:w="3456"/>
            <w:shd w:fill="F8FAFC"/>
          </w:tcPr>
          <w:p>
            <w:pPr>
              <w:spacing w:before="50" w:after="50" w:line="245" w:lineRule="auto"/>
              <w:jc w:val="left"/>
            </w:pPr>
            <w:r>
              <w:rPr>
                <w:rFonts w:ascii="Times New Roman" w:hAnsi="Times New Roman"/>
                <w:color w:val="1E293B"/>
                <w:sz w:val="18"/>
              </w:rPr>
              <w:t>Contextual series: Temperature, Fuel_Price, MarkDown1–MarkDown5, CPI, Unemployment, and IsHoliday.</w:t>
            </w:r>
          </w:p>
        </w:tc>
      </w:tr>
      <w:tr>
        <w:tc>
          <w:tcPr>
            <w:tcW w:type="dxa" w:w="1584"/>
            <w:shd w:fill="FFFFFF"/>
          </w:tcPr>
          <w:p>
            <w:pPr>
              <w:spacing w:before="50" w:after="50" w:line="245" w:lineRule="auto"/>
              <w:jc w:val="left"/>
            </w:pPr>
            <w:r>
              <w:rPr>
                <w:rFonts w:ascii="Times New Roman" w:hAnsi="Times New Roman"/>
                <w:color w:val="1E293B"/>
                <w:sz w:val="18"/>
              </w:rPr>
              <w:t>train.csv</w:t>
            </w:r>
          </w:p>
        </w:tc>
        <w:tc>
          <w:tcPr>
            <w:tcW w:type="dxa" w:w="1296"/>
            <w:shd w:fill="FFFFFF"/>
          </w:tcPr>
          <w:p>
            <w:pPr>
              <w:spacing w:before="50" w:after="50" w:line="245" w:lineRule="auto"/>
              <w:jc w:val="center"/>
            </w:pPr>
            <w:r>
              <w:rPr>
                <w:rFonts w:ascii="Times New Roman" w:hAnsi="Times New Roman"/>
                <w:color w:val="1E293B"/>
                <w:sz w:val="18"/>
              </w:rPr>
              <w:t>421,570</w:t>
            </w:r>
          </w:p>
        </w:tc>
        <w:tc>
          <w:tcPr>
            <w:tcW w:type="dxa" w:w="1296"/>
            <w:shd w:fill="FFFFFF"/>
          </w:tcPr>
          <w:p>
            <w:pPr>
              <w:spacing w:before="50" w:after="50" w:line="245" w:lineRule="auto"/>
              <w:jc w:val="center"/>
            </w:pPr>
            <w:r>
              <w:rPr>
                <w:rFonts w:ascii="Times New Roman" w:hAnsi="Times New Roman"/>
                <w:color w:val="1E293B"/>
                <w:sz w:val="18"/>
              </w:rPr>
              <w:t>5</w:t>
            </w:r>
          </w:p>
        </w:tc>
        <w:tc>
          <w:tcPr>
            <w:tcW w:type="dxa" w:w="1728"/>
            <w:shd w:fill="FFFFFF"/>
          </w:tcPr>
          <w:p>
            <w:pPr>
              <w:spacing w:before="50" w:after="50" w:line="245" w:lineRule="auto"/>
              <w:jc w:val="center"/>
            </w:pPr>
            <w:r>
              <w:rPr>
                <w:rFonts w:ascii="Times New Roman" w:hAnsi="Times New Roman"/>
                <w:color w:val="1E293B"/>
                <w:sz w:val="18"/>
              </w:rPr>
              <w:t>(Store, Dept, Date)</w:t>
            </w:r>
          </w:p>
        </w:tc>
        <w:tc>
          <w:tcPr>
            <w:tcW w:type="dxa" w:w="3456"/>
            <w:shd w:fill="FFFFFF"/>
          </w:tcPr>
          <w:p>
            <w:pPr>
              <w:spacing w:before="50" w:after="50" w:line="245" w:lineRule="auto"/>
              <w:jc w:val="left"/>
            </w:pPr>
            <w:r>
              <w:rPr>
                <w:rFonts w:ascii="Times New Roman" w:hAnsi="Times New Roman"/>
                <w:color w:val="1E293B"/>
                <w:sz w:val="18"/>
              </w:rPr>
              <w:t>Historical weekly sales: Weekly_Sales across 45 stores and 81 departments over 143 weeks.</w:t>
            </w:r>
          </w:p>
        </w:tc>
      </w:tr>
      <w:tr>
        <w:tc>
          <w:tcPr>
            <w:tcW w:type="dxa" w:w="1584"/>
            <w:shd w:fill="F8FAFC"/>
          </w:tcPr>
          <w:p>
            <w:pPr>
              <w:spacing w:before="50" w:after="50" w:line="245" w:lineRule="auto"/>
              <w:jc w:val="left"/>
            </w:pPr>
            <w:r>
              <w:rPr>
                <w:rFonts w:ascii="Times New Roman" w:hAnsi="Times New Roman"/>
                <w:color w:val="1E293B"/>
                <w:sz w:val="18"/>
              </w:rPr>
              <w:t>test.csv</w:t>
            </w:r>
          </w:p>
        </w:tc>
        <w:tc>
          <w:tcPr>
            <w:tcW w:type="dxa" w:w="1296"/>
            <w:shd w:fill="F8FAFC"/>
          </w:tcPr>
          <w:p>
            <w:pPr>
              <w:spacing w:before="50" w:after="50" w:line="245" w:lineRule="auto"/>
              <w:jc w:val="center"/>
            </w:pPr>
            <w:r>
              <w:rPr>
                <w:rFonts w:ascii="Times New Roman" w:hAnsi="Times New Roman"/>
                <w:color w:val="1E293B"/>
                <w:sz w:val="18"/>
              </w:rPr>
              <w:t>115,064</w:t>
            </w:r>
          </w:p>
        </w:tc>
        <w:tc>
          <w:tcPr>
            <w:tcW w:type="dxa" w:w="1296"/>
            <w:shd w:fill="F8FAFC"/>
          </w:tcPr>
          <w:p>
            <w:pPr>
              <w:spacing w:before="50" w:after="50" w:line="245" w:lineRule="auto"/>
              <w:jc w:val="center"/>
            </w:pPr>
            <w:r>
              <w:rPr>
                <w:rFonts w:ascii="Times New Roman" w:hAnsi="Times New Roman"/>
                <w:color w:val="1E293B"/>
                <w:sz w:val="18"/>
              </w:rPr>
              <w:t>4</w:t>
            </w:r>
          </w:p>
        </w:tc>
        <w:tc>
          <w:tcPr>
            <w:tcW w:type="dxa" w:w="1728"/>
            <w:shd w:fill="F8FAFC"/>
          </w:tcPr>
          <w:p>
            <w:pPr>
              <w:spacing w:before="50" w:after="50" w:line="245" w:lineRule="auto"/>
              <w:jc w:val="center"/>
            </w:pPr>
            <w:r>
              <w:rPr>
                <w:rFonts w:ascii="Times New Roman" w:hAnsi="Times New Roman"/>
                <w:color w:val="1E293B"/>
                <w:sz w:val="18"/>
              </w:rPr>
              <w:t>(Store, Dept, Date)</w:t>
            </w:r>
          </w:p>
        </w:tc>
        <w:tc>
          <w:tcPr>
            <w:tcW w:type="dxa" w:w="3456"/>
            <w:shd w:fill="F8FAFC"/>
          </w:tcPr>
          <w:p>
            <w:pPr>
              <w:spacing w:before="50" w:after="50" w:line="245" w:lineRule="auto"/>
              <w:jc w:val="left"/>
            </w:pPr>
            <w:r>
              <w:rPr>
                <w:rFonts w:ascii="Times New Roman" w:hAnsi="Times New Roman"/>
                <w:color w:val="1E293B"/>
                <w:sz w:val="18"/>
              </w:rPr>
              <w:t>Evaluation horizon spanning 39 weeks (November 2012 to July 2013) for out-of-sample deployment.</w:t>
            </w:r>
          </w:p>
        </w:tc>
      </w:tr>
    </w:tbl>
    <w:p>
      <w:pPr>
        <w:spacing w:before="120" w:after="120" w:line="269" w:lineRule="auto"/>
        <w:jc w:val="both"/>
      </w:pPr>
      <w:r>
        <w:rPr>
          <w:rFonts w:ascii="Times New Roman" w:hAnsi="Times New Roman"/>
          <w:b/>
          <w:sz w:val="24"/>
        </w:rPr>
        <w:t xml:space="preserve">3.3 Stage 2: Data Preprocessing, Imputation and Outlier Treatment: </w:t>
      </w:r>
      <w:r>
        <w:rPr>
          <w:rFonts w:ascii="Times New Roman" w:hAnsi="Times New Roman"/>
          <w:sz w:val="24"/>
        </w:rPr>
        <w:t>Data diagnostics identified three primary anomalies: promotional markdown missingness, macroeconomic indicator lags, and accounting merchandise returns manifesting as negative sales values.</w:t>
      </w:r>
    </w:p>
    <w:p>
      <w:pPr>
        <w:spacing w:before="160" w:after="60" w:line="269" w:lineRule="auto"/>
        <w:jc w:val="left"/>
      </w:pPr>
      <w:r>
        <w:rPr>
          <w:rFonts w:ascii="Times New Roman" w:hAnsi="Times New Roman"/>
          <w:b/>
          <w:color w:val="0F2942"/>
          <w:sz w:val="22"/>
        </w:rPr>
        <w:t>Table 3: Comprehensive Diagnostic Profile of Missing Values, Anomalies, and Imputation Protocols</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2016"/>
            <w:shd w:fill="0F2942"/>
          </w:tcPr>
          <w:p>
            <w:pPr>
              <w:spacing w:before="60" w:after="60" w:line="240" w:lineRule="auto"/>
              <w:jc w:val="center"/>
            </w:pPr>
            <w:r>
              <w:rPr>
                <w:rFonts w:ascii="Times New Roman" w:hAnsi="Times New Roman"/>
                <w:b/>
                <w:color w:val="FFFFFF"/>
                <w:sz w:val="19"/>
              </w:rPr>
              <w:t>Attribute / Column</w:t>
            </w:r>
          </w:p>
        </w:tc>
        <w:tc>
          <w:tcPr>
            <w:tcW w:type="dxa" w:w="1584"/>
            <w:shd w:fill="0F2942"/>
          </w:tcPr>
          <w:p>
            <w:pPr>
              <w:spacing w:before="60" w:after="60" w:line="240" w:lineRule="auto"/>
              <w:jc w:val="center"/>
            </w:pPr>
            <w:r>
              <w:rPr>
                <w:rFonts w:ascii="Times New Roman" w:hAnsi="Times New Roman"/>
                <w:b/>
                <w:color w:val="FFFFFF"/>
                <w:sz w:val="19"/>
              </w:rPr>
              <w:t>Missing Count</w:t>
            </w:r>
          </w:p>
        </w:tc>
        <w:tc>
          <w:tcPr>
            <w:tcW w:type="dxa" w:w="1296"/>
            <w:shd w:fill="0F2942"/>
          </w:tcPr>
          <w:p>
            <w:pPr>
              <w:spacing w:before="60" w:after="60" w:line="240" w:lineRule="auto"/>
              <w:jc w:val="center"/>
            </w:pPr>
            <w:r>
              <w:rPr>
                <w:rFonts w:ascii="Times New Roman" w:hAnsi="Times New Roman"/>
                <w:b/>
                <w:color w:val="FFFFFF"/>
                <w:sz w:val="19"/>
              </w:rPr>
              <w:t>Missing %</w:t>
            </w:r>
          </w:p>
        </w:tc>
        <w:tc>
          <w:tcPr>
            <w:tcW w:type="dxa" w:w="2160"/>
            <w:shd w:fill="0F2942"/>
          </w:tcPr>
          <w:p>
            <w:pPr>
              <w:spacing w:before="60" w:after="60" w:line="240" w:lineRule="auto"/>
              <w:jc w:val="center"/>
            </w:pPr>
            <w:r>
              <w:rPr>
                <w:rFonts w:ascii="Times New Roman" w:hAnsi="Times New Roman"/>
                <w:b/>
                <w:color w:val="FFFFFF"/>
                <w:sz w:val="19"/>
              </w:rPr>
              <w:t>Root Operational Cause</w:t>
            </w:r>
          </w:p>
        </w:tc>
        <w:tc>
          <w:tcPr>
            <w:tcW w:type="dxa" w:w="2304"/>
            <w:shd w:fill="0F2942"/>
          </w:tcPr>
          <w:p>
            <w:pPr>
              <w:spacing w:before="60" w:after="60" w:line="240" w:lineRule="auto"/>
              <w:jc w:val="center"/>
            </w:pPr>
            <w:r>
              <w:rPr>
                <w:rFonts w:ascii="Times New Roman" w:hAnsi="Times New Roman"/>
                <w:b/>
                <w:color w:val="FFFFFF"/>
                <w:sz w:val="19"/>
              </w:rPr>
              <w:t>Engineered Treatment Protocol</w:t>
            </w:r>
          </w:p>
        </w:tc>
      </w:tr>
      <w:tr>
        <w:tc>
          <w:tcPr>
            <w:tcW w:type="dxa" w:w="2016"/>
            <w:shd w:fill="FFFFFF"/>
          </w:tcPr>
          <w:p>
            <w:pPr>
              <w:spacing w:before="50" w:after="50" w:line="245" w:lineRule="auto"/>
              <w:jc w:val="left"/>
            </w:pPr>
            <w:r>
              <w:rPr>
                <w:rFonts w:ascii="Times New Roman" w:hAnsi="Times New Roman"/>
                <w:color w:val="1E293B"/>
                <w:sz w:val="18"/>
              </w:rPr>
              <w:t>MarkDown1–MarkDown5</w:t>
            </w:r>
          </w:p>
        </w:tc>
        <w:tc>
          <w:tcPr>
            <w:tcW w:type="dxa" w:w="1584"/>
            <w:shd w:fill="FFFFFF"/>
          </w:tcPr>
          <w:p>
            <w:pPr>
              <w:spacing w:before="50" w:after="50" w:line="245" w:lineRule="auto"/>
              <w:jc w:val="center"/>
            </w:pPr>
            <w:r>
              <w:rPr>
                <w:rFonts w:ascii="Times New Roman" w:hAnsi="Times New Roman"/>
                <w:color w:val="1E293B"/>
                <w:sz w:val="18"/>
              </w:rPr>
              <w:t>270K–310K</w:t>
            </w:r>
          </w:p>
        </w:tc>
        <w:tc>
          <w:tcPr>
            <w:tcW w:type="dxa" w:w="1296"/>
            <w:shd w:fill="FFFFFF"/>
          </w:tcPr>
          <w:p>
            <w:pPr>
              <w:spacing w:before="50" w:after="50" w:line="245" w:lineRule="auto"/>
              <w:jc w:val="center"/>
            </w:pPr>
            <w:r>
              <w:rPr>
                <w:rFonts w:ascii="Times New Roman" w:hAnsi="Times New Roman"/>
                <w:color w:val="1E293B"/>
                <w:sz w:val="18"/>
              </w:rPr>
              <w:t>64.1%–73.6%</w:t>
            </w:r>
          </w:p>
        </w:tc>
        <w:tc>
          <w:tcPr>
            <w:tcW w:type="dxa" w:w="2160"/>
            <w:shd w:fill="FFFFFF"/>
          </w:tcPr>
          <w:p>
            <w:pPr>
              <w:spacing w:before="50" w:after="50" w:line="245" w:lineRule="auto"/>
              <w:jc w:val="left"/>
            </w:pPr>
            <w:r>
              <w:rPr>
                <w:rFonts w:ascii="Times New Roman" w:hAnsi="Times New Roman"/>
                <w:color w:val="1E293B"/>
                <w:sz w:val="18"/>
              </w:rPr>
              <w:t>Tracking began Nov 2011; NA denotes inactive promo.</w:t>
            </w:r>
          </w:p>
        </w:tc>
        <w:tc>
          <w:tcPr>
            <w:tcW w:type="dxa" w:w="2304"/>
            <w:shd w:fill="FFFFFF"/>
          </w:tcPr>
          <w:p>
            <w:pPr>
              <w:spacing w:before="50" w:after="50" w:line="245" w:lineRule="auto"/>
              <w:jc w:val="left"/>
            </w:pPr>
            <w:r>
              <w:rPr>
                <w:rFonts w:ascii="Times New Roman" w:hAnsi="Times New Roman"/>
                <w:color w:val="1E293B"/>
                <w:sz w:val="18"/>
              </w:rPr>
              <w:t>Extracted Has_MarkDown indicator; structural 0.0 fill; clipped &lt; 0.</w:t>
            </w:r>
          </w:p>
        </w:tc>
      </w:tr>
      <w:tr>
        <w:tc>
          <w:tcPr>
            <w:tcW w:type="dxa" w:w="2016"/>
            <w:shd w:fill="F8FAFC"/>
          </w:tcPr>
          <w:p>
            <w:pPr>
              <w:spacing w:before="50" w:after="50" w:line="245" w:lineRule="auto"/>
              <w:jc w:val="left"/>
            </w:pPr>
            <w:r>
              <w:rPr>
                <w:rFonts w:ascii="Times New Roman" w:hAnsi="Times New Roman"/>
                <w:color w:val="1E293B"/>
                <w:sz w:val="18"/>
              </w:rPr>
              <w:t>CPI &amp; Unemployment</w:t>
            </w:r>
          </w:p>
        </w:tc>
        <w:tc>
          <w:tcPr>
            <w:tcW w:type="dxa" w:w="1584"/>
            <w:shd w:fill="F8FAFC"/>
          </w:tcPr>
          <w:p>
            <w:pPr>
              <w:spacing w:before="50" w:after="50" w:line="245" w:lineRule="auto"/>
              <w:jc w:val="center"/>
            </w:pPr>
            <w:r>
              <w:rPr>
                <w:rFonts w:ascii="Times New Roman" w:hAnsi="Times New Roman"/>
                <w:color w:val="1E293B"/>
                <w:sz w:val="18"/>
              </w:rPr>
              <w:t>585 (features)</w:t>
            </w:r>
          </w:p>
        </w:tc>
        <w:tc>
          <w:tcPr>
            <w:tcW w:type="dxa" w:w="1296"/>
            <w:shd w:fill="F8FAFC"/>
          </w:tcPr>
          <w:p>
            <w:pPr>
              <w:spacing w:before="50" w:after="50" w:line="245" w:lineRule="auto"/>
              <w:jc w:val="center"/>
            </w:pPr>
            <w:r>
              <w:rPr>
                <w:rFonts w:ascii="Times New Roman" w:hAnsi="Times New Roman"/>
                <w:color w:val="1E293B"/>
                <w:sz w:val="18"/>
              </w:rPr>
              <w:t>7.14%</w:t>
            </w:r>
          </w:p>
        </w:tc>
        <w:tc>
          <w:tcPr>
            <w:tcW w:type="dxa" w:w="2160"/>
            <w:shd w:fill="F8FAFC"/>
          </w:tcPr>
          <w:p>
            <w:pPr>
              <w:spacing w:before="50" w:after="50" w:line="245" w:lineRule="auto"/>
              <w:jc w:val="left"/>
            </w:pPr>
            <w:r>
              <w:rPr>
                <w:rFonts w:ascii="Times New Roman" w:hAnsi="Times New Roman"/>
                <w:color w:val="1E293B"/>
                <w:sz w:val="18"/>
              </w:rPr>
              <w:t>Macroeconomic indices lagged in final test weeks.</w:t>
            </w:r>
          </w:p>
        </w:tc>
        <w:tc>
          <w:tcPr>
            <w:tcW w:type="dxa" w:w="2304"/>
            <w:shd w:fill="F8FAFC"/>
          </w:tcPr>
          <w:p>
            <w:pPr>
              <w:spacing w:before="50" w:after="50" w:line="245" w:lineRule="auto"/>
              <w:jc w:val="left"/>
            </w:pPr>
            <w:r>
              <w:rPr>
                <w:rFonts w:ascii="Times New Roman" w:hAnsi="Times New Roman"/>
                <w:color w:val="1E293B"/>
                <w:sz w:val="18"/>
              </w:rPr>
              <w:t>Store-grouped chronological forward/backward fill (ffill / bfill).</w:t>
            </w:r>
          </w:p>
        </w:tc>
      </w:tr>
      <w:tr>
        <w:tc>
          <w:tcPr>
            <w:tcW w:type="dxa" w:w="2016"/>
            <w:shd w:fill="FFFFFF"/>
          </w:tcPr>
          <w:p>
            <w:pPr>
              <w:spacing w:before="50" w:after="50" w:line="245" w:lineRule="auto"/>
              <w:jc w:val="left"/>
            </w:pPr>
            <w:r>
              <w:rPr>
                <w:rFonts w:ascii="Times New Roman" w:hAnsi="Times New Roman"/>
                <w:color w:val="1E293B"/>
                <w:sz w:val="18"/>
              </w:rPr>
              <w:t>Weekly_Sales (&lt; $0)</w:t>
            </w:r>
          </w:p>
        </w:tc>
        <w:tc>
          <w:tcPr>
            <w:tcW w:type="dxa" w:w="1584"/>
            <w:shd w:fill="FFFFFF"/>
          </w:tcPr>
          <w:p>
            <w:pPr>
              <w:spacing w:before="50" w:after="50" w:line="245" w:lineRule="auto"/>
              <w:jc w:val="center"/>
            </w:pPr>
            <w:r>
              <w:rPr>
                <w:rFonts w:ascii="Times New Roman" w:hAnsi="Times New Roman"/>
                <w:color w:val="1E293B"/>
                <w:sz w:val="18"/>
              </w:rPr>
              <w:t>1,285 records</w:t>
            </w:r>
          </w:p>
        </w:tc>
        <w:tc>
          <w:tcPr>
            <w:tcW w:type="dxa" w:w="1296"/>
            <w:shd w:fill="FFFFFF"/>
          </w:tcPr>
          <w:p>
            <w:pPr>
              <w:spacing w:before="50" w:after="50" w:line="245" w:lineRule="auto"/>
              <w:jc w:val="center"/>
            </w:pPr>
            <w:r>
              <w:rPr>
                <w:rFonts w:ascii="Times New Roman" w:hAnsi="Times New Roman"/>
                <w:color w:val="1E293B"/>
                <w:sz w:val="18"/>
              </w:rPr>
              <w:t>0.30%</w:t>
            </w:r>
          </w:p>
        </w:tc>
        <w:tc>
          <w:tcPr>
            <w:tcW w:type="dxa" w:w="2160"/>
            <w:shd w:fill="FFFFFF"/>
          </w:tcPr>
          <w:p>
            <w:pPr>
              <w:spacing w:before="50" w:after="50" w:line="245" w:lineRule="auto"/>
              <w:jc w:val="left"/>
            </w:pPr>
            <w:r>
              <w:rPr>
                <w:rFonts w:ascii="Times New Roman" w:hAnsi="Times New Roman"/>
                <w:color w:val="1E293B"/>
                <w:sz w:val="18"/>
              </w:rPr>
              <w:t>Post-holiday customer returns &amp; accounting credits.</w:t>
            </w:r>
          </w:p>
        </w:tc>
        <w:tc>
          <w:tcPr>
            <w:tcW w:type="dxa" w:w="2304"/>
            <w:shd w:fill="FFFFFF"/>
          </w:tcPr>
          <w:p>
            <w:pPr>
              <w:spacing w:before="50" w:after="50" w:line="245" w:lineRule="auto"/>
              <w:jc w:val="left"/>
            </w:pPr>
            <w:r>
              <w:rPr>
                <w:rFonts w:ascii="Times New Roman" w:hAnsi="Times New Roman"/>
                <w:color w:val="1E293B"/>
                <w:sz w:val="18"/>
              </w:rPr>
              <w:t>Floored at $0.00 to guarantee valid physical demand target.</w:t>
            </w:r>
          </w:p>
        </w:tc>
      </w:tr>
      <w:tr>
        <w:tc>
          <w:tcPr>
            <w:tcW w:type="dxa" w:w="2016"/>
            <w:shd w:fill="F8FAFC"/>
          </w:tcPr>
          <w:p>
            <w:pPr>
              <w:spacing w:before="50" w:after="50" w:line="245" w:lineRule="auto"/>
              <w:jc w:val="left"/>
            </w:pPr>
            <w:r>
              <w:rPr>
                <w:rFonts w:ascii="Times New Roman" w:hAnsi="Times New Roman"/>
                <w:color w:val="1E293B"/>
                <w:sz w:val="18"/>
              </w:rPr>
              <w:t>Extreme Outliers</w:t>
            </w:r>
          </w:p>
        </w:tc>
        <w:tc>
          <w:tcPr>
            <w:tcW w:type="dxa" w:w="1584"/>
            <w:shd w:fill="F8FAFC"/>
          </w:tcPr>
          <w:p>
            <w:pPr>
              <w:spacing w:before="50" w:after="50" w:line="245" w:lineRule="auto"/>
              <w:jc w:val="center"/>
            </w:pPr>
            <w:r>
              <w:rPr>
                <w:rFonts w:ascii="Times New Roman" w:hAnsi="Times New Roman"/>
                <w:color w:val="1E293B"/>
                <w:sz w:val="18"/>
              </w:rPr>
              <w:t>422 records</w:t>
            </w:r>
          </w:p>
        </w:tc>
        <w:tc>
          <w:tcPr>
            <w:tcW w:type="dxa" w:w="1296"/>
            <w:shd w:fill="F8FAFC"/>
          </w:tcPr>
          <w:p>
            <w:pPr>
              <w:spacing w:before="50" w:after="50" w:line="245" w:lineRule="auto"/>
              <w:jc w:val="center"/>
            </w:pPr>
            <w:r>
              <w:rPr>
                <w:rFonts w:ascii="Times New Roman" w:hAnsi="Times New Roman"/>
                <w:color w:val="1E293B"/>
                <w:sz w:val="18"/>
              </w:rPr>
              <w:t>0.10%</w:t>
            </w:r>
          </w:p>
        </w:tc>
        <w:tc>
          <w:tcPr>
            <w:tcW w:type="dxa" w:w="2160"/>
            <w:shd w:fill="F8FAFC"/>
          </w:tcPr>
          <w:p>
            <w:pPr>
              <w:spacing w:before="50" w:after="50" w:line="245" w:lineRule="auto"/>
              <w:jc w:val="left"/>
            </w:pPr>
            <w:r>
              <w:rPr>
                <w:rFonts w:ascii="Times New Roman" w:hAnsi="Times New Roman"/>
                <w:color w:val="1E293B"/>
                <w:sz w:val="18"/>
              </w:rPr>
              <w:t>Bulk institutional sales vs. real Black Friday spikes.</w:t>
            </w:r>
          </w:p>
        </w:tc>
        <w:tc>
          <w:tcPr>
            <w:tcW w:type="dxa" w:w="2304"/>
            <w:shd w:fill="F8FAFC"/>
          </w:tcPr>
          <w:p>
            <w:pPr>
              <w:spacing w:before="50" w:after="50" w:line="245" w:lineRule="auto"/>
              <w:jc w:val="left"/>
            </w:pPr>
            <w:r>
              <w:rPr>
                <w:rFonts w:ascii="Times New Roman" w:hAnsi="Times New Roman"/>
                <w:color w:val="1E293B"/>
                <w:sz w:val="18"/>
              </w:rPr>
              <w:t>Winsorized non-holiday records at 99.95th pct ($183.5K); preserved Holidays.</w:t>
            </w:r>
          </w:p>
        </w:tc>
      </w:tr>
    </w:tbl>
    <w:p>
      <w:pPr>
        <w:spacing w:before="120" w:after="120" w:line="269" w:lineRule="auto"/>
        <w:jc w:val="both"/>
      </w:pPr>
      <w:r>
        <w:rPr>
          <w:rFonts w:ascii="Times New Roman" w:hAnsi="Times New Roman"/>
          <w:b/>
          <w:sz w:val="24"/>
        </w:rPr>
        <w:t xml:space="preserve">3.4 Stage 3: Multi-Scale Feature Engineering Pipeline: </w:t>
      </w:r>
      <w:r>
        <w:rPr>
          <w:rFonts w:ascii="Times New Roman" w:hAnsi="Times New Roman"/>
          <w:sz w:val="24"/>
        </w:rPr>
        <w:t>To equip regression models with rich temporal signals without look-ahead bias, 43 domain predictors were constructed across five classes: (1) Autoregressive Lags (Lag_1, Lag_2, Lag_4, Lag_52); (2) Leak-Free Shifted Rolling Windows computed on t-1 shifted demand (Rolling_Mean_4, Rolling_Std_4, Rolling_Mean_12, Momentum_1_4); (3) Explicit Holiday Calendar Indicators (Is_SuperBowl, Is_LaborDay, Is_Thanksgiving, Is_Christmas, Pre_Christmas_Peak); (4) Fourier Cyclical Seasonality Transforms enforcing circular calendar continuity; and (5) Out-of-Sample Historical Target Statistics (Store_Dept_Mean, Store_Dept_Median, Store_Dept_Std computed strictly on the training partition).</w:t>
      </w:r>
    </w:p>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Week_Sin = sin(2pi * Week / 52),    Week_Cos = cos(2pi * Week / 52)</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(1)</w:t>
            </w:r>
          </w:p>
        </w:tc>
      </w:tr>
    </w:tbl>
    <w:p>
      <w:pPr>
        <w:spacing w:before="120" w:after="120" w:line="269" w:lineRule="auto"/>
        <w:jc w:val="both"/>
      </w:pPr>
      <w:r>
        <w:rPr>
          <w:rFonts w:ascii="Times New Roman" w:hAnsi="Times New Roman"/>
          <w:b/>
          <w:sz w:val="24"/>
        </w:rPr>
        <w:t xml:space="preserve">3.5 Stage 5 &amp; 6: Predictive Model Formulation and Evaluation Metric: </w:t>
      </w:r>
      <w:r>
        <w:rPr>
          <w:rFonts w:ascii="Times New Roman" w:hAnsi="Times New Roman"/>
          <w:sz w:val="24"/>
        </w:rPr>
        <w:t>Four distinct model families were benchmarked: Baseline Ridge Regression optimizing L2-regularized squared loss (Equation 2), Random Forest Regressor averaging B = 100 decorrelated trees (Equation 3), and XGBoost and LightGBM optimizing second-order regularized gradient boosting (Equation 4). Models were evaluated under asymmetric Weighted Mean Absolute Error (Equation 5) and inventory mismatch penalty cost (Equation 6) over a chronological split at November 25, 2011 (263,199 train / 145,237 validation records covering 49 weeks and all 4 holidays).</w:t>
      </w:r>
    </w:p>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min_beta { ||y - X beta||_2^2 + alpha ||beta||_2^2 },    alpha = 100.0</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(2)</w:t>
            </w:r>
          </w:p>
        </w:tc>
      </w:tr>
    </w:tbl>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y_hat_RF(x) = (1 / B) * Sum_{b=1}^{B} T_b(x)</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(3)</w:t>
            </w:r>
          </w:p>
        </w:tc>
      </w:tr>
    </w:tbl>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L^(t) approx Sum_{i=1}^{N} w_i [ g_i f_t(x_i) + (1/2) h_i f_t^2(x_i) ] + Omega(f_t)</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(4)</w:t>
            </w:r>
          </w:p>
        </w:tc>
      </w:tr>
    </w:tbl>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WMAE = [ Sum_{i=1}^{N} w_i * |y_i - y_hat_i| ] / [ Sum_{i=1}^{N} w_i ],    w_i = 5 if IsHoliday_i else 1</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(5)</w:t>
            </w:r>
          </w:p>
        </w:tc>
      </w:tr>
    </w:tbl>
    <w:tbl>
      <w:tblPr>
        <w:tblW w:type="auto" w:w="0"/>
        <w:jc w:val="center"/>
        <w:tblLayout w:type="fixed"/>
        <w:tblLook w:firstColumn="1" w:firstRow="1" w:lastColumn="0" w:lastRow="0" w:noHBand="0" w:noVBand="1" w:val="04A0"/>
      </w:tblPr>
      <w:tblGrid>
        <w:gridCol w:w="4730"/>
        <w:gridCol w:w="4730"/>
      </w:tblGrid>
      <w:tr>
        <w:tc>
          <w:tcPr>
            <w:tcW w:type="dxa" w:w="8064"/>
            <w:tcBorders>
              <w:top w:val="none"/>
              <w:left w:val="none"/>
              <w:bottom w:val="none"/>
              <w:right w:val="none"/>
            </w:tcBorders>
          </w:tcPr>
          <w:p>
            <w:pPr>
              <w:spacing w:before="60" w:after="60" w:line="252" w:lineRule="auto"/>
              <w:jc w:val="center"/>
            </w:pPr>
            <w:r>
              <w:rPr>
                <w:rFonts w:ascii="Times New Roman" w:hAnsi="Times New Roman"/>
                <w:i/>
                <w:sz w:val="22"/>
              </w:rPr>
              <w:t>C_mismatch = gamma * Sum_{i=1}^{N} |y_i - y_hat_i|,    gamma = 0.22</w:t>
            </w:r>
          </w:p>
        </w:tc>
        <w:tc>
          <w:tcPr>
            <w:tcW w:type="dxa" w:w="1296"/>
            <w:tcBorders>
              <w:top w:val="none"/>
              <w:left w:val="none"/>
              <w:bottom w:val="none"/>
              <w:right w:val="none"/>
            </w:tcBorders>
          </w:tcPr>
          <w:p>
            <w:pPr>
              <w:spacing w:before="60" w:after="60" w:line="252" w:lineRule="auto"/>
              <w:jc w:val="right"/>
            </w:pPr>
            <w:r>
              <w:rPr>
                <w:rFonts w:ascii="Times New Roman" w:hAnsi="Times New Roman"/>
                <w:b/>
                <w:sz w:val="22"/>
              </w:rPr>
              <w:t>(6)</w:t>
            </w:r>
          </w:p>
        </w:tc>
      </w:tr>
    </w:tbl>
    <w:p>
      <w:pPr>
        <w:spacing w:before="240" w:after="100" w:line="269" w:lineRule="auto"/>
        <w:jc w:val="left"/>
      </w:pPr>
      <w:r>
        <w:rPr>
          <w:rFonts w:ascii="Times New Roman" w:hAnsi="Times New Roman"/>
          <w:b/>
          <w:color w:val="0F2942"/>
          <w:sz w:val="30"/>
        </w:rPr>
        <w:t>Chapter 4: Results and Discussion</w:t>
      </w:r>
    </w:p>
    <w:p>
      <w:pPr>
        <w:spacing w:before="120" w:after="120" w:line="269" w:lineRule="auto"/>
        <w:jc w:val="both"/>
      </w:pPr>
      <w:r>
        <w:rPr>
          <w:rFonts w:ascii="Times New Roman" w:hAnsi="Times New Roman"/>
          <w:b/>
          <w:sz w:val="24"/>
        </w:rPr>
        <w:t xml:space="preserve">4.1 Exploratory Data Analysis Insights: </w:t>
      </w:r>
      <w:r>
        <w:rPr>
          <w:rFonts w:ascii="Times New Roman" w:hAnsi="Times New Roman"/>
          <w:sz w:val="24"/>
        </w:rPr>
        <w:t>Exploratory Data Analysis revealed key demand dynamics across the network. Average store revenue fluctuates around $47.1M/week during baseline periods but spikes to $66.6M on Thanksgiving (+44.0% lift) and $80.0M during Pre-Christmas Weeks 49–51 (+40.2% lift). Physical store area exhibits a strong linear correlation (r = 0.81) with sales across Supercenters ($1.45M/wk), Discount Stores ($0.79M/wk), and Neighborhood Markets ($0.46M/wk). Promotional MarkDown3 spikes to over $14,000/store during Thanksgiving, confirming the need for holiday-promo interaction terms.</w:t>
      </w:r>
    </w:p>
    <w:p>
      <w:pPr>
        <w:spacing w:before="120" w:after="40" w:line="269" w:lineRule="auto"/>
        <w:jc w:val="center"/>
      </w:pPr>
      <w:r>
        <w:drawing>
          <wp:inline xmlns:a="http://schemas.openxmlformats.org/drawingml/2006/main" xmlns:pic="http://schemas.openxmlformats.org/drawingml/2006/picture">
            <wp:extent cx="5120640" cy="3349951"/>
            <wp:docPr id="1" name="Picture 1"/>
            <wp:cNvGraphicFramePr>
              <a:graphicFrameLocks noChangeAspect="1"/>
            </wp:cNvGraphicFramePr>
            <a:graphic>
              <a:graphicData uri="http://schemas.openxmlformats.org/drawingml/2006/picture">
                <pic:pic>
                  <pic:nvPicPr>
                    <pic:cNvPr id="0" name="fig1_eda_sales_overview.png"/>
                    <pic:cNvPicPr/>
                  </pic:nvPicPr>
                  <pic:blipFill>
                    <a:blip r:embed="rId9"/>
                    <a:stretch>
                      <a:fillRect/>
                    </a:stretch>
                  </pic:blipFill>
                  <pic:spPr>
                    <a:xfrm>
                      <a:off x="0" y="0"/>
                      <a:ext cx="5120640" cy="3349951"/>
                    </a:xfrm>
                    <a:prstGeom prst="rect"/>
                  </pic:spPr>
                </pic:pic>
              </a:graphicData>
            </a:graphic>
          </wp:inline>
        </w:drawing>
      </w:r>
    </w:p>
    <w:p>
      <w:pPr>
        <w:spacing w:before="40" w:after="120" w:line="269" w:lineRule="auto"/>
        <w:jc w:val="center"/>
      </w:pPr>
      <w:r>
        <w:rPr>
          <w:rFonts w:ascii="Times New Roman" w:hAnsi="Times New Roman"/>
          <w:i/>
          <w:color w:val="475569"/>
          <w:sz w:val="20"/>
        </w:rPr>
        <w:t>Figure 1: Aggregate Weekly Retail Sales Trajectory (2010–2012), Format Type Distribution, and Store Area Size Elasticity.</w:t>
      </w:r>
    </w:p>
    <w:p>
      <w:pPr>
        <w:spacing w:before="120" w:after="40" w:line="269" w:lineRule="auto"/>
        <w:jc w:val="center"/>
      </w:pPr>
      <w:r>
        <w:drawing>
          <wp:inline xmlns:a="http://schemas.openxmlformats.org/drawingml/2006/main" xmlns:pic="http://schemas.openxmlformats.org/drawingml/2006/picture">
            <wp:extent cx="5120640" cy="1796610"/>
            <wp:docPr id="2" name="Picture 2"/>
            <wp:cNvGraphicFramePr>
              <a:graphicFrameLocks noChangeAspect="1"/>
            </wp:cNvGraphicFramePr>
            <a:graphic>
              <a:graphicData uri="http://schemas.openxmlformats.org/drawingml/2006/picture">
                <pic:pic>
                  <pic:nvPicPr>
                    <pic:cNvPr id="0" name="fig3_holiday_and_macro_effects.png"/>
                    <pic:cNvPicPr/>
                  </pic:nvPicPr>
                  <pic:blipFill>
                    <a:blip r:embed="rId10"/>
                    <a:stretch>
                      <a:fillRect/>
                    </a:stretch>
                  </pic:blipFill>
                  <pic:spPr>
                    <a:xfrm>
                      <a:off x="0" y="0"/>
                      <a:ext cx="5120640" cy="1796610"/>
                    </a:xfrm>
                    <a:prstGeom prst="rect"/>
                  </pic:spPr>
                </pic:pic>
              </a:graphicData>
            </a:graphic>
          </wp:inline>
        </w:drawing>
      </w:r>
    </w:p>
    <w:p>
      <w:pPr>
        <w:spacing w:before="40" w:after="120" w:line="269" w:lineRule="auto"/>
        <w:jc w:val="center"/>
      </w:pPr>
      <w:r>
        <w:rPr>
          <w:rFonts w:ascii="Times New Roman" w:hAnsi="Times New Roman"/>
          <w:i/>
          <w:color w:val="475569"/>
          <w:sz w:val="20"/>
        </w:rPr>
        <w:t>Figure 2: Empirical Weekly Revenue Lift by Holiday Calendar Event and Standardized Trajectories of Macroeconomic Indicators.</w:t>
      </w:r>
    </w:p>
    <w:p>
      <w:pPr>
        <w:spacing w:before="120" w:after="120" w:line="269" w:lineRule="auto"/>
        <w:jc w:val="both"/>
      </w:pPr>
      <w:r>
        <w:rPr>
          <w:rFonts w:ascii="Times New Roman" w:hAnsi="Times New Roman"/>
          <w:b/>
          <w:sz w:val="24"/>
        </w:rPr>
        <w:t xml:space="preserve">4.2 Quantitative Model Benchmark Comparison: </w:t>
      </w:r>
      <w:r>
        <w:rPr>
          <w:rFonts w:ascii="Times New Roman" w:hAnsi="Times New Roman"/>
          <w:sz w:val="24"/>
        </w:rPr>
        <w:t>Table 4 and Figure 3 present out-of-sample benchmark performance across the 145,237 validation observations. LightGBM emerged as the champion model, achieving the lowest WMAE ($1,758.94, a 60.0% error reduction vs. Baseline Ridge at $4,393.17), lowest RMSE ($3,837.62), and highest goodness-of-fit (R² = 0.9725) in only 4.91 seconds. Crucially, LightGBM slashed Holiday MAE by 76.0% ($2,421.19 vs. $10,108.52), protecting against Black Friday and Christmas stockouts. XGBoost achieved the best non-holiday accuracy ($1,410.37 MAE).</w:t>
      </w:r>
    </w:p>
    <w:p>
      <w:pPr>
        <w:spacing w:before="160" w:after="60" w:line="269" w:lineRule="auto"/>
        <w:jc w:val="left"/>
      </w:pPr>
      <w:r>
        <w:rPr>
          <w:rFonts w:ascii="Times New Roman" w:hAnsi="Times New Roman"/>
          <w:b/>
          <w:color w:val="0F2942"/>
          <w:sz w:val="22"/>
        </w:rPr>
        <w:t>Table 4: Comprehensive Model Evaluation Across 145,237 Out-of-Sample Store-Department-Week Validation Observations</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c>
          <w:tcPr>
            <w:tcW w:type="dxa" w:w="2304"/>
            <w:shd w:fill="0F2942"/>
          </w:tcPr>
          <w:p>
            <w:pPr>
              <w:spacing w:before="60" w:after="60" w:line="240" w:lineRule="auto"/>
              <w:jc w:val="center"/>
            </w:pPr>
            <w:r>
              <w:rPr>
                <w:rFonts w:ascii="Times New Roman" w:hAnsi="Times New Roman"/>
                <w:b/>
                <w:color w:val="FFFFFF"/>
                <w:sz w:val="19"/>
              </w:rPr>
              <w:t>Model Architecture</w:t>
            </w:r>
          </w:p>
        </w:tc>
        <w:tc>
          <w:tcPr>
            <w:tcW w:type="dxa" w:w="1152"/>
            <w:shd w:fill="0F2942"/>
          </w:tcPr>
          <w:p>
            <w:pPr>
              <w:spacing w:before="60" w:after="60" w:line="240" w:lineRule="auto"/>
              <w:jc w:val="center"/>
            </w:pPr>
            <w:r>
              <w:rPr>
                <w:rFonts w:ascii="Times New Roman" w:hAnsi="Times New Roman"/>
                <w:b/>
                <w:color w:val="FFFFFF"/>
                <w:sz w:val="19"/>
              </w:rPr>
              <w:t>WMAE ($ USD) ↓</w:t>
            </w:r>
          </w:p>
        </w:tc>
        <w:tc>
          <w:tcPr>
            <w:tcW w:type="dxa" w:w="1152"/>
            <w:shd w:fill="0F2942"/>
          </w:tcPr>
          <w:p>
            <w:pPr>
              <w:spacing w:before="60" w:after="60" w:line="240" w:lineRule="auto"/>
              <w:jc w:val="center"/>
            </w:pPr>
            <w:r>
              <w:rPr>
                <w:rFonts w:ascii="Times New Roman" w:hAnsi="Times New Roman"/>
                <w:b/>
                <w:color w:val="FFFFFF"/>
                <w:sz w:val="19"/>
              </w:rPr>
              <w:t>RMSE ($ USD) ↓</w:t>
            </w:r>
          </w:p>
        </w:tc>
        <w:tc>
          <w:tcPr>
            <w:tcW w:type="dxa" w:w="1080"/>
            <w:shd w:fill="0F2942"/>
          </w:tcPr>
          <w:p>
            <w:pPr>
              <w:spacing w:before="60" w:after="60" w:line="240" w:lineRule="auto"/>
              <w:jc w:val="center"/>
            </w:pPr>
            <w:r>
              <w:rPr>
                <w:rFonts w:ascii="Times New Roman" w:hAnsi="Times New Roman"/>
                <w:b/>
                <w:color w:val="FFFFFF"/>
                <w:sz w:val="19"/>
              </w:rPr>
              <w:t>MAE ($ USD) ↓</w:t>
            </w:r>
          </w:p>
        </w:tc>
        <w:tc>
          <w:tcPr>
            <w:tcW w:type="dxa" w:w="936"/>
            <w:shd w:fill="0F2942"/>
          </w:tcPr>
          <w:p>
            <w:pPr>
              <w:spacing w:before="60" w:after="60" w:line="240" w:lineRule="auto"/>
              <w:jc w:val="center"/>
            </w:pPr>
            <w:r>
              <w:rPr>
                <w:rFonts w:ascii="Times New Roman" w:hAnsi="Times New Roman"/>
                <w:b/>
                <w:color w:val="FFFFFF"/>
                <w:sz w:val="19"/>
              </w:rPr>
              <w:t>R² Score ↑</w:t>
            </w:r>
          </w:p>
        </w:tc>
        <w:tc>
          <w:tcPr>
            <w:tcW w:type="dxa" w:w="1440"/>
            <w:shd w:fill="0F2942"/>
          </w:tcPr>
          <w:p>
            <w:pPr>
              <w:spacing w:before="60" w:after="60" w:line="240" w:lineRule="auto"/>
              <w:jc w:val="center"/>
            </w:pPr>
            <w:r>
              <w:rPr>
                <w:rFonts w:ascii="Times New Roman" w:hAnsi="Times New Roman"/>
                <w:b/>
                <w:color w:val="FFFFFF"/>
                <w:sz w:val="19"/>
              </w:rPr>
              <w:t>Holiday MAE (w=5) ↓</w:t>
            </w:r>
          </w:p>
        </w:tc>
        <w:tc>
          <w:tcPr>
            <w:tcW w:type="dxa" w:w="1440"/>
            <w:shd w:fill="0F2942"/>
          </w:tcPr>
          <w:p>
            <w:pPr>
              <w:spacing w:before="60" w:after="60" w:line="240" w:lineRule="auto"/>
              <w:jc w:val="center"/>
            </w:pPr>
            <w:r>
              <w:rPr>
                <w:rFonts w:ascii="Times New Roman" w:hAnsi="Times New Roman"/>
                <w:b/>
                <w:color w:val="FFFFFF"/>
                <w:sz w:val="19"/>
              </w:rPr>
              <w:t>Regular MAE (w=1) ↓</w:t>
            </w:r>
          </w:p>
        </w:tc>
        <w:tc>
          <w:tcPr>
            <w:tcW w:type="dxa" w:w="792"/>
            <w:shd w:fill="0F2942"/>
          </w:tcPr>
          <w:p>
            <w:pPr>
              <w:spacing w:before="60" w:after="60" w:line="240" w:lineRule="auto"/>
              <w:jc w:val="center"/>
            </w:pPr>
            <w:r>
              <w:rPr>
                <w:rFonts w:ascii="Times New Roman" w:hAnsi="Times New Roman"/>
                <w:b/>
                <w:color w:val="FFFFFF"/>
                <w:sz w:val="19"/>
              </w:rPr>
              <w:t>Training Time</w:t>
            </w:r>
          </w:p>
        </w:tc>
      </w:tr>
      <w:tr>
        <w:tc>
          <w:tcPr>
            <w:tcW w:type="dxa" w:w="2304"/>
            <w:shd w:fill="FFFFFF"/>
          </w:tcPr>
          <w:p>
            <w:pPr>
              <w:spacing w:before="50" w:after="50" w:line="245" w:lineRule="auto"/>
              <w:jc w:val="left"/>
            </w:pPr>
            <w:r>
              <w:rPr>
                <w:rFonts w:ascii="Times New Roman" w:hAnsi="Times New Roman"/>
                <w:color w:val="1E293B"/>
                <w:sz w:val="18"/>
              </w:rPr>
              <w:t>Baseline (Ridge Regression)</w:t>
            </w:r>
          </w:p>
        </w:tc>
        <w:tc>
          <w:tcPr>
            <w:tcW w:type="dxa" w:w="1152"/>
            <w:shd w:fill="FFFFFF"/>
          </w:tcPr>
          <w:p>
            <w:pPr>
              <w:spacing w:before="50" w:after="50" w:line="245" w:lineRule="auto"/>
              <w:jc w:val="center"/>
            </w:pPr>
            <w:r>
              <w:rPr>
                <w:rFonts w:ascii="Times New Roman" w:hAnsi="Times New Roman"/>
                <w:color w:val="1E293B"/>
                <w:sz w:val="18"/>
              </w:rPr>
              <w:t>$4,393.17</w:t>
            </w:r>
          </w:p>
        </w:tc>
        <w:tc>
          <w:tcPr>
            <w:tcW w:type="dxa" w:w="1152"/>
            <w:shd w:fill="FFFFFF"/>
          </w:tcPr>
          <w:p>
            <w:pPr>
              <w:spacing w:before="50" w:after="50" w:line="245" w:lineRule="auto"/>
              <w:jc w:val="center"/>
            </w:pPr>
            <w:r>
              <w:rPr>
                <w:rFonts w:ascii="Times New Roman" w:hAnsi="Times New Roman"/>
                <w:color w:val="1E293B"/>
                <w:sz w:val="18"/>
              </w:rPr>
              <w:t>$6,616.57</w:t>
            </w:r>
          </w:p>
        </w:tc>
        <w:tc>
          <w:tcPr>
            <w:tcW w:type="dxa" w:w="1080"/>
            <w:shd w:fill="FFFFFF"/>
          </w:tcPr>
          <w:p>
            <w:pPr>
              <w:spacing w:before="50" w:after="50" w:line="245" w:lineRule="auto"/>
              <w:jc w:val="center"/>
            </w:pPr>
            <w:r>
              <w:rPr>
                <w:rFonts w:ascii="Times New Roman" w:hAnsi="Times New Roman"/>
                <w:color w:val="1E293B"/>
                <w:sz w:val="18"/>
              </w:rPr>
              <w:t>$2,514.98</w:t>
            </w:r>
          </w:p>
        </w:tc>
        <w:tc>
          <w:tcPr>
            <w:tcW w:type="dxa" w:w="936"/>
            <w:shd w:fill="FFFFFF"/>
          </w:tcPr>
          <w:p>
            <w:pPr>
              <w:spacing w:before="50" w:after="50" w:line="245" w:lineRule="auto"/>
              <w:jc w:val="center"/>
            </w:pPr>
            <w:r>
              <w:rPr>
                <w:rFonts w:ascii="Times New Roman" w:hAnsi="Times New Roman"/>
                <w:color w:val="1E293B"/>
                <w:sz w:val="18"/>
              </w:rPr>
              <w:t>0.9183</w:t>
            </w:r>
          </w:p>
        </w:tc>
        <w:tc>
          <w:tcPr>
            <w:tcW w:type="dxa" w:w="1440"/>
            <w:shd w:fill="FFFFFF"/>
          </w:tcPr>
          <w:p>
            <w:pPr>
              <w:spacing w:before="50" w:after="50" w:line="245" w:lineRule="auto"/>
              <w:jc w:val="center"/>
            </w:pPr>
            <w:r>
              <w:rPr>
                <w:rFonts w:ascii="Times New Roman" w:hAnsi="Times New Roman"/>
                <w:color w:val="1E293B"/>
                <w:sz w:val="18"/>
              </w:rPr>
              <w:t>$10,108.52</w:t>
            </w:r>
          </w:p>
        </w:tc>
        <w:tc>
          <w:tcPr>
            <w:tcW w:type="dxa" w:w="1440"/>
            <w:shd w:fill="FFFFFF"/>
          </w:tcPr>
          <w:p>
            <w:pPr>
              <w:spacing w:before="50" w:after="50" w:line="245" w:lineRule="auto"/>
              <w:jc w:val="center"/>
            </w:pPr>
            <w:r>
              <w:rPr>
                <w:rFonts w:ascii="Times New Roman" w:hAnsi="Times New Roman"/>
                <w:color w:val="1E293B"/>
                <w:sz w:val="18"/>
              </w:rPr>
              <w:t>$1,835.29</w:t>
            </w:r>
          </w:p>
        </w:tc>
        <w:tc>
          <w:tcPr>
            <w:tcW w:type="dxa" w:w="792"/>
            <w:shd w:fill="FFFFFF"/>
          </w:tcPr>
          <w:p>
            <w:pPr>
              <w:spacing w:before="50" w:after="50" w:line="245" w:lineRule="auto"/>
              <w:jc w:val="center"/>
            </w:pPr>
            <w:r>
              <w:rPr>
                <w:rFonts w:ascii="Times New Roman" w:hAnsi="Times New Roman"/>
                <w:color w:val="1E293B"/>
                <w:sz w:val="18"/>
              </w:rPr>
              <w:t>0.20 s</w:t>
            </w:r>
          </w:p>
        </w:tc>
      </w:tr>
      <w:tr>
        <w:tc>
          <w:tcPr>
            <w:tcW w:type="dxa" w:w="2304"/>
            <w:shd w:fill="F8FAFC"/>
          </w:tcPr>
          <w:p>
            <w:pPr>
              <w:spacing w:before="50" w:after="50" w:line="245" w:lineRule="auto"/>
              <w:jc w:val="left"/>
            </w:pPr>
            <w:r>
              <w:rPr>
                <w:rFonts w:ascii="Times New Roman" w:hAnsi="Times New Roman"/>
                <w:color w:val="1E293B"/>
                <w:sz w:val="18"/>
              </w:rPr>
              <w:t>Random Forest Regressor</w:t>
            </w:r>
          </w:p>
        </w:tc>
        <w:tc>
          <w:tcPr>
            <w:tcW w:type="dxa" w:w="1152"/>
            <w:shd w:fill="F8FAFC"/>
          </w:tcPr>
          <w:p>
            <w:pPr>
              <w:spacing w:before="50" w:after="50" w:line="245" w:lineRule="auto"/>
              <w:jc w:val="center"/>
            </w:pPr>
            <w:r>
              <w:rPr>
                <w:rFonts w:ascii="Times New Roman" w:hAnsi="Times New Roman"/>
                <w:color w:val="1E293B"/>
                <w:sz w:val="18"/>
              </w:rPr>
              <w:t>$1,791.54</w:t>
            </w:r>
          </w:p>
        </w:tc>
        <w:tc>
          <w:tcPr>
            <w:tcW w:type="dxa" w:w="1152"/>
            <w:shd w:fill="F8FAFC"/>
          </w:tcPr>
          <w:p>
            <w:pPr>
              <w:spacing w:before="50" w:after="50" w:line="245" w:lineRule="auto"/>
              <w:jc w:val="center"/>
            </w:pPr>
            <w:r>
              <w:rPr>
                <w:rFonts w:ascii="Times New Roman" w:hAnsi="Times New Roman"/>
                <w:color w:val="1E293B"/>
                <w:sz w:val="18"/>
              </w:rPr>
              <w:t>$4,413.86</w:t>
            </w:r>
          </w:p>
        </w:tc>
        <w:tc>
          <w:tcPr>
            <w:tcW w:type="dxa" w:w="1080"/>
            <w:shd w:fill="F8FAFC"/>
          </w:tcPr>
          <w:p>
            <w:pPr>
              <w:spacing w:before="50" w:after="50" w:line="245" w:lineRule="auto"/>
              <w:jc w:val="center"/>
            </w:pPr>
            <w:r>
              <w:rPr>
                <w:rFonts w:ascii="Times New Roman" w:hAnsi="Times New Roman"/>
                <w:color w:val="1E293B"/>
                <w:sz w:val="18"/>
              </w:rPr>
              <w:t>$1,520.75</w:t>
            </w:r>
          </w:p>
        </w:tc>
        <w:tc>
          <w:tcPr>
            <w:tcW w:type="dxa" w:w="936"/>
            <w:shd w:fill="F8FAFC"/>
          </w:tcPr>
          <w:p>
            <w:pPr>
              <w:spacing w:before="50" w:after="50" w:line="245" w:lineRule="auto"/>
              <w:jc w:val="center"/>
            </w:pPr>
            <w:r>
              <w:rPr>
                <w:rFonts w:ascii="Times New Roman" w:hAnsi="Times New Roman"/>
                <w:color w:val="1E293B"/>
                <w:sz w:val="18"/>
              </w:rPr>
              <w:t>0.9637</w:t>
            </w:r>
          </w:p>
        </w:tc>
        <w:tc>
          <w:tcPr>
            <w:tcW w:type="dxa" w:w="1440"/>
            <w:shd w:fill="F8FAFC"/>
          </w:tcPr>
          <w:p>
            <w:pPr>
              <w:spacing w:before="50" w:after="50" w:line="245" w:lineRule="auto"/>
              <w:jc w:val="center"/>
            </w:pPr>
            <w:r>
              <w:rPr>
                <w:rFonts w:ascii="Times New Roman" w:hAnsi="Times New Roman"/>
                <w:color w:val="1E293B"/>
                <w:sz w:val="18"/>
              </w:rPr>
              <w:t>$2,615.57</w:t>
            </w:r>
          </w:p>
        </w:tc>
        <w:tc>
          <w:tcPr>
            <w:tcW w:type="dxa" w:w="1440"/>
            <w:shd w:fill="F8FAFC"/>
          </w:tcPr>
          <w:p>
            <w:pPr>
              <w:spacing w:before="50" w:after="50" w:line="245" w:lineRule="auto"/>
              <w:jc w:val="center"/>
            </w:pPr>
            <w:r>
              <w:rPr>
                <w:rFonts w:ascii="Times New Roman" w:hAnsi="Times New Roman"/>
                <w:color w:val="1E293B"/>
                <w:sz w:val="18"/>
              </w:rPr>
              <w:t>$1,422.75</w:t>
            </w:r>
          </w:p>
        </w:tc>
        <w:tc>
          <w:tcPr>
            <w:tcW w:type="dxa" w:w="792"/>
            <w:shd w:fill="F8FAFC"/>
          </w:tcPr>
          <w:p>
            <w:pPr>
              <w:spacing w:before="50" w:after="50" w:line="245" w:lineRule="auto"/>
              <w:jc w:val="center"/>
            </w:pPr>
            <w:r>
              <w:rPr>
                <w:rFonts w:ascii="Times New Roman" w:hAnsi="Times New Roman"/>
                <w:color w:val="1E293B"/>
                <w:sz w:val="18"/>
              </w:rPr>
              <w:t>42.88 s</w:t>
            </w:r>
          </w:p>
        </w:tc>
      </w:tr>
      <w:tr>
        <w:tc>
          <w:tcPr>
            <w:tcW w:type="dxa" w:w="2304"/>
            <w:shd w:fill="FFFFFF"/>
          </w:tcPr>
          <w:p>
            <w:pPr>
              <w:spacing w:before="50" w:after="50" w:line="245" w:lineRule="auto"/>
              <w:jc w:val="left"/>
            </w:pPr>
            <w:r>
              <w:rPr>
                <w:rFonts w:ascii="Times New Roman" w:hAnsi="Times New Roman"/>
                <w:color w:val="1E293B"/>
                <w:sz w:val="18"/>
              </w:rPr>
              <w:t>XGBoost Regressor</w:t>
            </w:r>
          </w:p>
        </w:tc>
        <w:tc>
          <w:tcPr>
            <w:tcW w:type="dxa" w:w="1152"/>
            <w:shd w:fill="FFFFFF"/>
          </w:tcPr>
          <w:p>
            <w:pPr>
              <w:spacing w:before="50" w:after="50" w:line="245" w:lineRule="auto"/>
              <w:jc w:val="center"/>
            </w:pPr>
            <w:r>
              <w:rPr>
                <w:rFonts w:ascii="Times New Roman" w:hAnsi="Times New Roman"/>
                <w:color w:val="1E293B"/>
                <w:sz w:val="18"/>
              </w:rPr>
              <w:t>$1,837.57</w:t>
            </w:r>
          </w:p>
        </w:tc>
        <w:tc>
          <w:tcPr>
            <w:tcW w:type="dxa" w:w="1152"/>
            <w:shd w:fill="FFFFFF"/>
          </w:tcPr>
          <w:p>
            <w:pPr>
              <w:spacing w:before="50" w:after="50" w:line="245" w:lineRule="auto"/>
              <w:jc w:val="center"/>
            </w:pPr>
            <w:r>
              <w:rPr>
                <w:rFonts w:ascii="Times New Roman" w:hAnsi="Times New Roman"/>
                <w:color w:val="1E293B"/>
                <w:sz w:val="18"/>
              </w:rPr>
              <w:t>$4,306.19</w:t>
            </w:r>
          </w:p>
        </w:tc>
        <w:tc>
          <w:tcPr>
            <w:tcW w:type="dxa" w:w="1080"/>
            <w:shd w:fill="FFFFFF"/>
          </w:tcPr>
          <w:p>
            <w:pPr>
              <w:spacing w:before="50" w:after="50" w:line="245" w:lineRule="auto"/>
              <w:jc w:val="center"/>
            </w:pPr>
            <w:r>
              <w:rPr>
                <w:rFonts w:ascii="Times New Roman" w:hAnsi="Times New Roman"/>
                <w:color w:val="1E293B"/>
                <w:sz w:val="18"/>
              </w:rPr>
              <w:t>$1,523.89</w:t>
            </w:r>
          </w:p>
        </w:tc>
        <w:tc>
          <w:tcPr>
            <w:tcW w:type="dxa" w:w="936"/>
            <w:shd w:fill="FFFFFF"/>
          </w:tcPr>
          <w:p>
            <w:pPr>
              <w:spacing w:before="50" w:after="50" w:line="245" w:lineRule="auto"/>
              <w:jc w:val="center"/>
            </w:pPr>
            <w:r>
              <w:rPr>
                <w:rFonts w:ascii="Times New Roman" w:hAnsi="Times New Roman"/>
                <w:color w:val="1E293B"/>
                <w:sz w:val="18"/>
              </w:rPr>
              <w:t>0.9654</w:t>
            </w:r>
          </w:p>
        </w:tc>
        <w:tc>
          <w:tcPr>
            <w:tcW w:type="dxa" w:w="1440"/>
            <w:shd w:fill="FFFFFF"/>
          </w:tcPr>
          <w:p>
            <w:pPr>
              <w:spacing w:before="50" w:after="50" w:line="245" w:lineRule="auto"/>
              <w:jc w:val="center"/>
            </w:pPr>
            <w:r>
              <w:rPr>
                <w:rFonts w:ascii="Times New Roman" w:hAnsi="Times New Roman"/>
                <w:color w:val="1E293B"/>
                <w:sz w:val="18"/>
              </w:rPr>
              <w:t>$2,792.11</w:t>
            </w:r>
          </w:p>
        </w:tc>
        <w:tc>
          <w:tcPr>
            <w:tcW w:type="dxa" w:w="1440"/>
            <w:shd w:fill="FFFFFF"/>
          </w:tcPr>
          <w:p>
            <w:pPr>
              <w:spacing w:before="50" w:after="50" w:line="245" w:lineRule="auto"/>
              <w:jc w:val="center"/>
            </w:pPr>
            <w:r>
              <w:rPr>
                <w:rFonts w:ascii="Times New Roman" w:hAnsi="Times New Roman"/>
                <w:color w:val="1E293B"/>
                <w:sz w:val="18"/>
              </w:rPr>
              <w:t>$1,410.37</w:t>
            </w:r>
          </w:p>
        </w:tc>
        <w:tc>
          <w:tcPr>
            <w:tcW w:type="dxa" w:w="792"/>
            <w:shd w:fill="FFFFFF"/>
          </w:tcPr>
          <w:p>
            <w:pPr>
              <w:spacing w:before="50" w:after="50" w:line="245" w:lineRule="auto"/>
              <w:jc w:val="center"/>
            </w:pPr>
            <w:r>
              <w:rPr>
                <w:rFonts w:ascii="Times New Roman" w:hAnsi="Times New Roman"/>
                <w:color w:val="1E293B"/>
                <w:sz w:val="18"/>
              </w:rPr>
              <w:t>6.31 s</w:t>
            </w:r>
          </w:p>
        </w:tc>
      </w:tr>
      <w:tr>
        <w:tc>
          <w:tcPr>
            <w:tcW w:type="dxa" w:w="2304"/>
            <w:shd w:fill="F8FAFC"/>
          </w:tcPr>
          <w:p>
            <w:pPr>
              <w:spacing w:before="50" w:after="50" w:line="245" w:lineRule="auto"/>
              <w:jc w:val="left"/>
            </w:pPr>
            <w:r>
              <w:rPr>
                <w:rFonts w:ascii="Times New Roman" w:hAnsi="Times New Roman"/>
                <w:color w:val="1E293B"/>
                <w:sz w:val="18"/>
              </w:rPr>
              <w:t>LightGBM Regressor (Winner)</w:t>
            </w:r>
          </w:p>
        </w:tc>
        <w:tc>
          <w:tcPr>
            <w:tcW w:type="dxa" w:w="1152"/>
            <w:shd w:fill="F8FAFC"/>
          </w:tcPr>
          <w:p>
            <w:pPr>
              <w:spacing w:before="50" w:after="50" w:line="245" w:lineRule="auto"/>
              <w:jc w:val="center"/>
            </w:pPr>
            <w:r>
              <w:rPr>
                <w:rFonts w:ascii="Times New Roman" w:hAnsi="Times New Roman"/>
                <w:color w:val="1E293B"/>
                <w:sz w:val="18"/>
              </w:rPr>
              <w:t>$1,758.94</w:t>
            </w:r>
          </w:p>
        </w:tc>
        <w:tc>
          <w:tcPr>
            <w:tcW w:type="dxa" w:w="1152"/>
            <w:shd w:fill="F8FAFC"/>
          </w:tcPr>
          <w:p>
            <w:pPr>
              <w:spacing w:before="50" w:after="50" w:line="245" w:lineRule="auto"/>
              <w:jc w:val="center"/>
            </w:pPr>
            <w:r>
              <w:rPr>
                <w:rFonts w:ascii="Times New Roman" w:hAnsi="Times New Roman"/>
                <w:color w:val="1E293B"/>
                <w:sz w:val="18"/>
              </w:rPr>
              <w:t>$3,837.62</w:t>
            </w:r>
          </w:p>
        </w:tc>
        <w:tc>
          <w:tcPr>
            <w:tcW w:type="dxa" w:w="1080"/>
            <w:shd w:fill="F8FAFC"/>
          </w:tcPr>
          <w:p>
            <w:pPr>
              <w:spacing w:before="50" w:after="50" w:line="245" w:lineRule="auto"/>
              <w:jc w:val="center"/>
            </w:pPr>
            <w:r>
              <w:rPr>
                <w:rFonts w:ascii="Times New Roman" w:hAnsi="Times New Roman"/>
                <w:color w:val="1E293B"/>
                <w:sz w:val="18"/>
              </w:rPr>
              <w:t>$1,541.31</w:t>
            </w:r>
          </w:p>
        </w:tc>
        <w:tc>
          <w:tcPr>
            <w:tcW w:type="dxa" w:w="936"/>
            <w:shd w:fill="F8FAFC"/>
          </w:tcPr>
          <w:p>
            <w:pPr>
              <w:spacing w:before="50" w:after="50" w:line="245" w:lineRule="auto"/>
              <w:jc w:val="center"/>
            </w:pPr>
            <w:r>
              <w:rPr>
                <w:rFonts w:ascii="Times New Roman" w:hAnsi="Times New Roman"/>
                <w:color w:val="1E293B"/>
                <w:sz w:val="18"/>
              </w:rPr>
              <w:t>0.9725</w:t>
            </w:r>
          </w:p>
        </w:tc>
        <w:tc>
          <w:tcPr>
            <w:tcW w:type="dxa" w:w="1440"/>
            <w:shd w:fill="F8FAFC"/>
          </w:tcPr>
          <w:p>
            <w:pPr>
              <w:spacing w:before="50" w:after="50" w:line="245" w:lineRule="auto"/>
              <w:jc w:val="center"/>
            </w:pPr>
            <w:r>
              <w:rPr>
                <w:rFonts w:ascii="Times New Roman" w:hAnsi="Times New Roman"/>
                <w:color w:val="1E293B"/>
                <w:sz w:val="18"/>
              </w:rPr>
              <w:t>$2,421.19</w:t>
            </w:r>
          </w:p>
        </w:tc>
        <w:tc>
          <w:tcPr>
            <w:tcW w:type="dxa" w:w="1440"/>
            <w:shd w:fill="F8FAFC"/>
          </w:tcPr>
          <w:p>
            <w:pPr>
              <w:spacing w:before="50" w:after="50" w:line="245" w:lineRule="auto"/>
              <w:jc w:val="center"/>
            </w:pPr>
            <w:r>
              <w:rPr>
                <w:rFonts w:ascii="Times New Roman" w:hAnsi="Times New Roman"/>
                <w:color w:val="1E293B"/>
                <w:sz w:val="18"/>
              </w:rPr>
              <w:t>$1,462.55</w:t>
            </w:r>
          </w:p>
        </w:tc>
        <w:tc>
          <w:tcPr>
            <w:tcW w:type="dxa" w:w="792"/>
            <w:shd w:fill="F8FAFC"/>
          </w:tcPr>
          <w:p>
            <w:pPr>
              <w:spacing w:before="50" w:after="50" w:line="245" w:lineRule="auto"/>
              <w:jc w:val="center"/>
            </w:pPr>
            <w:r>
              <w:rPr>
                <w:rFonts w:ascii="Times New Roman" w:hAnsi="Times New Roman"/>
                <w:color w:val="1E293B"/>
                <w:sz w:val="18"/>
              </w:rPr>
              <w:t>4.91 s</w:t>
            </w:r>
          </w:p>
        </w:tc>
      </w:tr>
    </w:tbl>
    <w:p>
      <w:pPr>
        <w:spacing w:before="120" w:after="40" w:line="269" w:lineRule="auto"/>
        <w:jc w:val="center"/>
      </w:pPr>
      <w:r>
        <w:drawing>
          <wp:inline xmlns:a="http://schemas.openxmlformats.org/drawingml/2006/main" xmlns:pic="http://schemas.openxmlformats.org/drawingml/2006/picture">
            <wp:extent cx="5120640" cy="1558332"/>
            <wp:docPr id="3" name="Picture 3"/>
            <wp:cNvGraphicFramePr>
              <a:graphicFrameLocks noChangeAspect="1"/>
            </wp:cNvGraphicFramePr>
            <a:graphic>
              <a:graphicData uri="http://schemas.openxmlformats.org/drawingml/2006/picture">
                <pic:pic>
                  <pic:nvPicPr>
                    <pic:cNvPr id="0" name="fig5_model_comparison.png"/>
                    <pic:cNvPicPr/>
                  </pic:nvPicPr>
                  <pic:blipFill>
                    <a:blip r:embed="rId11"/>
                    <a:stretch>
                      <a:fillRect/>
                    </a:stretch>
                  </pic:blipFill>
                  <pic:spPr>
                    <a:xfrm>
                      <a:off x="0" y="0"/>
                      <a:ext cx="5120640" cy="1558332"/>
                    </a:xfrm>
                    <a:prstGeom prst="rect"/>
                  </pic:spPr>
                </pic:pic>
              </a:graphicData>
            </a:graphic>
          </wp:inline>
        </w:drawing>
      </w:r>
    </w:p>
    <w:p>
      <w:pPr>
        <w:spacing w:before="40" w:after="120" w:line="269" w:lineRule="auto"/>
        <w:jc w:val="center"/>
      </w:pPr>
      <w:r>
        <w:rPr>
          <w:rFonts w:ascii="Times New Roman" w:hAnsi="Times New Roman"/>
          <w:i/>
          <w:color w:val="475569"/>
          <w:sz w:val="20"/>
        </w:rPr>
        <w:t>Figure 3: Comparative Evaluation of Predictive Architectures Across WMAE, RMSE, MAE, and R² Goodness-of-Fit.</w:t>
      </w:r>
    </w:p>
    <w:p>
      <w:pPr>
        <w:spacing w:before="120" w:after="40" w:line="269" w:lineRule="auto"/>
        <w:jc w:val="center"/>
      </w:pPr>
      <w:r>
        <w:drawing>
          <wp:inline xmlns:a="http://schemas.openxmlformats.org/drawingml/2006/main" xmlns:pic="http://schemas.openxmlformats.org/drawingml/2006/picture">
            <wp:extent cx="5120640" cy="2140823"/>
            <wp:docPr id="4" name="Picture 4"/>
            <wp:cNvGraphicFramePr>
              <a:graphicFrameLocks noChangeAspect="1"/>
            </wp:cNvGraphicFramePr>
            <a:graphic>
              <a:graphicData uri="http://schemas.openxmlformats.org/drawingml/2006/picture">
                <pic:pic>
                  <pic:nvPicPr>
                    <pic:cNvPr id="0" name="fig6_actual_vs_predicted.png"/>
                    <pic:cNvPicPr/>
                  </pic:nvPicPr>
                  <pic:blipFill>
                    <a:blip r:embed="rId12"/>
                    <a:stretch>
                      <a:fillRect/>
                    </a:stretch>
                  </pic:blipFill>
                  <pic:spPr>
                    <a:xfrm>
                      <a:off x="0" y="0"/>
                      <a:ext cx="5120640" cy="2140823"/>
                    </a:xfrm>
                    <a:prstGeom prst="rect"/>
                  </pic:spPr>
                </pic:pic>
              </a:graphicData>
            </a:graphic>
          </wp:inline>
        </w:drawing>
      </w:r>
    </w:p>
    <w:p>
      <w:pPr>
        <w:spacing w:before="40" w:after="120" w:line="269" w:lineRule="auto"/>
        <w:jc w:val="center"/>
      </w:pPr>
      <w:r>
        <w:rPr>
          <w:rFonts w:ascii="Times New Roman" w:hAnsi="Times New Roman"/>
          <w:i/>
          <w:color w:val="475569"/>
          <w:sz w:val="20"/>
        </w:rPr>
        <w:t>Figure 4: Chronological Validation Set Forecast Tracking (Nov 2011 – Oct 2012) and Actual versus Predicted 45-Degree Parity Scatter.</w:t>
      </w:r>
    </w:p>
    <w:p>
      <w:pPr>
        <w:spacing w:before="120" w:after="120" w:line="269" w:lineRule="auto"/>
        <w:jc w:val="both"/>
      </w:pPr>
      <w:r>
        <w:rPr>
          <w:rFonts w:ascii="Times New Roman" w:hAnsi="Times New Roman"/>
          <w:b/>
          <w:sz w:val="24"/>
        </w:rPr>
        <w:t xml:space="preserve">4.3 Feature Gain Attribution and Interpretation: </w:t>
      </w:r>
      <w:r>
        <w:rPr>
          <w:rFonts w:ascii="Times New Roman" w:hAnsi="Times New Roman"/>
          <w:sz w:val="24"/>
        </w:rPr>
        <w:t>Normalized split gain attribution (Table 5) confirms that retail demand is anchored primarily by year-over-year seasonality: Lag_52 is the #1 feature in both LightGBM (40.87%) and XGBoost (31.45%). Short-term momentum (Lag_1 and Rolling_Mean_4) provides the second layer of predictive signal (38% to 40% combined gain), while holiday indicators account for nearly 10% of gain in XGBoost.</w:t>
      </w:r>
    </w:p>
    <w:p>
      <w:pPr>
        <w:spacing w:before="160" w:after="60" w:line="269" w:lineRule="auto"/>
        <w:jc w:val="left"/>
      </w:pPr>
      <w:r>
        <w:rPr>
          <w:rFonts w:ascii="Times New Roman" w:hAnsi="Times New Roman"/>
          <w:b/>
          <w:color w:val="0F2942"/>
          <w:sz w:val="22"/>
        </w:rPr>
        <w:t>Table 5: Feature Importance Hierarchy Across Tree Ensembles Derived via Normalized Split Gain Attribution</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864"/>
            <w:shd w:fill="0F2942"/>
          </w:tcPr>
          <w:p>
            <w:pPr>
              <w:spacing w:before="60" w:after="60" w:line="240" w:lineRule="auto"/>
              <w:jc w:val="center"/>
            </w:pPr>
            <w:r>
              <w:rPr>
                <w:rFonts w:ascii="Times New Roman" w:hAnsi="Times New Roman"/>
                <w:b/>
                <w:color w:val="FFFFFF"/>
                <w:sz w:val="19"/>
              </w:rPr>
              <w:t>Rank</w:t>
            </w:r>
          </w:p>
        </w:tc>
        <w:tc>
          <w:tcPr>
            <w:tcW w:type="dxa" w:w="2016"/>
            <w:shd w:fill="0F2942"/>
          </w:tcPr>
          <w:p>
            <w:pPr>
              <w:spacing w:before="60" w:after="60" w:line="240" w:lineRule="auto"/>
              <w:jc w:val="center"/>
            </w:pPr>
            <w:r>
              <w:rPr>
                <w:rFonts w:ascii="Times New Roman" w:hAnsi="Times New Roman"/>
                <w:b/>
                <w:color w:val="FFFFFF"/>
                <w:sz w:val="19"/>
              </w:rPr>
              <w:t>Engineered Feature Name</w:t>
            </w:r>
          </w:p>
        </w:tc>
        <w:tc>
          <w:tcPr>
            <w:tcW w:type="dxa" w:w="3168"/>
            <w:shd w:fill="0F2942"/>
          </w:tcPr>
          <w:p>
            <w:pPr>
              <w:spacing w:before="60" w:after="60" w:line="240" w:lineRule="auto"/>
              <w:jc w:val="center"/>
            </w:pPr>
            <w:r>
              <w:rPr>
                <w:rFonts w:ascii="Times New Roman" w:hAnsi="Times New Roman"/>
                <w:b/>
                <w:color w:val="FFFFFF"/>
                <w:sz w:val="19"/>
              </w:rPr>
              <w:t>Functional Feature Class</w:t>
            </w:r>
          </w:p>
        </w:tc>
        <w:tc>
          <w:tcPr>
            <w:tcW w:type="dxa" w:w="1296"/>
            <w:shd w:fill="0F2942"/>
          </w:tcPr>
          <w:p>
            <w:pPr>
              <w:spacing w:before="60" w:after="60" w:line="240" w:lineRule="auto"/>
              <w:jc w:val="center"/>
            </w:pPr>
            <w:r>
              <w:rPr>
                <w:rFonts w:ascii="Times New Roman" w:hAnsi="Times New Roman"/>
                <w:b/>
                <w:color w:val="FFFFFF"/>
                <w:sz w:val="19"/>
              </w:rPr>
              <w:t>XGBoost Gain (%)</w:t>
            </w:r>
          </w:p>
        </w:tc>
        <w:tc>
          <w:tcPr>
            <w:tcW w:type="dxa" w:w="1296"/>
            <w:shd w:fill="0F2942"/>
          </w:tcPr>
          <w:p>
            <w:pPr>
              <w:spacing w:before="60" w:after="60" w:line="240" w:lineRule="auto"/>
              <w:jc w:val="center"/>
            </w:pPr>
            <w:r>
              <w:rPr>
                <w:rFonts w:ascii="Times New Roman" w:hAnsi="Times New Roman"/>
                <w:b/>
                <w:color w:val="FFFFFF"/>
                <w:sz w:val="19"/>
              </w:rPr>
              <w:t>LightGBM Gain (%)</w:t>
            </w:r>
          </w:p>
        </w:tc>
        <w:tc>
          <w:tcPr>
            <w:tcW w:type="dxa" w:w="1296"/>
            <w:shd w:fill="0F2942"/>
          </w:tcPr>
          <w:p>
            <w:pPr>
              <w:spacing w:before="60" w:after="60" w:line="240" w:lineRule="auto"/>
              <w:jc w:val="center"/>
            </w:pPr>
            <w:r>
              <w:rPr>
                <w:rFonts w:ascii="Times New Roman" w:hAnsi="Times New Roman"/>
                <w:b/>
                <w:color w:val="FFFFFF"/>
                <w:sz w:val="19"/>
              </w:rPr>
              <w:t>Random Forest Imp. (%)</w:t>
            </w:r>
          </w:p>
        </w:tc>
      </w:tr>
      <w:tr>
        <w:tc>
          <w:tcPr>
            <w:tcW w:type="dxa" w:w="864"/>
            <w:shd w:fill="FFFFFF"/>
          </w:tcPr>
          <w:p>
            <w:pPr>
              <w:spacing w:before="50" w:after="50" w:line="245" w:lineRule="auto"/>
              <w:jc w:val="left"/>
            </w:pPr>
            <w:r>
              <w:rPr>
                <w:rFonts w:ascii="Times New Roman" w:hAnsi="Times New Roman"/>
                <w:color w:val="1E293B"/>
                <w:sz w:val="18"/>
              </w:rPr>
              <w:t>1</w:t>
            </w:r>
          </w:p>
        </w:tc>
        <w:tc>
          <w:tcPr>
            <w:tcW w:type="dxa" w:w="2016"/>
            <w:shd w:fill="FFFFFF"/>
          </w:tcPr>
          <w:p>
            <w:pPr>
              <w:spacing w:before="50" w:after="50" w:line="245" w:lineRule="auto"/>
              <w:jc w:val="center"/>
            </w:pPr>
            <w:r>
              <w:rPr>
                <w:rFonts w:ascii="Times New Roman" w:hAnsi="Times New Roman"/>
                <w:color w:val="1E293B"/>
                <w:sz w:val="18"/>
              </w:rPr>
              <w:t>Lag_52</w:t>
            </w:r>
          </w:p>
        </w:tc>
        <w:tc>
          <w:tcPr>
            <w:tcW w:type="dxa" w:w="3168"/>
            <w:shd w:fill="FFFFFF"/>
          </w:tcPr>
          <w:p>
            <w:pPr>
              <w:spacing w:before="50" w:after="50" w:line="245" w:lineRule="auto"/>
              <w:jc w:val="left"/>
            </w:pPr>
            <w:r>
              <w:rPr>
                <w:rFonts w:ascii="Times New Roman" w:hAnsi="Times New Roman"/>
                <w:color w:val="1E293B"/>
                <w:sz w:val="18"/>
              </w:rPr>
              <w:t>Annual Seasonal Autoregression (t-52)</w:t>
            </w:r>
          </w:p>
        </w:tc>
        <w:tc>
          <w:tcPr>
            <w:tcW w:type="dxa" w:w="1296"/>
            <w:shd w:fill="FFFFFF"/>
          </w:tcPr>
          <w:p>
            <w:pPr>
              <w:spacing w:before="50" w:after="50" w:line="245" w:lineRule="auto"/>
              <w:jc w:val="center"/>
            </w:pPr>
            <w:r>
              <w:rPr>
                <w:rFonts w:ascii="Times New Roman" w:hAnsi="Times New Roman"/>
                <w:color w:val="1E293B"/>
                <w:sz w:val="18"/>
              </w:rPr>
              <w:t>31.45%</w:t>
            </w:r>
          </w:p>
        </w:tc>
        <w:tc>
          <w:tcPr>
            <w:tcW w:type="dxa" w:w="1296"/>
            <w:shd w:fill="FFFFFF"/>
          </w:tcPr>
          <w:p>
            <w:pPr>
              <w:spacing w:before="50" w:after="50" w:line="245" w:lineRule="auto"/>
              <w:jc w:val="center"/>
            </w:pPr>
            <w:r>
              <w:rPr>
                <w:rFonts w:ascii="Times New Roman" w:hAnsi="Times New Roman"/>
                <w:color w:val="1E293B"/>
                <w:sz w:val="18"/>
              </w:rPr>
              <w:t>40.87%</w:t>
            </w:r>
          </w:p>
        </w:tc>
        <w:tc>
          <w:tcPr>
            <w:tcW w:type="dxa" w:w="1296"/>
            <w:shd w:fill="FFFFFF"/>
          </w:tcPr>
          <w:p>
            <w:pPr>
              <w:spacing w:before="50" w:after="50" w:line="245" w:lineRule="auto"/>
              <w:jc w:val="center"/>
            </w:pPr>
            <w:r>
              <w:rPr>
                <w:rFonts w:ascii="Times New Roman" w:hAnsi="Times New Roman"/>
                <w:color w:val="1E293B"/>
                <w:sz w:val="18"/>
              </w:rPr>
              <w:t>26.30%</w:t>
            </w:r>
          </w:p>
        </w:tc>
      </w:tr>
      <w:tr>
        <w:tc>
          <w:tcPr>
            <w:tcW w:type="dxa" w:w="864"/>
            <w:shd w:fill="F8FAFC"/>
          </w:tcPr>
          <w:p>
            <w:pPr>
              <w:spacing w:before="50" w:after="50" w:line="245" w:lineRule="auto"/>
              <w:jc w:val="left"/>
            </w:pPr>
            <w:r>
              <w:rPr>
                <w:rFonts w:ascii="Times New Roman" w:hAnsi="Times New Roman"/>
                <w:color w:val="1E293B"/>
                <w:sz w:val="18"/>
              </w:rPr>
              <w:t>2</w:t>
            </w:r>
          </w:p>
        </w:tc>
        <w:tc>
          <w:tcPr>
            <w:tcW w:type="dxa" w:w="2016"/>
            <w:shd w:fill="F8FAFC"/>
          </w:tcPr>
          <w:p>
            <w:pPr>
              <w:spacing w:before="50" w:after="50" w:line="245" w:lineRule="auto"/>
              <w:jc w:val="center"/>
            </w:pPr>
            <w:r>
              <w:rPr>
                <w:rFonts w:ascii="Times New Roman" w:hAnsi="Times New Roman"/>
                <w:color w:val="1E293B"/>
                <w:sz w:val="18"/>
              </w:rPr>
              <w:t>Rolling_Mean_4</w:t>
            </w:r>
          </w:p>
        </w:tc>
        <w:tc>
          <w:tcPr>
            <w:tcW w:type="dxa" w:w="3168"/>
            <w:shd w:fill="F8FAFC"/>
          </w:tcPr>
          <w:p>
            <w:pPr>
              <w:spacing w:before="50" w:after="50" w:line="245" w:lineRule="auto"/>
              <w:jc w:val="left"/>
            </w:pPr>
            <w:r>
              <w:rPr>
                <w:rFonts w:ascii="Times New Roman" w:hAnsi="Times New Roman"/>
                <w:color w:val="1E293B"/>
                <w:sz w:val="18"/>
              </w:rPr>
              <w:t>Short-Term Moving Average (t-1 shifted)</w:t>
            </w:r>
          </w:p>
        </w:tc>
        <w:tc>
          <w:tcPr>
            <w:tcW w:type="dxa" w:w="1296"/>
            <w:shd w:fill="F8FAFC"/>
          </w:tcPr>
          <w:p>
            <w:pPr>
              <w:spacing w:before="50" w:after="50" w:line="245" w:lineRule="auto"/>
              <w:jc w:val="center"/>
            </w:pPr>
            <w:r>
              <w:rPr>
                <w:rFonts w:ascii="Times New Roman" w:hAnsi="Times New Roman"/>
                <w:color w:val="1E293B"/>
                <w:sz w:val="18"/>
              </w:rPr>
              <w:t>24.61%</w:t>
            </w:r>
          </w:p>
        </w:tc>
        <w:tc>
          <w:tcPr>
            <w:tcW w:type="dxa" w:w="1296"/>
            <w:shd w:fill="F8FAFC"/>
          </w:tcPr>
          <w:p>
            <w:pPr>
              <w:spacing w:before="50" w:after="50" w:line="245" w:lineRule="auto"/>
              <w:jc w:val="center"/>
            </w:pPr>
            <w:r>
              <w:rPr>
                <w:rFonts w:ascii="Times New Roman" w:hAnsi="Times New Roman"/>
                <w:color w:val="1E293B"/>
                <w:sz w:val="18"/>
              </w:rPr>
              <w:t>17.19%</w:t>
            </w:r>
          </w:p>
        </w:tc>
        <w:tc>
          <w:tcPr>
            <w:tcW w:type="dxa" w:w="1296"/>
            <w:shd w:fill="F8FAFC"/>
          </w:tcPr>
          <w:p>
            <w:pPr>
              <w:spacing w:before="50" w:after="50" w:line="245" w:lineRule="auto"/>
              <w:jc w:val="center"/>
            </w:pPr>
            <w:r>
              <w:rPr>
                <w:rFonts w:ascii="Times New Roman" w:hAnsi="Times New Roman"/>
                <w:color w:val="1E293B"/>
                <w:sz w:val="18"/>
              </w:rPr>
              <w:t>29.15%</w:t>
            </w:r>
          </w:p>
        </w:tc>
      </w:tr>
      <w:tr>
        <w:tc>
          <w:tcPr>
            <w:tcW w:type="dxa" w:w="864"/>
            <w:shd w:fill="FFFFFF"/>
          </w:tcPr>
          <w:p>
            <w:pPr>
              <w:spacing w:before="50" w:after="50" w:line="245" w:lineRule="auto"/>
              <w:jc w:val="left"/>
            </w:pPr>
            <w:r>
              <w:rPr>
                <w:rFonts w:ascii="Times New Roman" w:hAnsi="Times New Roman"/>
                <w:color w:val="1E293B"/>
                <w:sz w:val="18"/>
              </w:rPr>
              <w:t>3</w:t>
            </w:r>
          </w:p>
        </w:tc>
        <w:tc>
          <w:tcPr>
            <w:tcW w:type="dxa" w:w="2016"/>
            <w:shd w:fill="FFFFFF"/>
          </w:tcPr>
          <w:p>
            <w:pPr>
              <w:spacing w:before="50" w:after="50" w:line="245" w:lineRule="auto"/>
              <w:jc w:val="center"/>
            </w:pPr>
            <w:r>
              <w:rPr>
                <w:rFonts w:ascii="Times New Roman" w:hAnsi="Times New Roman"/>
                <w:color w:val="1E293B"/>
                <w:sz w:val="18"/>
              </w:rPr>
              <w:t>Lag_1</w:t>
            </w:r>
          </w:p>
        </w:tc>
        <w:tc>
          <w:tcPr>
            <w:tcW w:type="dxa" w:w="3168"/>
            <w:shd w:fill="FFFFFF"/>
          </w:tcPr>
          <w:p>
            <w:pPr>
              <w:spacing w:before="50" w:after="50" w:line="245" w:lineRule="auto"/>
              <w:jc w:val="left"/>
            </w:pPr>
            <w:r>
              <w:rPr>
                <w:rFonts w:ascii="Times New Roman" w:hAnsi="Times New Roman"/>
                <w:color w:val="1E293B"/>
                <w:sz w:val="18"/>
              </w:rPr>
              <w:t>Immediate Prior Week Demand (t-1)</w:t>
            </w:r>
          </w:p>
        </w:tc>
        <w:tc>
          <w:tcPr>
            <w:tcW w:type="dxa" w:w="1296"/>
            <w:shd w:fill="FFFFFF"/>
          </w:tcPr>
          <w:p>
            <w:pPr>
              <w:spacing w:before="50" w:after="50" w:line="245" w:lineRule="auto"/>
              <w:jc w:val="center"/>
            </w:pPr>
            <w:r>
              <w:rPr>
                <w:rFonts w:ascii="Times New Roman" w:hAnsi="Times New Roman"/>
                <w:color w:val="1E293B"/>
                <w:sz w:val="18"/>
              </w:rPr>
              <w:t>12.97%</w:t>
            </w:r>
          </w:p>
        </w:tc>
        <w:tc>
          <w:tcPr>
            <w:tcW w:type="dxa" w:w="1296"/>
            <w:shd w:fill="FFFFFF"/>
          </w:tcPr>
          <w:p>
            <w:pPr>
              <w:spacing w:before="50" w:after="50" w:line="245" w:lineRule="auto"/>
              <w:jc w:val="center"/>
            </w:pPr>
            <w:r>
              <w:rPr>
                <w:rFonts w:ascii="Times New Roman" w:hAnsi="Times New Roman"/>
                <w:color w:val="1E293B"/>
                <w:sz w:val="18"/>
              </w:rPr>
              <w:t>22.59%</w:t>
            </w:r>
          </w:p>
        </w:tc>
        <w:tc>
          <w:tcPr>
            <w:tcW w:type="dxa" w:w="1296"/>
            <w:shd w:fill="FFFFFF"/>
          </w:tcPr>
          <w:p>
            <w:pPr>
              <w:spacing w:before="50" w:after="50" w:line="245" w:lineRule="auto"/>
              <w:jc w:val="center"/>
            </w:pPr>
            <w:r>
              <w:rPr>
                <w:rFonts w:ascii="Times New Roman" w:hAnsi="Times New Roman"/>
                <w:color w:val="1E293B"/>
                <w:sz w:val="18"/>
              </w:rPr>
              <w:t>20.95%</w:t>
            </w:r>
          </w:p>
        </w:tc>
      </w:tr>
      <w:tr>
        <w:tc>
          <w:tcPr>
            <w:tcW w:type="dxa" w:w="864"/>
            <w:shd w:fill="F8FAFC"/>
          </w:tcPr>
          <w:p>
            <w:pPr>
              <w:spacing w:before="50" w:after="50" w:line="245" w:lineRule="auto"/>
              <w:jc w:val="left"/>
            </w:pPr>
            <w:r>
              <w:rPr>
                <w:rFonts w:ascii="Times New Roman" w:hAnsi="Times New Roman"/>
                <w:color w:val="1E293B"/>
                <w:sz w:val="18"/>
              </w:rPr>
              <w:t>4</w:t>
            </w:r>
          </w:p>
        </w:tc>
        <w:tc>
          <w:tcPr>
            <w:tcW w:type="dxa" w:w="2016"/>
            <w:shd w:fill="F8FAFC"/>
          </w:tcPr>
          <w:p>
            <w:pPr>
              <w:spacing w:before="50" w:after="50" w:line="245" w:lineRule="auto"/>
              <w:jc w:val="center"/>
            </w:pPr>
            <w:r>
              <w:rPr>
                <w:rFonts w:ascii="Times New Roman" w:hAnsi="Times New Roman"/>
                <w:color w:val="1E293B"/>
                <w:sz w:val="18"/>
              </w:rPr>
              <w:t>Store_Dept_Mean</w:t>
            </w:r>
          </w:p>
        </w:tc>
        <w:tc>
          <w:tcPr>
            <w:tcW w:type="dxa" w:w="3168"/>
            <w:shd w:fill="F8FAFC"/>
          </w:tcPr>
          <w:p>
            <w:pPr>
              <w:spacing w:before="50" w:after="50" w:line="245" w:lineRule="auto"/>
              <w:jc w:val="left"/>
            </w:pPr>
            <w:r>
              <w:rPr>
                <w:rFonts w:ascii="Times New Roman" w:hAnsi="Times New Roman"/>
                <w:color w:val="1E293B"/>
                <w:sz w:val="18"/>
              </w:rPr>
              <w:t>Out-of-Sample Historical Target Mean</w:t>
            </w:r>
          </w:p>
        </w:tc>
        <w:tc>
          <w:tcPr>
            <w:tcW w:type="dxa" w:w="1296"/>
            <w:shd w:fill="F8FAFC"/>
          </w:tcPr>
          <w:p>
            <w:pPr>
              <w:spacing w:before="50" w:after="50" w:line="245" w:lineRule="auto"/>
              <w:jc w:val="center"/>
            </w:pPr>
            <w:r>
              <w:rPr>
                <w:rFonts w:ascii="Times New Roman" w:hAnsi="Times New Roman"/>
                <w:color w:val="1E293B"/>
                <w:sz w:val="18"/>
              </w:rPr>
              <w:t>6.56%</w:t>
            </w:r>
          </w:p>
        </w:tc>
        <w:tc>
          <w:tcPr>
            <w:tcW w:type="dxa" w:w="1296"/>
            <w:shd w:fill="F8FAFC"/>
          </w:tcPr>
          <w:p>
            <w:pPr>
              <w:spacing w:before="50" w:after="50" w:line="245" w:lineRule="auto"/>
              <w:jc w:val="center"/>
            </w:pPr>
            <w:r>
              <w:rPr>
                <w:rFonts w:ascii="Times New Roman" w:hAnsi="Times New Roman"/>
                <w:color w:val="1E293B"/>
                <w:sz w:val="18"/>
              </w:rPr>
              <w:t>3.91%</w:t>
            </w:r>
          </w:p>
        </w:tc>
        <w:tc>
          <w:tcPr>
            <w:tcW w:type="dxa" w:w="1296"/>
            <w:shd w:fill="F8FAFC"/>
          </w:tcPr>
          <w:p>
            <w:pPr>
              <w:spacing w:before="50" w:after="50" w:line="245" w:lineRule="auto"/>
              <w:jc w:val="center"/>
            </w:pPr>
            <w:r>
              <w:rPr>
                <w:rFonts w:ascii="Times New Roman" w:hAnsi="Times New Roman"/>
                <w:color w:val="1E293B"/>
                <w:sz w:val="18"/>
              </w:rPr>
              <w:t>5.38%</w:t>
            </w:r>
          </w:p>
        </w:tc>
      </w:tr>
      <w:tr>
        <w:tc>
          <w:tcPr>
            <w:tcW w:type="dxa" w:w="864"/>
            <w:shd w:fill="FFFFFF"/>
          </w:tcPr>
          <w:p>
            <w:pPr>
              <w:spacing w:before="50" w:after="50" w:line="245" w:lineRule="auto"/>
              <w:jc w:val="left"/>
            </w:pPr>
            <w:r>
              <w:rPr>
                <w:rFonts w:ascii="Times New Roman" w:hAnsi="Times New Roman"/>
                <w:color w:val="1E293B"/>
                <w:sz w:val="18"/>
              </w:rPr>
              <w:t>5</w:t>
            </w:r>
          </w:p>
        </w:tc>
        <w:tc>
          <w:tcPr>
            <w:tcW w:type="dxa" w:w="2016"/>
            <w:shd w:fill="FFFFFF"/>
          </w:tcPr>
          <w:p>
            <w:pPr>
              <w:spacing w:before="50" w:after="50" w:line="245" w:lineRule="auto"/>
              <w:jc w:val="center"/>
            </w:pPr>
            <w:r>
              <w:rPr>
                <w:rFonts w:ascii="Times New Roman" w:hAnsi="Times New Roman"/>
                <w:color w:val="1E293B"/>
                <w:sz w:val="18"/>
              </w:rPr>
              <w:t>Is_Thanksgiving</w:t>
            </w:r>
          </w:p>
        </w:tc>
        <w:tc>
          <w:tcPr>
            <w:tcW w:type="dxa" w:w="3168"/>
            <w:shd w:fill="FFFFFF"/>
          </w:tcPr>
          <w:p>
            <w:pPr>
              <w:spacing w:before="50" w:after="50" w:line="245" w:lineRule="auto"/>
              <w:jc w:val="left"/>
            </w:pPr>
            <w:r>
              <w:rPr>
                <w:rFonts w:ascii="Times New Roman" w:hAnsi="Times New Roman"/>
                <w:color w:val="1E293B"/>
                <w:sz w:val="18"/>
              </w:rPr>
              <w:t>Holiday Calendar Flag (Week 47, w=5)</w:t>
            </w:r>
          </w:p>
        </w:tc>
        <w:tc>
          <w:tcPr>
            <w:tcW w:type="dxa" w:w="1296"/>
            <w:shd w:fill="FFFFFF"/>
          </w:tcPr>
          <w:p>
            <w:pPr>
              <w:spacing w:before="50" w:after="50" w:line="245" w:lineRule="auto"/>
              <w:jc w:val="center"/>
            </w:pPr>
            <w:r>
              <w:rPr>
                <w:rFonts w:ascii="Times New Roman" w:hAnsi="Times New Roman"/>
                <w:color w:val="1E293B"/>
                <w:sz w:val="18"/>
              </w:rPr>
              <w:t>4.36%</w:t>
            </w:r>
          </w:p>
        </w:tc>
        <w:tc>
          <w:tcPr>
            <w:tcW w:type="dxa" w:w="1296"/>
            <w:shd w:fill="FFFFFF"/>
          </w:tcPr>
          <w:p>
            <w:pPr>
              <w:spacing w:before="50" w:after="50" w:line="245" w:lineRule="auto"/>
              <w:jc w:val="center"/>
            </w:pPr>
            <w:r>
              <w:rPr>
                <w:rFonts w:ascii="Times New Roman" w:hAnsi="Times New Roman"/>
                <w:color w:val="1E293B"/>
                <w:sz w:val="18"/>
              </w:rPr>
              <w:t>2.32%</w:t>
            </w:r>
          </w:p>
        </w:tc>
        <w:tc>
          <w:tcPr>
            <w:tcW w:type="dxa" w:w="1296"/>
            <w:shd w:fill="FFFFFF"/>
          </w:tcPr>
          <w:p>
            <w:pPr>
              <w:spacing w:before="50" w:after="50" w:line="245" w:lineRule="auto"/>
              <w:jc w:val="center"/>
            </w:pPr>
            <w:r>
              <w:rPr>
                <w:rFonts w:ascii="Times New Roman" w:hAnsi="Times New Roman"/>
                <w:color w:val="1E293B"/>
                <w:sz w:val="18"/>
              </w:rPr>
              <w:t>0.79%</w:t>
            </w:r>
          </w:p>
        </w:tc>
      </w:tr>
      <w:tr>
        <w:tc>
          <w:tcPr>
            <w:tcW w:type="dxa" w:w="864"/>
            <w:shd w:fill="F8FAFC"/>
          </w:tcPr>
          <w:p>
            <w:pPr>
              <w:spacing w:before="50" w:after="50" w:line="245" w:lineRule="auto"/>
              <w:jc w:val="left"/>
            </w:pPr>
            <w:r>
              <w:rPr>
                <w:rFonts w:ascii="Times New Roman" w:hAnsi="Times New Roman"/>
                <w:color w:val="1E293B"/>
                <w:sz w:val="18"/>
              </w:rPr>
              <w:t>6</w:t>
            </w:r>
          </w:p>
        </w:tc>
        <w:tc>
          <w:tcPr>
            <w:tcW w:type="dxa" w:w="2016"/>
            <w:shd w:fill="F8FAFC"/>
          </w:tcPr>
          <w:p>
            <w:pPr>
              <w:spacing w:before="50" w:after="50" w:line="245" w:lineRule="auto"/>
              <w:jc w:val="center"/>
            </w:pPr>
            <w:r>
              <w:rPr>
                <w:rFonts w:ascii="Times New Roman" w:hAnsi="Times New Roman"/>
                <w:color w:val="1E293B"/>
                <w:sz w:val="18"/>
              </w:rPr>
              <w:t>Lag_2</w:t>
            </w:r>
          </w:p>
        </w:tc>
        <w:tc>
          <w:tcPr>
            <w:tcW w:type="dxa" w:w="3168"/>
            <w:shd w:fill="F8FAFC"/>
          </w:tcPr>
          <w:p>
            <w:pPr>
              <w:spacing w:before="50" w:after="50" w:line="245" w:lineRule="auto"/>
              <w:jc w:val="left"/>
            </w:pPr>
            <w:r>
              <w:rPr>
                <w:rFonts w:ascii="Times New Roman" w:hAnsi="Times New Roman"/>
                <w:color w:val="1E293B"/>
                <w:sz w:val="18"/>
              </w:rPr>
              <w:t>Bi-Weekly Paycheck Lag (t-2)</w:t>
            </w:r>
          </w:p>
        </w:tc>
        <w:tc>
          <w:tcPr>
            <w:tcW w:type="dxa" w:w="1296"/>
            <w:shd w:fill="F8FAFC"/>
          </w:tcPr>
          <w:p>
            <w:pPr>
              <w:spacing w:before="50" w:after="50" w:line="245" w:lineRule="auto"/>
              <w:jc w:val="center"/>
            </w:pPr>
            <w:r>
              <w:rPr>
                <w:rFonts w:ascii="Times New Roman" w:hAnsi="Times New Roman"/>
                <w:color w:val="1E293B"/>
                <w:sz w:val="18"/>
              </w:rPr>
              <w:t>4.35%</w:t>
            </w:r>
          </w:p>
        </w:tc>
        <w:tc>
          <w:tcPr>
            <w:tcW w:type="dxa" w:w="1296"/>
            <w:shd w:fill="F8FAFC"/>
          </w:tcPr>
          <w:p>
            <w:pPr>
              <w:spacing w:before="50" w:after="50" w:line="245" w:lineRule="auto"/>
              <w:jc w:val="center"/>
            </w:pPr>
            <w:r>
              <w:rPr>
                <w:rFonts w:ascii="Times New Roman" w:hAnsi="Times New Roman"/>
                <w:color w:val="1E293B"/>
                <w:sz w:val="18"/>
              </w:rPr>
              <w:t>4.96%</w:t>
            </w:r>
          </w:p>
        </w:tc>
        <w:tc>
          <w:tcPr>
            <w:tcW w:type="dxa" w:w="1296"/>
            <w:shd w:fill="F8FAFC"/>
          </w:tcPr>
          <w:p>
            <w:pPr>
              <w:spacing w:before="50" w:after="50" w:line="245" w:lineRule="auto"/>
              <w:jc w:val="center"/>
            </w:pPr>
            <w:r>
              <w:rPr>
                <w:rFonts w:ascii="Times New Roman" w:hAnsi="Times New Roman"/>
                <w:color w:val="1E293B"/>
                <w:sz w:val="18"/>
              </w:rPr>
              <w:t>7.91%</w:t>
            </w:r>
          </w:p>
        </w:tc>
      </w:tr>
    </w:tbl>
    <w:p>
      <w:pPr>
        <w:spacing w:before="120" w:after="120" w:line="269" w:lineRule="auto"/>
        <w:jc w:val="both"/>
      </w:pPr>
      <w:r>
        <w:rPr>
          <w:rFonts w:ascii="Times New Roman" w:hAnsi="Times New Roman"/>
          <w:b/>
          <w:sz w:val="24"/>
        </w:rPr>
        <w:t xml:space="preserve">4.4 Supply Chain Inventory Optimization: </w:t>
      </w:r>
      <w:r>
        <w:rPr>
          <w:rFonts w:ascii="Times New Roman" w:hAnsi="Times New Roman"/>
          <w:sz w:val="24"/>
        </w:rPr>
        <w:t>Applying the inventory mismatch cost formulation (Equation 6) across validation records demonstrates that machine learning deployment reduces mismatch costs from $80.3M (Baseline) to $48.6M—saving $31.7M (-39.5%) across all 45 stores ($17.1M saved in Supercenters, $12.8M in Discount Stores, $1.8M in Neighborhood Markets).</w:t>
      </w:r>
    </w:p>
    <w:p>
      <w:pPr>
        <w:spacing w:before="120" w:after="40" w:line="269" w:lineRule="auto"/>
        <w:jc w:val="center"/>
      </w:pPr>
      <w:r>
        <w:drawing>
          <wp:inline xmlns:a="http://schemas.openxmlformats.org/drawingml/2006/main" xmlns:pic="http://schemas.openxmlformats.org/drawingml/2006/picture">
            <wp:extent cx="5120640" cy="1695796"/>
            <wp:docPr id="5" name="Picture 5"/>
            <wp:cNvGraphicFramePr>
              <a:graphicFrameLocks noChangeAspect="1"/>
            </wp:cNvGraphicFramePr>
            <a:graphic>
              <a:graphicData uri="http://schemas.openxmlformats.org/drawingml/2006/picture">
                <pic:pic>
                  <pic:nvPicPr>
                    <pic:cNvPr id="0" name="fig8_supply_chain_impact.png"/>
                    <pic:cNvPicPr/>
                  </pic:nvPicPr>
                  <pic:blipFill>
                    <a:blip r:embed="rId13"/>
                    <a:stretch>
                      <a:fillRect/>
                    </a:stretch>
                  </pic:blipFill>
                  <pic:spPr>
                    <a:xfrm>
                      <a:off x="0" y="0"/>
                      <a:ext cx="5120640" cy="1695796"/>
                    </a:xfrm>
                    <a:prstGeom prst="rect"/>
                  </pic:spPr>
                </pic:pic>
              </a:graphicData>
            </a:graphic>
          </wp:inline>
        </w:drawing>
      </w:r>
    </w:p>
    <w:p>
      <w:pPr>
        <w:spacing w:before="40" w:after="120" w:line="269" w:lineRule="auto"/>
        <w:jc w:val="center"/>
      </w:pPr>
      <w:r>
        <w:rPr>
          <w:rFonts w:ascii="Times New Roman" w:hAnsi="Times New Roman"/>
          <w:i/>
          <w:color w:val="475569"/>
          <w:sz w:val="20"/>
        </w:rPr>
        <w:t>Figure 5: Error Breakdown on Holiday vs. Regular Weeks and Supply Chain Mismatch Cost Savings Across Store Formats.</w:t>
      </w:r>
    </w:p>
    <w:p>
      <w:pPr>
        <w:spacing w:before="240" w:after="100" w:line="269" w:lineRule="auto"/>
        <w:jc w:val="left"/>
      </w:pPr>
      <w:r>
        <w:rPr>
          <w:rFonts w:ascii="Times New Roman" w:hAnsi="Times New Roman"/>
          <w:b/>
          <w:color w:val="0F2942"/>
          <w:sz w:val="30"/>
        </w:rPr>
        <w:t>Chapter 5: Conclusion</w:t>
      </w:r>
    </w:p>
    <w:p>
      <w:pPr>
        <w:spacing w:before="120" w:after="120" w:line="269" w:lineRule="auto"/>
        <w:jc w:val="both"/>
      </w:pPr>
      <w:r>
        <w:rPr>
          <w:rFonts w:ascii="Times New Roman" w:hAnsi="Times New Roman"/>
          <w:b/>
          <w:sz w:val="24"/>
        </w:rPr>
        <w:t xml:space="preserve">5.1 Summary of Research Achievements: </w:t>
      </w:r>
      <w:r>
        <w:rPr>
          <w:rFonts w:ascii="Times New Roman" w:hAnsi="Times New Roman"/>
          <w:sz w:val="24"/>
        </w:rPr>
        <w:t>This research successfully established an end-to-end predictive analytics regression pipeline for multi-store retail sales forecasting adhering to the KDD process. Integrating 421,570 transaction records across 45 stores and 81 departments with promotional markdowns and macroeconomic context, the system resolved promotional data sparsity, handled return transactions, and preserved genuine holiday spikes without look-ahead bias.</w:t>
      </w:r>
    </w:p>
    <w:p>
      <w:pPr>
        <w:spacing w:before="120" w:after="120" w:line="269" w:lineRule="auto"/>
        <w:jc w:val="both"/>
      </w:pPr>
      <w:r>
        <w:rPr>
          <w:rFonts w:ascii="Times New Roman" w:hAnsi="Times New Roman"/>
          <w:b/>
          <w:sz w:val="24"/>
        </w:rPr>
        <w:t xml:space="preserve">5.2 Operational Recommendations: </w:t>
      </w:r>
      <w:r>
        <w:rPr>
          <w:rFonts w:ascii="Times New Roman" w:hAnsi="Times New Roman"/>
          <w:sz w:val="24"/>
        </w:rPr>
        <w:t>LightGBM achieved superior predictive accuracy (WMAE $1,758.94, RMSE $3,837.62, R² = 0.9725) and slashed holiday error by 76.0% ($2,421.19 vs. $10,108.52). We recommend a dual-regime operational deployment: LightGBM for Q4 holiday inventory pre-staging and distribution center buffer allocation, and XGBoost for routine weekly store replenishment. Procurement teams should pre-stage inventory 3 to 4 weeks prior to Weeks 47 and 50 to synchronize with scheduled promotional markdown spikes.</w:t>
      </w:r>
    </w:p>
    <w:p>
      <w:pPr>
        <w:spacing w:before="120" w:after="120" w:line="269" w:lineRule="auto"/>
        <w:jc w:val="both"/>
      </w:pPr>
      <w:r>
        <w:rPr>
          <w:rFonts w:ascii="Times New Roman" w:hAnsi="Times New Roman"/>
          <w:b/>
          <w:sz w:val="24"/>
        </w:rPr>
        <w:t xml:space="preserve">5.3 Limitations and Future Scope: </w:t>
      </w:r>
      <w:r>
        <w:rPr>
          <w:rFonts w:ascii="Times New Roman" w:hAnsi="Times New Roman"/>
          <w:sz w:val="24"/>
        </w:rPr>
        <w:t>Future investigations will extend point predictions to probabilistic quantile forecasting (Conformal Prediction) to generate dynamic safety stock reorder levels, and benchmark Temporal Fusion Transformers (TFT) with MinT hierarchical forecast reconciliation.</w:t>
      </w:r>
    </w:p>
    <w:p>
      <w:pPr>
        <w:spacing w:before="240" w:after="100" w:line="269" w:lineRule="auto"/>
        <w:jc w:val="left"/>
      </w:pPr>
      <w:r>
        <w:rPr>
          <w:rFonts w:ascii="Times New Roman" w:hAnsi="Times New Roman"/>
          <w:b/>
          <w:color w:val="0F2942"/>
          <w:sz w:val="30"/>
        </w:rPr>
        <w:t>Chapter 6: References</w:t>
      </w:r>
    </w:p>
    <w:p>
      <w:pPr>
        <w:spacing w:before="60" w:after="60" w:line="269" w:lineRule="auto"/>
        <w:jc w:val="both"/>
      </w:pPr>
      <w:r>
        <w:rPr>
          <w:rFonts w:ascii="Times New Roman" w:hAnsi="Times New Roman"/>
          <w:sz w:val="21"/>
        </w:rPr>
        <w:t>[1] U. Fayyad, G. Piatetsky-Shapiro, and P. Smyth, "From Data Mining to Knowledge Discovery in Databases," AI Magazine, vol. 17, no. 3, pp. 37–54, 1996.</w:t>
      </w:r>
    </w:p>
    <w:p>
      <w:pPr>
        <w:spacing w:before="60" w:after="60" w:line="269" w:lineRule="auto"/>
        <w:jc w:val="both"/>
      </w:pPr>
      <w:r>
        <w:rPr>
          <w:rFonts w:ascii="Times New Roman" w:hAnsi="Times New Roman"/>
          <w:sz w:val="21"/>
        </w:rPr>
        <w:t>[2] Walmart Recruiting, "Walmart Recruiting — Store Sales Forecasting Competition Dataset," Kaggle Inc., 2014. [Online]. Available: https://www.kaggle.com/competitions/walmart-recruiting-store-sales-forecasting/data</w:t>
      </w:r>
    </w:p>
    <w:p>
      <w:pPr>
        <w:spacing w:before="60" w:after="60" w:line="269" w:lineRule="auto"/>
        <w:jc w:val="both"/>
      </w:pPr>
      <w:r>
        <w:rPr>
          <w:rFonts w:ascii="Times New Roman" w:hAnsi="Times New Roman"/>
          <w:sz w:val="21"/>
        </w:rPr>
        <w:t>[3] T. Chen and C. Guestrin, "XGBoost: A Scalable Tree Boosting System," in Proc. 22nd ACM SIGKDD Int. Conf. Knowledge Discovery and Data Mining (KDD '16), San Francisco, CA, USA, 2016, pp. 785–794.</w:t>
      </w:r>
    </w:p>
    <w:p>
      <w:pPr>
        <w:spacing w:before="60" w:after="60" w:line="269" w:lineRule="auto"/>
        <w:jc w:val="both"/>
      </w:pPr>
      <w:r>
        <w:rPr>
          <w:rFonts w:ascii="Times New Roman" w:hAnsi="Times New Roman"/>
          <w:sz w:val="21"/>
        </w:rPr>
        <w:t>[4] G. Ke, Q. Meng, T. Finley, T. Wang, W. Chen, W. Ma, Q. Ye, and T.-Y. Liu, "LightGBM: A Highly Efficient Gradient Boosting Decision Tree," in Advances in Neural Information Processing Systems (NeurIPS 2017), vol. 30, pp. 3146–3154, 2017.</w:t>
      </w:r>
    </w:p>
    <w:p>
      <w:pPr>
        <w:spacing w:before="60" w:after="60" w:line="269" w:lineRule="auto"/>
        <w:jc w:val="both"/>
      </w:pPr>
      <w:r>
        <w:rPr>
          <w:rFonts w:ascii="Times New Roman" w:hAnsi="Times New Roman"/>
          <w:sz w:val="21"/>
        </w:rPr>
        <w:t>[5] L. Breiman, "Random Forests," Machine Learning, vol. 45, no. 1, pp. 5–32, 2001.</w:t>
      </w:r>
    </w:p>
    <w:p>
      <w:pPr>
        <w:spacing w:before="60" w:after="60" w:line="269" w:lineRule="auto"/>
        <w:jc w:val="both"/>
      </w:pPr>
      <w:r>
        <w:rPr>
          <w:rFonts w:ascii="Times New Roman" w:hAnsi="Times New Roman"/>
          <w:sz w:val="21"/>
        </w:rPr>
        <w:t>[6] S. Makridakis, E. Spiliotis, and V. Assimakopoulos, "The M5 Accuracy Competition: Results, Findings, and Conclusions," Int. J. Forecast., vol. 38, no. 4, pp. 1346–1364, 2022.</w:t>
      </w:r>
    </w:p>
    <w:p>
      <w:pPr>
        <w:spacing w:before="60" w:after="60" w:line="269" w:lineRule="auto"/>
        <w:jc w:val="both"/>
      </w:pPr>
      <w:r>
        <w:rPr>
          <w:rFonts w:ascii="Times New Roman" w:hAnsi="Times New Roman"/>
          <w:sz w:val="21"/>
        </w:rPr>
        <w:t>[7] R. J. Hyndman and G. Athanasopoulos, Forecasting: Principles and Practice, 3rd ed. Melbourne, Australia: OTexts, 2021.</w:t>
      </w:r>
    </w:p>
    <w:p>
      <w:pPr>
        <w:spacing w:before="60" w:after="60" w:line="269" w:lineRule="auto"/>
        <w:jc w:val="both"/>
      </w:pPr>
      <w:r>
        <w:rPr>
          <w:rFonts w:ascii="Times New Roman" w:hAnsi="Times New Roman"/>
          <w:sz w:val="21"/>
        </w:rPr>
        <w:t>[8] G. E. P. Box, G. M. Jenkins, G. C. Reinsel, and G. M. Ljung, Time Series Analysis: Forecasting and Control, 5th ed. Hoboken, NJ, USA: John Wiley &amp; Sons, 2015.</w:t>
      </w:r>
    </w:p>
    <w:p>
      <w:pPr>
        <w:spacing w:before="60" w:after="60" w:line="269" w:lineRule="auto"/>
        <w:jc w:val="both"/>
      </w:pPr>
      <w:r>
        <w:rPr>
          <w:rFonts w:ascii="Times New Roman" w:hAnsi="Times New Roman"/>
          <w:sz w:val="21"/>
        </w:rPr>
        <w:t>[9] D. K. Barrow and N. Kourentzes, "Distributions of Forecasting Errors of Forecast Combinations: Implications for Inventory Management," Int. J. Prod. Econ., vol. 177, pp. 24–33, 2016.</w:t>
      </w:r>
    </w:p>
    <w:p>
      <w:pPr>
        <w:spacing w:before="60" w:after="60" w:line="269" w:lineRule="auto"/>
        <w:jc w:val="both"/>
      </w:pPr>
      <w:r>
        <w:rPr>
          <w:rFonts w:ascii="Times New Roman" w:hAnsi="Times New Roman"/>
          <w:sz w:val="21"/>
        </w:rPr>
        <w:t>[10] R. Fildes, S. Ma, and S. Kolassa, "Retail Forecasting: Research and Practice," Int. J. Forecast., vol. 38, no. 4, pp. 1283–1318, 2022.</w:t>
      </w:r>
    </w:p>
    <w:p>
      <w:pPr>
        <w:spacing w:before="60" w:after="60" w:line="269" w:lineRule="auto"/>
        <w:jc w:val="both"/>
      </w:pPr>
      <w:r>
        <w:rPr>
          <w:rFonts w:ascii="Times New Roman" w:hAnsi="Times New Roman"/>
          <w:sz w:val="21"/>
        </w:rPr>
        <w:t>[11] A. E. Hoerl and R. W. Kennard, "Ridge Regression: Biased Estimation for Nonorthogonal Problems," Technometrics, vol. 12, no. 1, pp. 55–67, 1970.</w:t>
      </w:r>
    </w:p>
    <w:p>
      <w:pPr>
        <w:spacing w:before="60" w:after="60" w:line="269" w:lineRule="auto"/>
        <w:jc w:val="both"/>
      </w:pPr>
      <w:r>
        <w:rPr>
          <w:rFonts w:ascii="Times New Roman" w:hAnsi="Times New Roman"/>
          <w:sz w:val="21"/>
        </w:rPr>
        <w:t>[12] S. Chopra and P. Meindl, Supply Chain Management: Strategy, Planning, and Operation, 7th ed. Boston, MA, USA: Pearson, 2019.</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