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Banco de dados: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Supermarket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database Supermarket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Produto(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 varchar(30)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valor decimal(10,2)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codebar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primary key(codebar));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Pedido(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Nitem int not null,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caixa varchar(100)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valor decimal(10,2)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 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codebar varchar(100)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foreign key(codebar) references produto(codebar),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key(Nitem));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