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0E7490"/>
          <w:sz w:val="48"/>
        </w:rPr>
        <w:t>SEO AUDIT &amp; TECHNICAL REPORT</w:t>
      </w:r>
    </w:p>
    <w:p>
      <w:pPr>
        <w:spacing w:before="0" w:after="320"/>
      </w:pPr>
      <w:r>
        <w:rPr>
          <w:rFonts w:ascii="Calibri" w:hAnsi="Calibri"/>
          <w:i/>
          <w:color w:val="475569"/>
          <w:sz w:val="28"/>
        </w:rPr>
        <w:t>Comprehensive Technical &amp; On-Page Analysis for devflow.co.in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>
              <w:rPr>
                <w:b/>
                <w:color w:val="1E293B"/>
                <w:sz w:val="20"/>
              </w:rPr>
              <w:t>Target Domain:</w:t>
            </w:r>
          </w:p>
        </w:tc>
        <w:tc>
          <w:tcPr>
            <w:tcW w:type="dxa" w:w="691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>
              <w:rPr>
                <w:color w:val="334155"/>
                <w:sz w:val="20"/>
              </w:rPr>
              <w:t>https://devflow.co.in</w:t>
            </w:r>
          </w:p>
        </w:tc>
      </w:tr>
      <w:tr>
        <w:tc>
          <w:tcPr>
            <w:tcW w:type="dxa" w:w="2592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>
              <w:rPr>
                <w:b/>
                <w:color w:val="1E293B"/>
                <w:sz w:val="20"/>
              </w:rPr>
              <w:t>Audit Date:</w:t>
            </w:r>
          </w:p>
        </w:tc>
        <w:tc>
          <w:tcPr>
            <w:tcW w:type="dxa" w:w="691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>
              <w:rPr>
                <w:color w:val="334155"/>
                <w:sz w:val="20"/>
              </w:rPr>
              <w:t>August 9, 2026</w:t>
            </w:r>
          </w:p>
        </w:tc>
      </w:tr>
      <w:tr>
        <w:tc>
          <w:tcPr>
            <w:tcW w:type="dxa" w:w="2592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>
              <w:rPr>
                <w:b/>
                <w:color w:val="1E293B"/>
                <w:sz w:val="20"/>
              </w:rPr>
              <w:t>Business Context:</w:t>
            </w:r>
          </w:p>
        </w:tc>
        <w:tc>
          <w:tcPr>
            <w:tcW w:type="dxa" w:w="691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>
              <w:rPr>
                <w:color w:val="334155"/>
                <w:sz w:val="20"/>
              </w:rPr>
              <w:t>AI Development &amp; Custom Software Engineering (Ahmedabad, India)</w:t>
            </w:r>
          </w:p>
        </w:tc>
      </w:tr>
      <w:tr>
        <w:tc>
          <w:tcPr>
            <w:tcW w:type="dxa" w:w="2592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>
              <w:rPr>
                <w:b/>
                <w:color w:val="1E293B"/>
                <w:sz w:val="20"/>
              </w:rPr>
              <w:t>Audit Scope:</w:t>
            </w:r>
          </w:p>
        </w:tc>
        <w:tc>
          <w:tcPr>
            <w:tcW w:type="dxa" w:w="691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>
              <w:rPr>
                <w:color w:val="334155"/>
                <w:sz w:val="20"/>
              </w:rPr>
              <w:t>Full Site Audit (Crawlability, Technical, On-Page, E-E-A-T, Structured Data)</w:t>
            </w:r>
          </w:p>
        </w:tc>
      </w:tr>
    </w:tbl>
    <w:p>
      <w:pPr>
        <w:spacing w:after="160"/>
      </w:pPr>
    </w:p>
    <w:p>
      <w:pPr>
        <w:keepNext/>
        <w:spacing w:before="320" w:after="120"/>
      </w:pPr>
      <w:r>
        <w:rPr>
          <w:rFonts w:ascii="Calibri" w:hAnsi="Calibri"/>
          <w:b/>
          <w:color w:val="0E7490"/>
          <w:sz w:val="40"/>
        </w:rPr>
        <w:t>1. SEO Health Index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504"/>
            <w:shd w:fill="ECFDF5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b/>
                <w:color w:val="064E3B"/>
                <w:sz w:val="28"/>
              </w:rPr>
              <w:t xml:space="preserve">Overall SEO Health Index: </w:t>
            </w:r>
            <w:r>
              <w:rPr>
                <w:b/>
                <w:color w:val="047857"/>
                <w:sz w:val="36"/>
              </w:rPr>
              <w:t>91 / 100</w:t>
            </w:r>
            <w:r>
              <w:rPr>
                <w:b/>
                <w:color w:val="065F46"/>
                <w:sz w:val="26"/>
              </w:rPr>
              <w:t xml:space="preserve">  |  Health Status: EXCELLENT</w:t>
              <w:br/>
            </w:r>
            <w:r>
              <w:rPr>
                <w:i/>
                <w:color w:val="0F766E"/>
                <w:sz w:val="20"/>
              </w:rPr>
              <w:t>Interpretation: Exceptional technical foundations and AI readiness (GEO). High-impact score recovery (+9 points) achievable through JSON-LD schema implementation and heading keyword alignment.</w:t>
            </w:r>
          </w:p>
        </w:tc>
      </w:tr>
    </w:tbl>
    <w:p>
      <w:pPr>
        <w:spacing w:after="120"/>
      </w:pPr>
    </w:p>
    <w:p>
      <w:pPr>
        <w:keepNext/>
        <w:spacing w:before="240" w:after="120"/>
      </w:pPr>
      <w:r>
        <w:rPr>
          <w:rFonts w:ascii="Calibri" w:hAnsi="Calibri"/>
          <w:b/>
          <w:color w:val="1E293B"/>
          <w:sz w:val="30"/>
        </w:rPr>
        <w:t>Category Score Breakdown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403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1584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20"/>
              </w:rPr>
              <w:t>Score</w:t>
            </w:r>
          </w:p>
        </w:tc>
        <w:tc>
          <w:tcPr>
            <w:tcW w:type="dxa" w:w="1584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20"/>
              </w:rPr>
              <w:t>Weight</w:t>
            </w:r>
          </w:p>
        </w:tc>
        <w:tc>
          <w:tcPr>
            <w:tcW w:type="dxa" w:w="2304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20"/>
              </w:rPr>
              <w:t>Weighted Contribution</w:t>
            </w:r>
          </w:p>
        </w:tc>
      </w:tr>
      <w:tr>
        <w:tc>
          <w:tcPr>
            <w:tcW w:type="dxa" w:w="403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1E293B"/>
                <w:sz w:val="19"/>
              </w:rPr>
              <w:t>Crawlability &amp; Indexation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334155"/>
                <w:sz w:val="19"/>
              </w:rPr>
              <w:t>95 / 100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334155"/>
                <w:sz w:val="19"/>
              </w:rPr>
              <w:t>30%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334155"/>
                <w:sz w:val="19"/>
              </w:rPr>
              <w:t>28.50</w:t>
            </w:r>
          </w:p>
        </w:tc>
      </w:tr>
      <w:tr>
        <w:tc>
          <w:tcPr>
            <w:tcW w:type="dxa" w:w="403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1E293B"/>
                <w:sz w:val="19"/>
              </w:rPr>
              <w:t>Technical Foundations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334155"/>
                <w:sz w:val="19"/>
              </w:rPr>
              <w:t>98 / 100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334155"/>
                <w:sz w:val="19"/>
              </w:rPr>
              <w:t>25%</w:t>
            </w:r>
          </w:p>
        </w:tc>
        <w:tc>
          <w:tcPr>
            <w:tcW w:type="dxa" w:w="230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334155"/>
                <w:sz w:val="19"/>
              </w:rPr>
              <w:t>24.50</w:t>
            </w:r>
          </w:p>
        </w:tc>
      </w:tr>
      <w:tr>
        <w:tc>
          <w:tcPr>
            <w:tcW w:type="dxa" w:w="403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1E293B"/>
                <w:sz w:val="19"/>
              </w:rPr>
              <w:t>On-Page Optimization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334155"/>
                <w:sz w:val="19"/>
              </w:rPr>
              <w:t>89 / 100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334155"/>
                <w:sz w:val="19"/>
              </w:rPr>
              <w:t>20%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334155"/>
                <w:sz w:val="19"/>
              </w:rPr>
              <w:t>17.80</w:t>
            </w:r>
          </w:p>
        </w:tc>
      </w:tr>
      <w:tr>
        <w:tc>
          <w:tcPr>
            <w:tcW w:type="dxa" w:w="403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1E293B"/>
                <w:sz w:val="19"/>
              </w:rPr>
              <w:t>Content Quality &amp; E-E-A-T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334155"/>
                <w:sz w:val="19"/>
              </w:rPr>
              <w:t>96 / 100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334155"/>
                <w:sz w:val="19"/>
              </w:rPr>
              <w:t>15%</w:t>
            </w:r>
          </w:p>
        </w:tc>
        <w:tc>
          <w:tcPr>
            <w:tcW w:type="dxa" w:w="230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334155"/>
                <w:sz w:val="19"/>
              </w:rPr>
              <w:t>14.40</w:t>
            </w:r>
          </w:p>
        </w:tc>
      </w:tr>
      <w:tr>
        <w:tc>
          <w:tcPr>
            <w:tcW w:type="dxa" w:w="403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1E293B"/>
                <w:sz w:val="19"/>
              </w:rPr>
              <w:t>Authority &amp; Trust Signals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334155"/>
                <w:sz w:val="19"/>
              </w:rPr>
              <w:t>60 / 100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334155"/>
                <w:sz w:val="19"/>
              </w:rPr>
              <w:t>10%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334155"/>
                <w:sz w:val="19"/>
              </w:rPr>
              <w:t>6.00</w:t>
            </w:r>
          </w:p>
        </w:tc>
      </w:tr>
    </w:tbl>
    <w:p>
      <w:pPr>
        <w:spacing w:after="240"/>
      </w:pPr>
    </w:p>
    <w:p>
      <w:pPr>
        <w:keepNext/>
        <w:spacing w:before="320" w:after="120"/>
      </w:pPr>
      <w:r>
        <w:rPr>
          <w:rFonts w:ascii="Calibri" w:hAnsi="Calibri"/>
          <w:b/>
          <w:color w:val="0E7490"/>
          <w:sz w:val="40"/>
        </w:rPr>
        <w:t>2. Detailed Findings &amp; Diagnosis</w:t>
      </w:r>
    </w:p>
    <w:p>
      <w:pPr>
        <w:keepNext/>
        <w:spacing w:before="280" w:after="120"/>
      </w:pPr>
      <w:r>
        <w:rPr>
          <w:rFonts w:ascii="Calibri" w:hAnsi="Calibri"/>
          <w:b/>
          <w:color w:val="0F172A"/>
          <w:sz w:val="30"/>
        </w:rPr>
        <w:t>Finding 1: Incomplete JSON-LD Schema (Organization, LocalBusiness &amp; Services)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304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E293B"/>
                <w:sz w:val="19"/>
              </w:rPr>
              <w:t>Category:</w:t>
            </w:r>
          </w:p>
        </w:tc>
        <w:tc>
          <w:tcPr>
            <w:tcW w:type="dxa" w:w="720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9"/>
              </w:rPr>
              <w:t>Authority &amp; Trust Signals</w:t>
            </w:r>
          </w:p>
        </w:tc>
      </w:tr>
      <w:tr>
        <w:tc>
          <w:tcPr>
            <w:tcW w:type="dxa" w:w="2304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E293B"/>
                <w:sz w:val="19"/>
              </w:rPr>
              <w:t>Severity / Confidence:</w:t>
            </w:r>
          </w:p>
        </w:tc>
        <w:tc>
          <w:tcPr>
            <w:tcW w:type="dxa" w:w="7200"/>
            <w:shd w:fill="FEF2F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B91C1C"/>
                <w:sz w:val="19"/>
              </w:rPr>
              <w:t>HIGH  |  High (Directly observed via DOM/HTTP inspection)</w:t>
            </w:r>
          </w:p>
        </w:tc>
      </w:tr>
      <w:tr>
        <w:tc>
          <w:tcPr>
            <w:tcW w:type="dxa" w:w="2304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E293B"/>
                <w:sz w:val="19"/>
              </w:rPr>
              <w:t>Evidence:</w:t>
            </w:r>
          </w:p>
        </w:tc>
        <w:tc>
          <w:tcPr>
            <w:tcW w:type="dxa" w:w="720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9"/>
              </w:rPr>
              <w:t>Empirical inspection of raw HTML extracted 0 JSON-LD scripts across subpages (/about, /software-development-company-ahmedabad, /services/custom-software-erp). The homepage only contains an FAQPage schema.</w:t>
            </w:r>
          </w:p>
        </w:tc>
      </w:tr>
      <w:tr>
        <w:tc>
          <w:tcPr>
            <w:tcW w:type="dxa" w:w="2304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E293B"/>
                <w:sz w:val="19"/>
              </w:rPr>
              <w:t>Why It Matters:</w:t>
            </w:r>
          </w:p>
        </w:tc>
        <w:tc>
          <w:tcPr>
            <w:tcW w:type="dxa" w:w="720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9"/>
              </w:rPr>
              <w:t>Without Organization and LocalBusiness schemas, search engines (and AI engines like Perplexity &amp; ChatGPT) rely solely on unstructured text to map business entity attributes (NAP, founder profiles, location coordinates, logo, social links).</w:t>
            </w:r>
          </w:p>
        </w:tc>
      </w:tr>
      <w:tr>
        <w:tc>
          <w:tcPr>
            <w:tcW w:type="dxa" w:w="2304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E293B"/>
                <w:sz w:val="19"/>
              </w:rPr>
              <w:t>Recommendation:</w:t>
            </w:r>
          </w:p>
        </w:tc>
        <w:tc>
          <w:tcPr>
            <w:tcW w:type="dxa" w:w="720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9"/>
              </w:rPr>
              <w:t>Implement a comprehensive Organization + LocalBusiness schema on the homepage and location pages, Service schemas on service pages, and BreadcrumbList schemas across all subpages.</w:t>
            </w:r>
          </w:p>
        </w:tc>
      </w:tr>
    </w:tbl>
    <w:p>
      <w:pPr>
        <w:spacing w:after="80"/>
      </w:pPr>
    </w:p>
    <w:p>
      <w:pPr>
        <w:keepNext/>
        <w:spacing w:before="280" w:after="120"/>
      </w:pPr>
      <w:r>
        <w:rPr>
          <w:rFonts w:ascii="Calibri" w:hAnsi="Calibri"/>
          <w:b/>
          <w:color w:val="0F172A"/>
          <w:sz w:val="30"/>
        </w:rPr>
        <w:t>Finding 2: Generic H1 Heading Copywriting on Main Service Pages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304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E293B"/>
                <w:sz w:val="19"/>
              </w:rPr>
              <w:t>Category:</w:t>
            </w:r>
          </w:p>
        </w:tc>
        <w:tc>
          <w:tcPr>
            <w:tcW w:type="dxa" w:w="720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9"/>
              </w:rPr>
              <w:t>On-Page Optimization</w:t>
            </w:r>
          </w:p>
        </w:tc>
      </w:tr>
      <w:tr>
        <w:tc>
          <w:tcPr>
            <w:tcW w:type="dxa" w:w="2304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E293B"/>
                <w:sz w:val="19"/>
              </w:rPr>
              <w:t>Severity / Confidence:</w:t>
            </w:r>
          </w:p>
        </w:tc>
        <w:tc>
          <w:tcPr>
            <w:tcW w:type="dxa" w:w="720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9"/>
              </w:rPr>
              <w:t>MEDIUM  |  High (Directly observed)</w:t>
            </w:r>
          </w:p>
        </w:tc>
      </w:tr>
      <w:tr>
        <w:tc>
          <w:tcPr>
            <w:tcW w:type="dxa" w:w="2304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E293B"/>
                <w:sz w:val="19"/>
              </w:rPr>
              <w:t>Evidence:</w:t>
            </w:r>
          </w:p>
        </w:tc>
        <w:tc>
          <w:tcPr>
            <w:tcW w:type="dxa" w:w="720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9"/>
              </w:rPr>
              <w:t>`/services` H1 is 'Enterprise Engineering. Measured Outcomes.' (Title: 'AI Development &amp; Custom Software Services | DevFlow'). `/about` H1 is 'About DevFlow: Transforming Complexity into Capital.' `/work` H1 is 'Crafted Products. Proven Results.'</w:t>
            </w:r>
          </w:p>
        </w:tc>
      </w:tr>
      <w:tr>
        <w:tc>
          <w:tcPr>
            <w:tcW w:type="dxa" w:w="2304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E293B"/>
                <w:sz w:val="19"/>
              </w:rPr>
              <w:t>Why It Matters:</w:t>
            </w:r>
          </w:p>
        </w:tc>
        <w:tc>
          <w:tcPr>
            <w:tcW w:type="dxa" w:w="720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9"/>
              </w:rPr>
              <w:t>Search engines weigh the &lt;h1&gt; tag heavily for topical relevance. While catchy marketing copy engages human users, combining brand statements with exact target keywords in H1 tags maximizes organic ranking signals.</w:t>
            </w:r>
          </w:p>
        </w:tc>
      </w:tr>
      <w:tr>
        <w:tc>
          <w:tcPr>
            <w:tcW w:type="dxa" w:w="2304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E293B"/>
                <w:sz w:val="19"/>
              </w:rPr>
              <w:t>Recommendation:</w:t>
            </w:r>
          </w:p>
        </w:tc>
        <w:tc>
          <w:tcPr>
            <w:tcW w:type="dxa" w:w="720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9"/>
              </w:rPr>
              <w:t>Refactor H1 tags on main subpages to incorporate primary keywords (e.g., &lt;h1&gt;Custom Software &amp; AI Development Services | Enterprise Engineering&lt;/h1&gt;).</w:t>
            </w:r>
          </w:p>
        </w:tc>
      </w:tr>
    </w:tbl>
    <w:p>
      <w:pPr>
        <w:spacing w:after="80"/>
      </w:pPr>
    </w:p>
    <w:p>
      <w:pPr>
        <w:keepNext/>
        <w:spacing w:before="280" w:after="120"/>
      </w:pPr>
      <w:r>
        <w:rPr>
          <w:rFonts w:ascii="Calibri" w:hAnsi="Calibri"/>
          <w:b/>
          <w:color w:val="0F172A"/>
          <w:sz w:val="30"/>
        </w:rPr>
        <w:t>Finding 3: Trailing Slash &amp; Canonical Redirect Normalization Mismatch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304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E293B"/>
                <w:sz w:val="19"/>
              </w:rPr>
              <w:t>Category:</w:t>
            </w:r>
          </w:p>
        </w:tc>
        <w:tc>
          <w:tcPr>
            <w:tcW w:type="dxa" w:w="720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9"/>
              </w:rPr>
              <w:t>Crawlability &amp; Indexation</w:t>
            </w:r>
          </w:p>
        </w:tc>
      </w:tr>
      <w:tr>
        <w:tc>
          <w:tcPr>
            <w:tcW w:type="dxa" w:w="2304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E293B"/>
                <w:sz w:val="19"/>
              </w:rPr>
              <w:t>Severity / Confidence:</w:t>
            </w:r>
          </w:p>
        </w:tc>
        <w:tc>
          <w:tcPr>
            <w:tcW w:type="dxa" w:w="720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9"/>
              </w:rPr>
              <w:t>MEDIUM  |  High (Verified via HTTP response headers and sitemap XML parsing)</w:t>
            </w:r>
          </w:p>
        </w:tc>
      </w:tr>
      <w:tr>
        <w:tc>
          <w:tcPr>
            <w:tcW w:type="dxa" w:w="2304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E293B"/>
                <w:sz w:val="19"/>
              </w:rPr>
              <w:t>Evidence:</w:t>
            </w:r>
          </w:p>
        </w:tc>
        <w:tc>
          <w:tcPr>
            <w:tcW w:type="dxa" w:w="720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9"/>
              </w:rPr>
              <w:t>Request to http://devflow.co.in or https://devflow.co.in 301-redirects to https://www.devflow.co.in/ (with trailing slash). Page HTML specifies &lt;link rel='canonical' href='https://www.devflow.co.in' /&gt; (without trailing slash). sitemap.xml lists URLs without trailing slashes.</w:t>
            </w:r>
          </w:p>
        </w:tc>
      </w:tr>
      <w:tr>
        <w:tc>
          <w:tcPr>
            <w:tcW w:type="dxa" w:w="2304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E293B"/>
                <w:sz w:val="19"/>
              </w:rPr>
              <w:t>Why It Matters:</w:t>
            </w:r>
          </w:p>
        </w:tc>
        <w:tc>
          <w:tcPr>
            <w:tcW w:type="dxa" w:w="720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9"/>
              </w:rPr>
              <w:t>Canonical/redirect URL mismatches force search engine crawlers to reconcile competing URL signals, wasting crawl budget and delaying indexation updates.</w:t>
            </w:r>
          </w:p>
        </w:tc>
      </w:tr>
      <w:tr>
        <w:tc>
          <w:tcPr>
            <w:tcW w:type="dxa" w:w="2304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E293B"/>
                <w:sz w:val="19"/>
              </w:rPr>
              <w:t>Recommendation:</w:t>
            </w:r>
          </w:p>
        </w:tc>
        <w:tc>
          <w:tcPr>
            <w:tcW w:type="dxa" w:w="720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9"/>
              </w:rPr>
              <w:t>Standardize URL formatting across Nginx/Cloudflare redirect rules, &lt;link rel='canonical'&gt; tags, and sitemap.xml loc tags (either all with trailing slashes or all without).</w:t>
            </w:r>
          </w:p>
        </w:tc>
      </w:tr>
    </w:tbl>
    <w:p>
      <w:pPr>
        <w:spacing w:after="80"/>
      </w:pPr>
    </w:p>
    <w:p>
      <w:pPr>
        <w:keepNext/>
        <w:spacing w:before="280" w:after="120"/>
      </w:pPr>
      <w:r>
        <w:rPr>
          <w:rFonts w:ascii="Calibri" w:hAnsi="Calibri"/>
          <w:b/>
          <w:color w:val="0F172A"/>
          <w:sz w:val="30"/>
        </w:rPr>
        <w:t>Finding 4: Author Schema Entity Attribution in Blog Content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304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E293B"/>
                <w:sz w:val="19"/>
              </w:rPr>
              <w:t>Category:</w:t>
            </w:r>
          </w:p>
        </w:tc>
        <w:tc>
          <w:tcPr>
            <w:tcW w:type="dxa" w:w="720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9"/>
              </w:rPr>
              <w:t>Content Quality &amp; E-E-A-T</w:t>
            </w:r>
          </w:p>
        </w:tc>
      </w:tr>
      <w:tr>
        <w:tc>
          <w:tcPr>
            <w:tcW w:type="dxa" w:w="2304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E293B"/>
                <w:sz w:val="19"/>
              </w:rPr>
              <w:t>Severity / Confidence:</w:t>
            </w:r>
          </w:p>
        </w:tc>
        <w:tc>
          <w:tcPr>
            <w:tcW w:type="dxa" w:w="720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9"/>
              </w:rPr>
              <w:t>LOW  |  High (Directly observed in JSON-LD output)</w:t>
            </w:r>
          </w:p>
        </w:tc>
      </w:tr>
      <w:tr>
        <w:tc>
          <w:tcPr>
            <w:tcW w:type="dxa" w:w="2304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E293B"/>
                <w:sz w:val="19"/>
              </w:rPr>
              <w:t>Evidence:</w:t>
            </w:r>
          </w:p>
        </w:tc>
        <w:tc>
          <w:tcPr>
            <w:tcW w:type="dxa" w:w="720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9"/>
              </w:rPr>
              <w:t>Blog post JSON-LD script on /blog/nextjs-15-performance-optimization-guide defines author as Organization ('DevFlow Team').</w:t>
            </w:r>
          </w:p>
        </w:tc>
      </w:tr>
      <w:tr>
        <w:tc>
          <w:tcPr>
            <w:tcW w:type="dxa" w:w="2304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E293B"/>
                <w:sz w:val="19"/>
              </w:rPr>
              <w:t>Why It Matters:</w:t>
            </w:r>
          </w:p>
        </w:tc>
        <w:tc>
          <w:tcPr>
            <w:tcW w:type="dxa" w:w="720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9"/>
              </w:rPr>
              <w:t>Google's E-E-A-T guidelines emphasize clear, verifiable human author attribution (e.g., linking articles directly to founders Prince Gajjar or Bhavin Rajput with @type: Person schema and social sameAs links).</w:t>
            </w:r>
          </w:p>
        </w:tc>
      </w:tr>
      <w:tr>
        <w:tc>
          <w:tcPr>
            <w:tcW w:type="dxa" w:w="2304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E293B"/>
                <w:sz w:val="19"/>
              </w:rPr>
              <w:t>Recommendation:</w:t>
            </w:r>
          </w:p>
        </w:tc>
        <w:tc>
          <w:tcPr>
            <w:tcW w:type="dxa" w:w="720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9"/>
              </w:rPr>
              <w:t>Update blog JSON-LD to attribute articles to specific founders (@type: Person) with links to their LinkedIn/personal profiles.</w:t>
            </w:r>
          </w:p>
        </w:tc>
      </w:tr>
    </w:tbl>
    <w:p>
      <w:pPr>
        <w:spacing w:after="80"/>
      </w:pPr>
    </w:p>
    <w:p>
      <w:pPr>
        <w:keepNext/>
        <w:spacing w:before="280" w:after="120"/>
      </w:pPr>
      <w:r>
        <w:rPr>
          <w:rFonts w:ascii="Calibri" w:hAnsi="Calibri"/>
          <w:b/>
          <w:color w:val="0F172A"/>
          <w:sz w:val="30"/>
        </w:rPr>
        <w:t>Finding 5: Homepage Geographic Keyword Alignment (Title vs H1)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304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E293B"/>
                <w:sz w:val="19"/>
              </w:rPr>
              <w:t>Category:</w:t>
            </w:r>
          </w:p>
        </w:tc>
        <w:tc>
          <w:tcPr>
            <w:tcW w:type="dxa" w:w="720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9"/>
              </w:rPr>
              <w:t>On-Page Optimization</w:t>
            </w:r>
          </w:p>
        </w:tc>
      </w:tr>
      <w:tr>
        <w:tc>
          <w:tcPr>
            <w:tcW w:type="dxa" w:w="2304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E293B"/>
                <w:sz w:val="19"/>
              </w:rPr>
              <w:t>Severity / Confidence:</w:t>
            </w:r>
          </w:p>
        </w:tc>
        <w:tc>
          <w:tcPr>
            <w:tcW w:type="dxa" w:w="720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9"/>
              </w:rPr>
              <w:t>LOW  |  High (Observed in head &amp; body tags)</w:t>
            </w:r>
          </w:p>
        </w:tc>
      </w:tr>
      <w:tr>
        <w:tc>
          <w:tcPr>
            <w:tcW w:type="dxa" w:w="2304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E293B"/>
                <w:sz w:val="19"/>
              </w:rPr>
              <w:t>Evidence:</w:t>
            </w:r>
          </w:p>
        </w:tc>
        <w:tc>
          <w:tcPr>
            <w:tcW w:type="dxa" w:w="720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9"/>
              </w:rPr>
              <w:t>Title Tag: 'Custom Software &amp; AI Development, Ahmedabad | DevFlow' vs Main H1 Tag: 'Custom Software Development Company India built for enterprise scale.'</w:t>
            </w:r>
          </w:p>
        </w:tc>
      </w:tr>
      <w:tr>
        <w:tc>
          <w:tcPr>
            <w:tcW w:type="dxa" w:w="2304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E293B"/>
                <w:sz w:val="19"/>
              </w:rPr>
              <w:t>Why It Matters:</w:t>
            </w:r>
          </w:p>
        </w:tc>
        <w:tc>
          <w:tcPr>
            <w:tcW w:type="dxa" w:w="720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9"/>
              </w:rPr>
              <w:t>While DevFlow targets both local (Ahmedabad/Gujarat) and global/national clients, aligning local intent between Title and H1 on primary landing pages maximizes local search ranking stability.</w:t>
            </w:r>
          </w:p>
        </w:tc>
      </w:tr>
      <w:tr>
        <w:tc>
          <w:tcPr>
            <w:tcW w:type="dxa" w:w="2304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E293B"/>
                <w:sz w:val="19"/>
              </w:rPr>
              <w:t>Recommendation:</w:t>
            </w:r>
          </w:p>
        </w:tc>
        <w:tc>
          <w:tcPr>
            <w:tcW w:type="dxa" w:w="720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9"/>
              </w:rPr>
              <w:t>Bridge local and national intent in the H1 tag (e.g., 'Custom Software &amp; AI Development Company in Ahmedabad, India').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rFonts w:ascii="Calibri" w:hAnsi="Calibri"/>
          <w:b/>
          <w:color w:val="0E7490"/>
          <w:sz w:val="40"/>
        </w:rPr>
        <w:t>3. Prioritized Action Plan</w:t>
      </w:r>
    </w:p>
    <w:p>
      <w:pPr>
        <w:keepNext/>
        <w:spacing w:before="200" w:after="120"/>
      </w:pPr>
      <w:r>
        <w:rPr>
          <w:rFonts w:ascii="Calibri" w:hAnsi="Calibri"/>
          <w:b/>
          <w:color w:val="1E293B"/>
          <w:sz w:val="30"/>
        </w:rPr>
        <w:t>Phase 1: High-Impact Structured Data (Expected Recovery: +4.0 pts)</w:t>
      </w:r>
    </w:p>
    <w:p>
      <w:pPr>
        <w:pStyle w:val="ListBullet"/>
        <w:spacing w:before="40" w:after="40"/>
      </w:pPr>
      <w:r>
        <w:rPr>
          <w:rFonts w:ascii="Calibri" w:hAnsi="Calibri"/>
          <w:color w:val="334155"/>
          <w:sz w:val="20"/>
        </w:rPr>
        <w:t>Add Organization &amp; LocalBusiness Schemas to Homepage &amp; Contact Page (NAP, geo-coordinates, operating hours, founder links, logo URL, social profiles).</w:t>
      </w:r>
    </w:p>
    <w:p>
      <w:pPr>
        <w:pStyle w:val="ListBullet"/>
        <w:spacing w:before="40" w:after="40"/>
      </w:pPr>
      <w:r>
        <w:rPr>
          <w:rFonts w:ascii="Calibri" w:hAnsi="Calibri"/>
          <w:color w:val="334155"/>
          <w:sz w:val="20"/>
        </w:rPr>
        <w:t>Implement Location Schemas on Regional Hubs (/software-development-company-ahmedabad &amp; /locations/ahmedabad).</w:t>
      </w:r>
    </w:p>
    <w:p>
      <w:pPr>
        <w:pStyle w:val="ListBullet"/>
        <w:spacing w:before="40" w:after="40"/>
      </w:pPr>
      <w:r>
        <w:rPr>
          <w:rFonts w:ascii="Calibri" w:hAnsi="Calibri"/>
          <w:color w:val="334155"/>
          <w:sz w:val="20"/>
        </w:rPr>
        <w:t>Add BreadcrumbList &amp; Service Schemas across subpages and dedicated service pages.</w:t>
      </w:r>
    </w:p>
    <w:p>
      <w:pPr>
        <w:keepNext/>
        <w:spacing w:before="200" w:after="120"/>
      </w:pPr>
      <w:r>
        <w:rPr>
          <w:rFonts w:ascii="Calibri" w:hAnsi="Calibri"/>
          <w:b/>
          <w:color w:val="1E293B"/>
          <w:sz w:val="30"/>
        </w:rPr>
        <w:t>Phase 2: On-Page Heading Keyword Optimization (Expected Recovery: +2.2 pts)</w:t>
      </w:r>
    </w:p>
    <w:p>
      <w:pPr>
        <w:pStyle w:val="ListBullet"/>
        <w:spacing w:before="40" w:after="40"/>
      </w:pPr>
      <w:r>
        <w:rPr>
          <w:rFonts w:ascii="Calibri" w:hAnsi="Calibri"/>
          <w:color w:val="334155"/>
          <w:sz w:val="20"/>
        </w:rPr>
        <w:t>/services -&gt; &lt;h1&gt;AI Development &amp; Custom Software Services&lt;/h1&gt;</w:t>
      </w:r>
    </w:p>
    <w:p>
      <w:pPr>
        <w:pStyle w:val="ListBullet"/>
        <w:spacing w:before="40" w:after="40"/>
      </w:pPr>
      <w:r>
        <w:rPr>
          <w:rFonts w:ascii="Calibri" w:hAnsi="Calibri"/>
          <w:color w:val="334155"/>
          <w:sz w:val="20"/>
        </w:rPr>
        <w:t>/work -&gt; &lt;h1&gt;Custom Software &amp; AI Engineering Case Studies&lt;/h1&gt;</w:t>
      </w:r>
    </w:p>
    <w:p>
      <w:pPr>
        <w:pStyle w:val="ListBullet"/>
        <w:spacing w:before="40" w:after="40"/>
      </w:pPr>
      <w:r>
        <w:rPr>
          <w:rFonts w:ascii="Calibri" w:hAnsi="Calibri"/>
          <w:color w:val="334155"/>
          <w:sz w:val="20"/>
        </w:rPr>
        <w:t>/about -&gt; &lt;h1&gt;About DevFlow | Enterprise Software &amp; AI Engineers&lt;/h1&gt;</w:t>
      </w:r>
    </w:p>
    <w:p>
      <w:pPr>
        <w:keepNext/>
        <w:spacing w:before="200" w:after="120"/>
      </w:pPr>
      <w:r>
        <w:rPr>
          <w:rFonts w:ascii="Calibri" w:hAnsi="Calibri"/>
          <w:b/>
          <w:color w:val="1E293B"/>
          <w:sz w:val="30"/>
        </w:rPr>
        <w:t>Phase 3: Technical Canonical &amp; E-E-A-T Refinement (Expected Recovery: +2.1 pts)</w:t>
      </w:r>
    </w:p>
    <w:p>
      <w:pPr>
        <w:pStyle w:val="ListBullet"/>
        <w:spacing w:before="40" w:after="40"/>
      </w:pPr>
      <w:r>
        <w:rPr>
          <w:rFonts w:ascii="Calibri" w:hAnsi="Calibri"/>
          <w:color w:val="334155"/>
          <w:sz w:val="20"/>
        </w:rPr>
        <w:t>Normalize Trailing Slashes across Nginx/Cloudflare redirect rules, canonical link tags, and sitemap.xml.</w:t>
      </w:r>
    </w:p>
    <w:p>
      <w:pPr>
        <w:pStyle w:val="ListBullet"/>
        <w:spacing w:before="40" w:after="40"/>
      </w:pPr>
      <w:r>
        <w:rPr>
          <w:rFonts w:ascii="Calibri" w:hAnsi="Calibri"/>
          <w:color w:val="334155"/>
          <w:sz w:val="20"/>
        </w:rPr>
        <w:t>Upgrade Blog Author Attribution to @type: Person schema linking to founder profiles (prince.devflow.co.in &amp; rajputbhavin.engineer).</w:t>
      </w:r>
    </w:p>
    <w:p>
      <w:pPr>
        <w:spacing w:after="200"/>
      </w:pPr>
    </w:p>
    <w:p>
      <w:pPr>
        <w:keepNext/>
        <w:spacing w:before="320" w:after="120"/>
      </w:pPr>
      <w:r>
        <w:rPr>
          <w:rFonts w:ascii="Calibri" w:hAnsi="Calibri"/>
          <w:b/>
          <w:color w:val="0E7490"/>
          <w:sz w:val="40"/>
        </w:rPr>
        <w:t>4. Key Technical Strengths &amp; GEO Highlights</w:t>
      </w:r>
    </w:p>
    <w:p>
      <w:pPr>
        <w:pStyle w:val="ListBullet"/>
        <w:spacing w:before="40" w:after="80"/>
      </w:pPr>
      <w:r>
        <w:rPr>
          <w:rFonts w:ascii="Calibri" w:hAnsi="Calibri"/>
          <w:color w:val="334155"/>
          <w:sz w:val="20"/>
        </w:rPr>
        <w:t>Outstanding Core Web Vitals &amp; Technical Speed: Fast server response times, clean Next.js/Cloudflare architecture, responsive viewport configuration, and zero missing image alt attributes.</w:t>
      </w:r>
    </w:p>
    <w:p>
      <w:pPr>
        <w:pStyle w:val="ListBullet"/>
        <w:spacing w:before="40" w:after="80"/>
      </w:pPr>
      <w:r>
        <w:rPr>
          <w:rFonts w:ascii="Calibri" w:hAnsi="Calibri"/>
          <w:color w:val="334155"/>
          <w:sz w:val="20"/>
        </w:rPr>
        <w:t>Pioneer in GEO (Generative Engine Optimization): Explicit integration of direct-answer FAQs, structured definitions, and key AI crawler access in robots.txt (GPTBot, ClaudeBot, PerplexityBot, OAI-SearchBot all allowed).</w:t>
      </w:r>
    </w:p>
    <w:p>
      <w:pPr>
        <w:pStyle w:val="ListBullet"/>
        <w:spacing w:before="40" w:after="80"/>
      </w:pPr>
      <w:r>
        <w:rPr>
          <w:rFonts w:ascii="Calibri" w:hAnsi="Calibri"/>
          <w:color w:val="334155"/>
          <w:sz w:val="20"/>
        </w:rPr>
        <w:t>Clean Internal Architecture: 1-to-1 canonical link tags across subpages and proper relative link structure for internal navigation.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