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014B1" w14:textId="77777777" w:rsidR="00A32E0C" w:rsidRDefault="00000000">
      <w:pPr>
        <w:spacing w:before="1600"/>
      </w:pPr>
      <w:r>
        <w:rPr>
          <w:b/>
          <w:bCs/>
          <w:color w:val="B8600A"/>
          <w:spacing w:val="60"/>
          <w:sz w:val="20"/>
          <w:szCs w:val="20"/>
        </w:rPr>
        <w:t>GBP  ·  TMS</w:t>
      </w:r>
    </w:p>
    <w:p w14:paraId="28268C3D" w14:textId="77777777" w:rsidR="00A32E0C" w:rsidRDefault="00000000">
      <w:pPr>
        <w:spacing w:before="240"/>
      </w:pPr>
      <w:r>
        <w:rPr>
          <w:b/>
          <w:bCs/>
          <w:sz w:val="56"/>
          <w:szCs w:val="56"/>
        </w:rPr>
        <w:t>Módulo de entregas</w:t>
      </w:r>
    </w:p>
    <w:p w14:paraId="69DED401" w14:textId="77777777" w:rsidR="00A32E0C" w:rsidRDefault="00000000">
      <w:pPr>
        <w:spacing w:before="100" w:after="300"/>
      </w:pPr>
      <w:r>
        <w:rPr>
          <w:color w:val="64748B"/>
          <w:sz w:val="26"/>
          <w:szCs w:val="26"/>
        </w:rPr>
        <w:t>Análisis funcional y revisión del diagrama UML</w:t>
      </w:r>
    </w:p>
    <w:p w14:paraId="24780E05" w14:textId="77777777" w:rsidR="00A32E0C" w:rsidRDefault="00A32E0C">
      <w:pPr>
        <w:pBdr>
          <w:bottom w:val="single" w:sz="6" w:space="1" w:color="D8DEE7"/>
        </w:pBdr>
        <w:spacing w:before="120" w:after="200"/>
      </w:pPr>
    </w:p>
    <w:p w14:paraId="2CBE9F9F" w14:textId="6A52BD07" w:rsidR="00A32E0C" w:rsidRDefault="00000000">
      <w:pPr>
        <w:spacing w:after="140" w:line="300" w:lineRule="auto"/>
      </w:pPr>
      <w:r>
        <w:rPr>
          <w:color w:val="64748B"/>
        </w:rPr>
        <w:t>Documento de análisis previo a la construcción del módulo. Recoge las definiciones del negocio confirmadas por el área de transporte, diagrama UML propuesto y deja planteada la tabla que soportará las entregas dentro del TMS.</w:t>
      </w:r>
    </w:p>
    <w:p w14:paraId="27FE6D61" w14:textId="77777777" w:rsidR="00A32E0C" w:rsidRDefault="00A32E0C">
      <w:pPr>
        <w:spacing w:before="800"/>
      </w:pPr>
    </w:p>
    <w:tbl>
      <w:tblPr>
        <w:tblW w:w="9640" w:type="dxa"/>
        <w:tblBorders>
          <w:top w:val="single" w:sz="2" w:space="0" w:color="C9D2DE"/>
          <w:left w:val="single" w:sz="2" w:space="0" w:color="C9D2DE"/>
          <w:bottom w:val="single" w:sz="2" w:space="0" w:color="C9D2DE"/>
          <w:right w:val="single" w:sz="2" w:space="0" w:color="C9D2DE"/>
          <w:insideH w:val="single" w:sz="2" w:space="0" w:color="E2E8F0"/>
          <w:insideV w:val="single" w:sz="2" w:space="0" w:color="E2E8F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40"/>
      </w:tblGrid>
      <w:tr w:rsidR="00A32E0C" w14:paraId="5F3A45E3" w14:textId="77777777">
        <w:trPr>
          <w:tblHeader/>
        </w:trPr>
        <w:tc>
          <w:tcPr>
            <w:tcW w:w="240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B6FB2D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724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4CEDE7E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A32E0C" w14:paraId="5AAEE0A4" w14:textId="77777777">
        <w:tc>
          <w:tcPr>
            <w:tcW w:w="2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98058E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Sistema</w:t>
            </w:r>
          </w:p>
        </w:tc>
        <w:tc>
          <w:tcPr>
            <w:tcW w:w="72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1A0E99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TMS Web — Gestión de transporte</w:t>
            </w:r>
          </w:p>
        </w:tc>
      </w:tr>
      <w:tr w:rsidR="00A32E0C" w14:paraId="5669676E" w14:textId="77777777">
        <w:tc>
          <w:tcPr>
            <w:tcW w:w="24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ECE459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Módulo</w:t>
            </w:r>
          </w:p>
        </w:tc>
        <w:tc>
          <w:tcPr>
            <w:tcW w:w="72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00EBF7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Entregas</w:t>
            </w:r>
          </w:p>
        </w:tc>
      </w:tr>
      <w:tr w:rsidR="00A32E0C" w:rsidRPr="00000131" w14:paraId="1ED7AADF" w14:textId="77777777">
        <w:tc>
          <w:tcPr>
            <w:tcW w:w="2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4B1CBBE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Origen datos</w:t>
            </w:r>
          </w:p>
        </w:tc>
        <w:tc>
          <w:tcPr>
            <w:tcW w:w="72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E1F743" w14:textId="77777777" w:rsidR="00A32E0C" w:rsidRPr="007728A9" w:rsidRDefault="00000000">
            <w:pPr>
              <w:spacing w:line="260" w:lineRule="auto"/>
              <w:rPr>
                <w:lang w:val="en-US"/>
              </w:rPr>
            </w:pPr>
            <w:r w:rsidRPr="007728A9">
              <w:rPr>
                <w:sz w:val="19"/>
                <w:szCs w:val="19"/>
                <w:lang w:val="en-US"/>
              </w:rPr>
              <w:t>SAP Business One (Service Layer)</w:t>
            </w:r>
          </w:p>
        </w:tc>
      </w:tr>
      <w:tr w:rsidR="00A32E0C" w14:paraId="422A2721" w14:textId="77777777">
        <w:tc>
          <w:tcPr>
            <w:tcW w:w="24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C2E535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72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E004F0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DataTMS (productiva)</w:t>
            </w:r>
          </w:p>
        </w:tc>
      </w:tr>
      <w:tr w:rsidR="00A32E0C" w14:paraId="3BC20BD5" w14:textId="77777777">
        <w:tc>
          <w:tcPr>
            <w:tcW w:w="2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C02D0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Estado</w:t>
            </w:r>
          </w:p>
        </w:tc>
        <w:tc>
          <w:tcPr>
            <w:tcW w:w="72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174DFFF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Análisis — pendiente de confirmar tres puntos abiertos</w:t>
            </w:r>
          </w:p>
        </w:tc>
      </w:tr>
      <w:tr w:rsidR="00A32E0C" w14:paraId="1554F84E" w14:textId="77777777">
        <w:tc>
          <w:tcPr>
            <w:tcW w:w="24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4CCE30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Fecha</w:t>
            </w:r>
          </w:p>
        </w:tc>
        <w:tc>
          <w:tcPr>
            <w:tcW w:w="72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8EB8D2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9 de septiembre de 2026</w:t>
            </w:r>
          </w:p>
        </w:tc>
      </w:tr>
    </w:tbl>
    <w:p w14:paraId="77C67BA9" w14:textId="77777777" w:rsidR="00A32E0C" w:rsidRDefault="00000000">
      <w:r>
        <w:br w:type="page"/>
      </w:r>
    </w:p>
    <w:p w14:paraId="1482EC7F" w14:textId="77777777" w:rsidR="00A32E0C" w:rsidRDefault="00000000">
      <w:pPr>
        <w:pStyle w:val="Ttulo1"/>
        <w:spacing w:before="340" w:after="180"/>
      </w:pPr>
      <w:r>
        <w:rPr>
          <w:b/>
          <w:bCs/>
          <w:color w:val="B8600A"/>
          <w:sz w:val="30"/>
          <w:szCs w:val="30"/>
        </w:rPr>
        <w:lastRenderedPageBreak/>
        <w:t>1. Qué hace el módulo</w:t>
      </w:r>
    </w:p>
    <w:p w14:paraId="7DB77F67" w14:textId="77777777" w:rsidR="00A32E0C" w:rsidRDefault="00000000">
      <w:pPr>
        <w:spacing w:after="140" w:line="300" w:lineRule="auto"/>
      </w:pPr>
      <w:r>
        <w:t>El módulo de entregas toma de SAP Business One los documentos de entrega ya generados y los pone en una tabla de trabajo para el supervisor de transporte. El supervisor arma viajes, asigna a cada viaje un piloto y un camión, y despacha. El piloto registra después el resultado de cada entrega desde la aplicación móvil que se construirá aparte.</w:t>
      </w:r>
    </w:p>
    <w:p w14:paraId="039F8643" w14:textId="77777777" w:rsidR="00A32E0C" w:rsidRDefault="00000000">
      <w:pPr>
        <w:spacing w:after="140" w:line="300" w:lineRule="auto"/>
      </w:pPr>
      <w:r>
        <w:t>El TMS no crea documentos en SAP ni interviene en la facturación: solo lee lo que SAP ya produjo y administra la logística de llevarlo al cliente.</w:t>
      </w:r>
    </w:p>
    <w:p w14:paraId="19EE64ED" w14:textId="79269824" w:rsidR="00A32E0C" w:rsidRDefault="009C4D38">
      <w:pPr>
        <w:pStyle w:val="Ttulo2"/>
        <w:spacing w:before="260" w:after="120"/>
      </w:pPr>
      <w:r>
        <w:rPr>
          <w:b/>
          <w:bCs/>
          <w:color w:val="1F2937"/>
          <w:sz w:val="24"/>
          <w:szCs w:val="24"/>
        </w:rPr>
        <w:t>Nombre de las definiciones</w:t>
      </w:r>
    </w:p>
    <w:tbl>
      <w:tblPr>
        <w:tblW w:w="9640" w:type="dxa"/>
        <w:tblBorders>
          <w:top w:val="single" w:sz="2" w:space="0" w:color="C9D2DE"/>
          <w:left w:val="single" w:sz="2" w:space="0" w:color="C9D2DE"/>
          <w:bottom w:val="single" w:sz="2" w:space="0" w:color="C9D2DE"/>
          <w:right w:val="single" w:sz="2" w:space="0" w:color="C9D2DE"/>
          <w:insideH w:val="single" w:sz="2" w:space="0" w:color="E2E8F0"/>
          <w:insideV w:val="single" w:sz="2" w:space="0" w:color="E2E8F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740"/>
      </w:tblGrid>
      <w:tr w:rsidR="00A32E0C" w14:paraId="15E6CC08" w14:textId="77777777">
        <w:trPr>
          <w:tblHeader/>
        </w:trPr>
        <w:tc>
          <w:tcPr>
            <w:tcW w:w="190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A28E7E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74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417308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Qué significa aquí</w:t>
            </w:r>
          </w:p>
        </w:tc>
      </w:tr>
      <w:tr w:rsidR="00A32E0C" w14:paraId="3FD55172" w14:textId="77777777">
        <w:tc>
          <w:tcPr>
            <w:tcW w:w="19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2E0561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Orden de venta</w:t>
            </w:r>
          </w:p>
        </w:tc>
        <w:tc>
          <w:tcPr>
            <w:tcW w:w="77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A91361A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El pedido del cliente registrado en SAP (ORDR, tipo 17). Es el documento que origina todo lo demás y el número por el que el cliente reconoce su compra.</w:t>
            </w:r>
          </w:p>
        </w:tc>
      </w:tr>
      <w:tr w:rsidR="00A32E0C" w14:paraId="0C4A9611" w14:textId="77777777">
        <w:tc>
          <w:tcPr>
            <w:tcW w:w="19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A25F9F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Entrega</w:t>
            </w:r>
          </w:p>
        </w:tc>
        <w:tc>
          <w:tcPr>
            <w:tcW w:w="77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3B5576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El documento de salida de mercadería de SAP (ODLN, tipo 15). Es la unidad de trabajo del módulo: una fila del TMS por cada entrega de SAP.</w:t>
            </w:r>
          </w:p>
        </w:tc>
      </w:tr>
      <w:tr w:rsidR="00A32E0C" w14:paraId="61259610" w14:textId="77777777">
        <w:tc>
          <w:tcPr>
            <w:tcW w:w="19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46BC9F1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Boleta</w:t>
            </w:r>
          </w:p>
        </w:tc>
        <w:tc>
          <w:tcPr>
            <w:tcW w:w="77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2EEC21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El papel impreso de esa entrega, el que el piloto lleva físicamente y el cliente firma al recibir.</w:t>
            </w:r>
          </w:p>
        </w:tc>
      </w:tr>
      <w:tr w:rsidR="00A32E0C" w14:paraId="64660957" w14:textId="77777777">
        <w:tc>
          <w:tcPr>
            <w:tcW w:w="19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FAC91D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Factura</w:t>
            </w:r>
          </w:p>
        </w:tc>
        <w:tc>
          <w:tcPr>
            <w:tcW w:w="77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5024D8E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El documento fiscal (OINV, tipo 13) que emite el facturador en SAP. Sin factura la entrega no sale.</w:t>
            </w:r>
          </w:p>
        </w:tc>
      </w:tr>
      <w:tr w:rsidR="00A32E0C" w14:paraId="04B07981" w14:textId="77777777">
        <w:tc>
          <w:tcPr>
            <w:tcW w:w="19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8136C2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Viaje</w:t>
            </w:r>
          </w:p>
        </w:tc>
        <w:tc>
          <w:tcPr>
            <w:tcW w:w="77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1E7663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Un conjunto de entregas asignadas a un mismo piloto con un mismo camión, para recorrer en una salida.</w:t>
            </w:r>
          </w:p>
        </w:tc>
      </w:tr>
      <w:tr w:rsidR="00A32E0C" w14:paraId="676A09AC" w14:textId="77777777">
        <w:tc>
          <w:tcPr>
            <w:tcW w:w="19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31EC8F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Supervisor de transporte</w:t>
            </w:r>
          </w:p>
        </w:tc>
        <w:tc>
          <w:tcPr>
            <w:tcW w:w="77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4CE13E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Quien decide qué entregas van en cada viaje, con qué piloto y en qué camión.</w:t>
            </w:r>
          </w:p>
        </w:tc>
      </w:tr>
    </w:tbl>
    <w:p w14:paraId="6A02047E" w14:textId="77777777" w:rsidR="00A32E0C" w:rsidRDefault="00A32E0C">
      <w:pPr>
        <w:spacing w:before="200"/>
      </w:pPr>
    </w:p>
    <w:p w14:paraId="6A733D06" w14:textId="77777777" w:rsidR="00A32E0C" w:rsidRDefault="00000000">
      <w:pPr>
        <w:spacing w:after="140" w:line="300" w:lineRule="auto"/>
      </w:pPr>
      <w:r>
        <w:rPr>
          <w:b/>
          <w:bCs/>
          <w:color w:val="B8600A"/>
        </w:rPr>
        <w:t xml:space="preserve">Confirmado con SAP. </w:t>
      </w:r>
      <w:r>
        <w:t>El mapa de relaciones de un documento real muestra la cadena completa: orden de venta 125962 → entrega 153755 → factura 202814, todas del 31/08/2026 por QTZ 104.20. El número de orden de venta se lee de ORDR.DocNum; el campo «número de referencia del cliente» (NumAtCard) viene vacío en la operación, así que no se usa.</w:t>
      </w:r>
    </w:p>
    <w:p w14:paraId="17DAF875" w14:textId="77777777" w:rsidR="00000131" w:rsidRDefault="00000131">
      <w:pPr>
        <w:spacing w:after="140" w:line="300" w:lineRule="auto"/>
      </w:pPr>
    </w:p>
    <w:p w14:paraId="6110760E" w14:textId="77777777" w:rsidR="00000131" w:rsidRDefault="00000131">
      <w:pPr>
        <w:spacing w:after="140" w:line="300" w:lineRule="auto"/>
      </w:pPr>
    </w:p>
    <w:p w14:paraId="12FE92F3" w14:textId="77777777" w:rsidR="00000131" w:rsidRDefault="00000131">
      <w:pPr>
        <w:spacing w:after="140" w:line="300" w:lineRule="auto"/>
      </w:pPr>
    </w:p>
    <w:p w14:paraId="0EA997EB" w14:textId="77777777" w:rsidR="00000131" w:rsidRDefault="00000131">
      <w:pPr>
        <w:spacing w:after="140" w:line="300" w:lineRule="auto"/>
      </w:pPr>
    </w:p>
    <w:p w14:paraId="7C2722A5" w14:textId="77777777" w:rsidR="00000131" w:rsidRDefault="00000131">
      <w:pPr>
        <w:spacing w:after="140" w:line="300" w:lineRule="auto"/>
      </w:pPr>
    </w:p>
    <w:p w14:paraId="4A9BEAC7" w14:textId="77777777" w:rsidR="00000131" w:rsidRDefault="00000131">
      <w:pPr>
        <w:spacing w:after="140" w:line="300" w:lineRule="auto"/>
      </w:pPr>
    </w:p>
    <w:p w14:paraId="1452CB05" w14:textId="77777777" w:rsidR="00000131" w:rsidRDefault="00000131">
      <w:pPr>
        <w:spacing w:after="140" w:line="300" w:lineRule="auto"/>
      </w:pPr>
    </w:p>
    <w:p w14:paraId="789C9107" w14:textId="77777777" w:rsidR="00000131" w:rsidRDefault="00000131">
      <w:pPr>
        <w:spacing w:after="140" w:line="300" w:lineRule="auto"/>
      </w:pPr>
    </w:p>
    <w:p w14:paraId="61F8F48E" w14:textId="61E0BC92" w:rsidR="00A32E0C" w:rsidRDefault="00000000">
      <w:pPr>
        <w:pStyle w:val="Ttulo1"/>
        <w:spacing w:before="340" w:after="180"/>
      </w:pPr>
      <w:r>
        <w:rPr>
          <w:b/>
          <w:bCs/>
          <w:color w:val="B8600A"/>
          <w:sz w:val="30"/>
          <w:szCs w:val="30"/>
        </w:rPr>
        <w:lastRenderedPageBreak/>
        <w:t>2. Casos de uso</w:t>
      </w:r>
    </w:p>
    <w:p w14:paraId="0FD59A4E" w14:textId="77777777" w:rsidR="00A32E0C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61DA93A" wp14:editId="2AF1D948">
            <wp:extent cx="5905500" cy="3448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845DE" w14:textId="77777777" w:rsidR="00A32E0C" w:rsidRDefault="00000000">
      <w:pPr>
        <w:pStyle w:val="Ttulo1"/>
        <w:spacing w:before="340" w:after="180"/>
      </w:pPr>
      <w:r>
        <w:rPr>
          <w:b/>
          <w:bCs/>
          <w:color w:val="B8600A"/>
          <w:sz w:val="30"/>
          <w:szCs w:val="30"/>
        </w:rPr>
        <w:t>3. La cadena documental</w:t>
      </w:r>
    </w:p>
    <w:p w14:paraId="591D15A3" w14:textId="77777777" w:rsidR="00A32E0C" w:rsidRDefault="00000000">
      <w:pPr>
        <w:spacing w:after="140" w:line="300" w:lineRule="auto"/>
      </w:pPr>
      <w:r>
        <w:t>Los tres documentos que menciona el negocio no son alternativas: son eslabones de una misma cadena dentro de SAP, encadenados por el mapa de relaciones. Entender el orden evita duplicar campos en la tabla del TMS.</w:t>
      </w:r>
    </w:p>
    <w:p w14:paraId="4BD3ECB3" w14:textId="77777777" w:rsidR="00A32E0C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B297660" wp14:editId="20AF04D6">
            <wp:extent cx="5905500" cy="2333625"/>
            <wp:effectExtent l="0" t="0" r="0" b="0"/>
            <wp:docPr id="2087230970" name="Imagen 2087230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179B1" w14:textId="77777777" w:rsidR="00024A91" w:rsidRDefault="00024A91">
      <w:pPr>
        <w:spacing w:after="140" w:line="300" w:lineRule="auto"/>
        <w:rPr>
          <w:i/>
          <w:iCs/>
          <w:color w:val="64748B"/>
          <w:sz w:val="17"/>
          <w:szCs w:val="17"/>
        </w:rPr>
      </w:pPr>
    </w:p>
    <w:p w14:paraId="6F07BB16" w14:textId="56400CA2" w:rsidR="00A32E0C" w:rsidRDefault="00000000">
      <w:pPr>
        <w:spacing w:after="140" w:line="300" w:lineRule="auto"/>
      </w:pPr>
      <w:r>
        <w:t>Se guardan los tres números en la misma fila porque cada uno sirve a un interlocutor distinto: el número de entrega identifica la boleta que lleva el piloto, la orden de venta es lo que el cliente pregunta cuando llama, y el número de factura es lo que se cobra.</w:t>
      </w:r>
    </w:p>
    <w:p w14:paraId="16A12073" w14:textId="77777777" w:rsidR="00A32E0C" w:rsidRDefault="00000000">
      <w:pPr>
        <w:pStyle w:val="Ttulo1"/>
        <w:spacing w:before="340" w:after="180"/>
      </w:pPr>
      <w:r>
        <w:rPr>
          <w:b/>
          <w:bCs/>
          <w:color w:val="B8600A"/>
          <w:sz w:val="30"/>
          <w:szCs w:val="30"/>
        </w:rPr>
        <w:lastRenderedPageBreak/>
        <w:t>4. Modelo de datos</w:t>
      </w:r>
    </w:p>
    <w:p w14:paraId="3E668D28" w14:textId="77777777" w:rsidR="00A32E0C" w:rsidRDefault="00000000">
      <w:pPr>
        <w:spacing w:after="140" w:line="300" w:lineRule="auto"/>
      </w:pPr>
      <w:r>
        <w:t>El punto que más cambia respecto del diagrama original es la relación entre entrega y viaje. En la propuesta inicial toda entrega pertenecía a un viaje. En la operación real una entrega recién sincronizada de SAP existe sin viaje: está esperando en la tabla del supervisor a que alguien la asigne. Por eso la cardinalidad es 0..1, no 1.</w:t>
      </w:r>
    </w:p>
    <w:p w14:paraId="7F4205E7" w14:textId="77777777" w:rsidR="00A32E0C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55955EA" wp14:editId="7F41D97B">
            <wp:extent cx="5905500" cy="2362200"/>
            <wp:effectExtent l="0" t="0" r="0" b="0"/>
            <wp:docPr id="219752411" name="Imagen 219752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6EF9" w14:textId="77777777" w:rsidR="00A32E0C" w:rsidRDefault="00000000">
      <w:pPr>
        <w:spacing w:after="240"/>
        <w:jc w:val="center"/>
      </w:pPr>
      <w:r>
        <w:rPr>
          <w:i/>
          <w:iCs/>
          <w:color w:val="64748B"/>
          <w:sz w:val="17"/>
          <w:szCs w:val="17"/>
        </w:rPr>
        <w:t>Figura 3. Modelo de dominio. Unidad y usuario ya existen en el TMS; entrega y viaje son lo nuevo.</w:t>
      </w:r>
    </w:p>
    <w:p w14:paraId="70530A44" w14:textId="77777777" w:rsidR="00A32E0C" w:rsidRDefault="00000000">
      <w:pPr>
        <w:pStyle w:val="Ttulo2"/>
        <w:spacing w:before="260" w:after="120"/>
      </w:pPr>
      <w:r>
        <w:rPr>
          <w:b/>
          <w:bCs/>
          <w:color w:val="1F2937"/>
          <w:sz w:val="24"/>
          <w:szCs w:val="24"/>
        </w:rPr>
        <w:t>Tabla propuesta</w:t>
      </w:r>
    </w:p>
    <w:p w14:paraId="3CBDBB4E" w14:textId="77777777" w:rsidR="00A32E0C" w:rsidRDefault="00000000">
      <w:pPr>
        <w:spacing w:after="140" w:line="300" w:lineRule="auto"/>
      </w:pPr>
      <w:r>
        <w:t>Se propone una sola tabla nueva para el módulo, siguiendo la convención del proyecto tbl_gbp_tms_*. No se descompone en líneas de detalle porque el TMS no necesita el detalle de artículos: la unidad de decisión logística es el documento completo.</w:t>
      </w:r>
    </w:p>
    <w:tbl>
      <w:tblPr>
        <w:tblW w:w="9640" w:type="dxa"/>
        <w:tblBorders>
          <w:top w:val="single" w:sz="2" w:space="0" w:color="C9D2DE"/>
          <w:left w:val="single" w:sz="2" w:space="0" w:color="C9D2DE"/>
          <w:bottom w:val="single" w:sz="2" w:space="0" w:color="C9D2DE"/>
          <w:right w:val="single" w:sz="2" w:space="0" w:color="C9D2DE"/>
          <w:insideH w:val="single" w:sz="2" w:space="0" w:color="E2E8F0"/>
          <w:insideV w:val="single" w:sz="2" w:space="0" w:color="E2E8F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5640"/>
      </w:tblGrid>
      <w:tr w:rsidR="00A32E0C" w14:paraId="003FD4E0" w14:textId="77777777">
        <w:trPr>
          <w:tblHeader/>
        </w:trPr>
        <w:tc>
          <w:tcPr>
            <w:tcW w:w="230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C768B1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170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082178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64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F8EA42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A32E0C" w14:paraId="3DE14D2F" w14:textId="77777777">
        <w:tc>
          <w:tcPr>
            <w:tcW w:w="2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BD64242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id_entrega</w:t>
            </w:r>
          </w:p>
        </w:tc>
        <w:tc>
          <w:tcPr>
            <w:tcW w:w="17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B8B040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int identity</w:t>
            </w:r>
          </w:p>
        </w:tc>
        <w:tc>
          <w:tcPr>
            <w:tcW w:w="56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4E5A0C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Llave primaria interna.</w:t>
            </w:r>
          </w:p>
        </w:tc>
      </w:tr>
      <w:tr w:rsidR="00A32E0C" w14:paraId="694E2A17" w14:textId="77777777">
        <w:tc>
          <w:tcPr>
            <w:tcW w:w="23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5AE137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sap_doc_entry</w:t>
            </w:r>
          </w:p>
        </w:tc>
        <w:tc>
          <w:tcPr>
            <w:tcW w:w="17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7EA5FD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56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B2BECA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Identificador interno de SAP. Es la llave real de sincronización: único.</w:t>
            </w:r>
          </w:p>
        </w:tc>
      </w:tr>
      <w:tr w:rsidR="00A32E0C" w14:paraId="54970FF5" w14:textId="77777777">
        <w:tc>
          <w:tcPr>
            <w:tcW w:w="2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B1A4F8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sap_doc_num</w:t>
            </w:r>
          </w:p>
        </w:tc>
        <w:tc>
          <w:tcPr>
            <w:tcW w:w="17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12BE86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56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23DB0C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Número visible de la entrega. Es el número de boleta que lleva el piloto.</w:t>
            </w:r>
          </w:p>
        </w:tc>
      </w:tr>
      <w:tr w:rsidR="00A32E0C" w14:paraId="2FCC2405" w14:textId="77777777">
        <w:tc>
          <w:tcPr>
            <w:tcW w:w="23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24C1779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sap_orden_venta</w:t>
            </w:r>
          </w:p>
        </w:tc>
        <w:tc>
          <w:tcPr>
            <w:tcW w:w="17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2D6541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56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9268D2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Número de la orden de venta que originó la entrega (ORDR.DocNum).</w:t>
            </w:r>
          </w:p>
        </w:tc>
      </w:tr>
      <w:tr w:rsidR="00A32E0C" w14:paraId="1F54478D" w14:textId="77777777">
        <w:tc>
          <w:tcPr>
            <w:tcW w:w="2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58EA4AA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sap_factura_num</w:t>
            </w:r>
          </w:p>
        </w:tc>
        <w:tc>
          <w:tcPr>
            <w:tcW w:w="17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4FE73A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int null</w:t>
            </w:r>
          </w:p>
        </w:tc>
        <w:tc>
          <w:tcPr>
            <w:tcW w:w="56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664AE6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Número de factura. Nulo mientras el facturador no la emita.</w:t>
            </w:r>
          </w:p>
        </w:tc>
      </w:tr>
      <w:tr w:rsidR="00A32E0C" w14:paraId="22E7F528" w14:textId="77777777">
        <w:tc>
          <w:tcPr>
            <w:tcW w:w="23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49B892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cliente_codigo</w:t>
            </w:r>
          </w:p>
        </w:tc>
        <w:tc>
          <w:tcPr>
            <w:tcW w:w="17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A3ABCC3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56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A686B44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Código del cliente en SAP.</w:t>
            </w:r>
          </w:p>
        </w:tc>
      </w:tr>
      <w:tr w:rsidR="00A32E0C" w14:paraId="70E34C5F" w14:textId="77777777">
        <w:tc>
          <w:tcPr>
            <w:tcW w:w="2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7B4D720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cliente_nombre</w:t>
            </w:r>
          </w:p>
        </w:tc>
        <w:tc>
          <w:tcPr>
            <w:tcW w:w="17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ADA711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varchar(150)</w:t>
            </w:r>
          </w:p>
        </w:tc>
        <w:tc>
          <w:tcPr>
            <w:tcW w:w="56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EF2BF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Nombre del cliente, copiado para no depender de SAP al listar.</w:t>
            </w:r>
          </w:p>
        </w:tc>
      </w:tr>
      <w:tr w:rsidR="00A32E0C" w14:paraId="43CA7965" w14:textId="77777777">
        <w:tc>
          <w:tcPr>
            <w:tcW w:w="23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F5C12F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direccion</w:t>
            </w:r>
          </w:p>
        </w:tc>
        <w:tc>
          <w:tcPr>
            <w:tcW w:w="17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011ED6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varchar(300)</w:t>
            </w:r>
          </w:p>
        </w:tc>
        <w:tc>
          <w:tcPr>
            <w:tcW w:w="56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08CDC3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Dirección de entrega tal como viene del documento.</w:t>
            </w:r>
          </w:p>
        </w:tc>
      </w:tr>
      <w:tr w:rsidR="00A32E0C" w14:paraId="425613B8" w14:textId="77777777">
        <w:tc>
          <w:tcPr>
            <w:tcW w:w="2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A00370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municipio</w:t>
            </w:r>
          </w:p>
        </w:tc>
        <w:tc>
          <w:tcPr>
            <w:tcW w:w="17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B0C12C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varchar(80)</w:t>
            </w:r>
          </w:p>
        </w:tc>
        <w:tc>
          <w:tcPr>
            <w:tcW w:w="56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EF7487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Sirve para agrupar entregas cercanas al armar el viaje.</w:t>
            </w:r>
          </w:p>
        </w:tc>
      </w:tr>
      <w:tr w:rsidR="00A32E0C" w14:paraId="5F3D460E" w14:textId="77777777">
        <w:tc>
          <w:tcPr>
            <w:tcW w:w="23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3F47EA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peso_kg</w:t>
            </w:r>
          </w:p>
        </w:tc>
        <w:tc>
          <w:tcPr>
            <w:tcW w:w="17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5B6E68D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decimal(12,3)</w:t>
            </w:r>
          </w:p>
        </w:tc>
        <w:tc>
          <w:tcPr>
            <w:tcW w:w="56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4B78385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Peso total. Se compara contra la capacidad del camión.</w:t>
            </w:r>
          </w:p>
        </w:tc>
      </w:tr>
      <w:tr w:rsidR="00A32E0C" w14:paraId="1F3E41BE" w14:textId="77777777">
        <w:tc>
          <w:tcPr>
            <w:tcW w:w="2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B55E87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monto</w:t>
            </w:r>
          </w:p>
        </w:tc>
        <w:tc>
          <w:tcPr>
            <w:tcW w:w="17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4F839E8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decimal(18,2)</w:t>
            </w:r>
          </w:p>
        </w:tc>
        <w:tc>
          <w:tcPr>
            <w:tcW w:w="56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6375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Valor del documento, para control.</w:t>
            </w:r>
          </w:p>
        </w:tc>
      </w:tr>
      <w:tr w:rsidR="00A32E0C" w14:paraId="2744A64F" w14:textId="77777777">
        <w:tc>
          <w:tcPr>
            <w:tcW w:w="23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6CDF61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lastRenderedPageBreak/>
              <w:t>fecha_documento</w:t>
            </w:r>
          </w:p>
        </w:tc>
        <w:tc>
          <w:tcPr>
            <w:tcW w:w="17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C25F69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56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CD30A72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Fecha con la que SAP emitió la entrega.</w:t>
            </w:r>
          </w:p>
        </w:tc>
      </w:tr>
      <w:tr w:rsidR="00A32E0C" w14:paraId="6CEC7286" w14:textId="77777777">
        <w:tc>
          <w:tcPr>
            <w:tcW w:w="2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ACF7F3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estado</w:t>
            </w:r>
          </w:p>
        </w:tc>
        <w:tc>
          <w:tcPr>
            <w:tcW w:w="17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B0D12F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56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55E2DA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Estado dentro del TMS. Ver punto 5.</w:t>
            </w:r>
          </w:p>
        </w:tc>
      </w:tr>
      <w:tr w:rsidR="00A32E0C" w14:paraId="1DEB0ADE" w14:textId="77777777">
        <w:tc>
          <w:tcPr>
            <w:tcW w:w="23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5F27AC3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id_viaje</w:t>
            </w:r>
          </w:p>
        </w:tc>
        <w:tc>
          <w:tcPr>
            <w:tcW w:w="17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5C5CE4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int null</w:t>
            </w:r>
          </w:p>
        </w:tc>
        <w:tc>
          <w:tcPr>
            <w:tcW w:w="56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644656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Viaje al que se asignó. Nulo mientras esté pendiente.</w:t>
            </w:r>
          </w:p>
        </w:tc>
      </w:tr>
      <w:tr w:rsidR="00A32E0C" w14:paraId="63225B6C" w14:textId="77777777">
        <w:tc>
          <w:tcPr>
            <w:tcW w:w="2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0CA4EA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fecha_sincronizacion</w:t>
            </w:r>
          </w:p>
        </w:tc>
        <w:tc>
          <w:tcPr>
            <w:tcW w:w="17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1F7CAC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datetime2</w:t>
            </w:r>
          </w:p>
        </w:tc>
        <w:tc>
          <w:tcPr>
            <w:tcW w:w="56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FEC041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Cuándo se trajo o actualizó desde SAP.</w:t>
            </w:r>
          </w:p>
        </w:tc>
      </w:tr>
      <w:tr w:rsidR="00A32E0C" w14:paraId="4859F6F5" w14:textId="77777777">
        <w:tc>
          <w:tcPr>
            <w:tcW w:w="23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1A27F6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activo</w:t>
            </w:r>
          </w:p>
        </w:tc>
        <w:tc>
          <w:tcPr>
            <w:tcW w:w="17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7BC728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bit</w:t>
            </w:r>
          </w:p>
        </w:tc>
        <w:tc>
          <w:tcPr>
            <w:tcW w:w="56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942B9D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Baja lógica, igual que en el resto del sistema.</w:t>
            </w:r>
          </w:p>
        </w:tc>
      </w:tr>
    </w:tbl>
    <w:p w14:paraId="3E63F570" w14:textId="77777777" w:rsidR="00A32E0C" w:rsidRDefault="00A32E0C">
      <w:pPr>
        <w:spacing w:before="200"/>
      </w:pPr>
    </w:p>
    <w:p w14:paraId="1BCB9AC3" w14:textId="77777777" w:rsidR="00A32E0C" w:rsidRDefault="00000000">
      <w:pPr>
        <w:spacing w:after="100" w:line="300" w:lineRule="auto"/>
      </w:pPr>
      <w:r>
        <w:t>Dos reglas de integridad que conviene dejar en la base y no en el código:</w:t>
      </w:r>
    </w:p>
    <w:p w14:paraId="6CFCF2D8" w14:textId="77777777" w:rsidR="00A32E0C" w:rsidRDefault="00000000">
      <w:pPr>
        <w:pStyle w:val="Prrafodelista"/>
        <w:numPr>
          <w:ilvl w:val="0"/>
          <w:numId w:val="3"/>
        </w:numPr>
        <w:spacing w:after="90" w:line="300" w:lineRule="auto"/>
      </w:pPr>
      <w:r>
        <w:t>Índice único sobre sap_doc_entry. Es lo que hace que sincronizar dos veces actualice la fila en vez de duplicarla.</w:t>
      </w:r>
    </w:p>
    <w:p w14:paraId="3EFD37AA" w14:textId="77777777" w:rsidR="00A32E0C" w:rsidRDefault="00000000">
      <w:pPr>
        <w:pStyle w:val="Prrafodelista"/>
        <w:numPr>
          <w:ilvl w:val="0"/>
          <w:numId w:val="3"/>
        </w:numPr>
        <w:spacing w:after="90" w:line="300" w:lineRule="auto"/>
      </w:pPr>
      <w:r>
        <w:t>Restricción que impida asignar a un viaje una entrega sin factura. La operación no admite despachar mercadería sin documento fiscal, así que el motor debe rechazarlo aunque la pantalla lo permitiera por error.</w:t>
      </w:r>
    </w:p>
    <w:p w14:paraId="134D3D84" w14:textId="77777777" w:rsidR="00A32E0C" w:rsidRDefault="00000000">
      <w:pPr>
        <w:pStyle w:val="Ttulo1"/>
        <w:spacing w:before="340" w:after="180"/>
      </w:pPr>
      <w:r>
        <w:rPr>
          <w:b/>
          <w:bCs/>
          <w:color w:val="B8600A"/>
          <w:sz w:val="30"/>
          <w:szCs w:val="30"/>
        </w:rPr>
        <w:t>5. Ciclo de vida de una entrega</w:t>
      </w:r>
    </w:p>
    <w:p w14:paraId="153DB2BE" w14:textId="77777777" w:rsidR="00A32E0C" w:rsidRDefault="00000000">
      <w:pPr>
        <w:spacing w:after="140" w:line="300" w:lineRule="auto"/>
      </w:pPr>
      <w:r>
        <w:t>Se retira el estado PARCIAL que aparecía en la propuesta original: se confirmó que no se parcializan entregas. Una entrega se entrega completa o se rechaza.</w:t>
      </w:r>
    </w:p>
    <w:p w14:paraId="7AFEE8EE" w14:textId="77777777" w:rsidR="00A32E0C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C413E0B" wp14:editId="0DF5F74D">
            <wp:extent cx="5905500" cy="1571625"/>
            <wp:effectExtent l="0" t="0" r="0" b="0"/>
            <wp:docPr id="1009079429" name="Imagen 1009079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ADE5C" w14:textId="77777777" w:rsidR="00A32E0C" w:rsidRDefault="00000000">
      <w:pPr>
        <w:spacing w:after="240"/>
        <w:jc w:val="center"/>
      </w:pPr>
      <w:r>
        <w:rPr>
          <w:i/>
          <w:iCs/>
          <w:color w:val="64748B"/>
          <w:sz w:val="17"/>
          <w:szCs w:val="17"/>
        </w:rPr>
        <w:t>Figura 4. Estados de una entrega. El paso de SIN_FACTURA a PENDIENTE lo dispara el facturador desde SAP, no el TMS.</w:t>
      </w:r>
    </w:p>
    <w:tbl>
      <w:tblPr>
        <w:tblW w:w="9640" w:type="dxa"/>
        <w:tblBorders>
          <w:top w:val="single" w:sz="2" w:space="0" w:color="C9D2DE"/>
          <w:left w:val="single" w:sz="2" w:space="0" w:color="C9D2DE"/>
          <w:bottom w:val="single" w:sz="2" w:space="0" w:color="C9D2DE"/>
          <w:right w:val="single" w:sz="2" w:space="0" w:color="C9D2DE"/>
          <w:insideH w:val="single" w:sz="2" w:space="0" w:color="E2E8F0"/>
          <w:insideV w:val="single" w:sz="2" w:space="0" w:color="E2E8F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5290"/>
        <w:gridCol w:w="2600"/>
      </w:tblGrid>
      <w:tr w:rsidR="00A32E0C" w14:paraId="3E12D47D" w14:textId="77777777">
        <w:trPr>
          <w:tblHeader/>
        </w:trPr>
        <w:tc>
          <w:tcPr>
            <w:tcW w:w="175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71387B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529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907DFB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Qué significa</w:t>
            </w:r>
          </w:p>
        </w:tc>
        <w:tc>
          <w:tcPr>
            <w:tcW w:w="260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3DE1FA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Quién lo provoca</w:t>
            </w:r>
          </w:p>
        </w:tc>
      </w:tr>
      <w:tr w:rsidR="00A32E0C" w14:paraId="00B7B759" w14:textId="77777777">
        <w:tc>
          <w:tcPr>
            <w:tcW w:w="175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6EA0BE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SIN_FACTURA</w:t>
            </w:r>
          </w:p>
        </w:tc>
        <w:tc>
          <w:tcPr>
            <w:tcW w:w="529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197C73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Llegó de SAP pero todavía no tiene factura. No puede asignarse.</w:t>
            </w:r>
          </w:p>
        </w:tc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AC8497A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Sincronización</w:t>
            </w:r>
          </w:p>
        </w:tc>
      </w:tr>
      <w:tr w:rsidR="00A32E0C" w14:paraId="05943A07" w14:textId="77777777">
        <w:tc>
          <w:tcPr>
            <w:tcW w:w="175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0185A2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PENDIENTE</w:t>
            </w:r>
          </w:p>
        </w:tc>
        <w:tc>
          <w:tcPr>
            <w:tcW w:w="529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06974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Ya tiene factura y espera que la asignen a un viaje.</w:t>
            </w:r>
          </w:p>
        </w:tc>
        <w:tc>
          <w:tcPr>
            <w:tcW w:w="26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8A3EB3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Facturador (en SAP)</w:t>
            </w:r>
          </w:p>
        </w:tc>
      </w:tr>
      <w:tr w:rsidR="00A32E0C" w14:paraId="242FA7C8" w14:textId="77777777">
        <w:tc>
          <w:tcPr>
            <w:tcW w:w="175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82C402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ASIGNADA</w:t>
            </w:r>
          </w:p>
        </w:tc>
        <w:tc>
          <w:tcPr>
            <w:tcW w:w="529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A653AD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Forma parte de un viaje que aún no sale.</w:t>
            </w:r>
          </w:p>
        </w:tc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E4CA3F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Supervisor</w:t>
            </w:r>
          </w:p>
        </w:tc>
      </w:tr>
      <w:tr w:rsidR="00A32E0C" w14:paraId="0887A233" w14:textId="77777777">
        <w:tc>
          <w:tcPr>
            <w:tcW w:w="175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4475C7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EN_RUTA</w:t>
            </w:r>
          </w:p>
        </w:tc>
        <w:tc>
          <w:tcPr>
            <w:tcW w:w="529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673022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El viaje fue despachado y va en camino.</w:t>
            </w:r>
          </w:p>
        </w:tc>
        <w:tc>
          <w:tcPr>
            <w:tcW w:w="26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AE3DDB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Supervisor</w:t>
            </w:r>
          </w:p>
        </w:tc>
      </w:tr>
      <w:tr w:rsidR="00A32E0C" w14:paraId="347A16BF" w14:textId="77777777">
        <w:tc>
          <w:tcPr>
            <w:tcW w:w="175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663560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ENTREGADA</w:t>
            </w:r>
          </w:p>
        </w:tc>
        <w:tc>
          <w:tcPr>
            <w:tcW w:w="529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1A7C38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El cliente la recibió y firmó la boleta.</w:t>
            </w:r>
          </w:p>
        </w:tc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1C29BD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Piloto (TMS Móvil)</w:t>
            </w:r>
          </w:p>
        </w:tc>
      </w:tr>
      <w:tr w:rsidR="00A32E0C" w14:paraId="5501FC07" w14:textId="77777777">
        <w:tc>
          <w:tcPr>
            <w:tcW w:w="175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AC7641E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RECHAZADA</w:t>
            </w:r>
          </w:p>
        </w:tc>
        <w:tc>
          <w:tcPr>
            <w:tcW w:w="529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58BEB8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El cliente no la recibió. Regresa a bodega.</w:t>
            </w:r>
          </w:p>
        </w:tc>
        <w:tc>
          <w:tcPr>
            <w:tcW w:w="26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99814C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Piloto (TMS Móvil)</w:t>
            </w:r>
          </w:p>
        </w:tc>
      </w:tr>
      <w:tr w:rsidR="00A32E0C" w14:paraId="2C7A9BC6" w14:textId="77777777">
        <w:tc>
          <w:tcPr>
            <w:tcW w:w="175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2E73F5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ANULADA</w:t>
            </w:r>
          </w:p>
        </w:tc>
        <w:tc>
          <w:tcPr>
            <w:tcW w:w="529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23488F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SAP canceló el documento antes de que saliera.</w:t>
            </w:r>
          </w:p>
        </w:tc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A36587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Sincronización</w:t>
            </w:r>
          </w:p>
        </w:tc>
      </w:tr>
    </w:tbl>
    <w:p w14:paraId="76B6C974" w14:textId="77777777" w:rsidR="00A32E0C" w:rsidRDefault="00A32E0C">
      <w:pPr>
        <w:spacing w:before="200"/>
      </w:pPr>
    </w:p>
    <w:p w14:paraId="5D5B4EC4" w14:textId="77777777" w:rsidR="00A32E0C" w:rsidRDefault="00000000">
      <w:pPr>
        <w:spacing w:after="140" w:line="300" w:lineRule="auto"/>
      </w:pPr>
      <w:r>
        <w:t>Mientras la entrega está en ASIGNADA el supervisor puede quitarla del viaje y devolverla a PENDIENTE. Una vez en EN_RUTA ya no: el camión salió y el cambio tendría que registrarse como rechazo.</w:t>
      </w:r>
    </w:p>
    <w:p w14:paraId="12E99723" w14:textId="77777777" w:rsidR="00A32E0C" w:rsidRDefault="00000000">
      <w:pPr>
        <w:pStyle w:val="Ttulo1"/>
        <w:spacing w:before="340" w:after="180"/>
      </w:pPr>
      <w:r>
        <w:rPr>
          <w:b/>
          <w:bCs/>
          <w:color w:val="B8600A"/>
          <w:sz w:val="30"/>
          <w:szCs w:val="30"/>
        </w:rPr>
        <w:t>6. Cómo asigna el supervisor</w:t>
      </w:r>
    </w:p>
    <w:p w14:paraId="2657DCB4" w14:textId="77777777" w:rsidR="00A32E0C" w:rsidRDefault="00000000">
      <w:pPr>
        <w:spacing w:after="140" w:line="300" w:lineRule="auto"/>
      </w:pPr>
      <w:r>
        <w:t>El flujo que se describió en la reunión es de dos pasos y así debe construirse la pantalla:</w:t>
      </w:r>
    </w:p>
    <w:p w14:paraId="13BAA7B5" w14:textId="77777777" w:rsidR="00A32E0C" w:rsidRDefault="00000000">
      <w:pPr>
        <w:pStyle w:val="Prrafodelista"/>
        <w:numPr>
          <w:ilvl w:val="0"/>
          <w:numId w:val="3"/>
        </w:numPr>
        <w:spacing w:after="90" w:line="300" w:lineRule="auto"/>
      </w:pPr>
      <w:r>
        <w:t>El supervisor ve una tabla con todas las entregas pendientes —cliente, municipio, peso, monto, orden de venta— y selecciona un grupo que tenga sentido recorrer junto. Ese grupo se convierte en un viaje.</w:t>
      </w:r>
    </w:p>
    <w:p w14:paraId="7AC074B6" w14:textId="77777777" w:rsidR="00A32E0C" w:rsidRDefault="00000000">
      <w:pPr>
        <w:pStyle w:val="Prrafodelista"/>
        <w:numPr>
          <w:ilvl w:val="0"/>
          <w:numId w:val="3"/>
        </w:numPr>
        <w:spacing w:after="90" w:line="300" w:lineRule="auto"/>
      </w:pPr>
      <w:r>
        <w:t>Al viaje le asigna un piloto y un camión. El criterio es del supervisor; el sistema solo advierte cuando el peso del grupo supera la capacidad de la unidad o cuando el piloto o el camión ya están ocupados en otro viaje del mismo día.</w:t>
      </w:r>
    </w:p>
    <w:p w14:paraId="444A5F88" w14:textId="77777777" w:rsidR="00A32E0C" w:rsidRDefault="00000000">
      <w:pPr>
        <w:spacing w:after="140" w:line="300" w:lineRule="auto"/>
      </w:pPr>
      <w:r>
        <w:t>El sistema no propone agrupaciones automáticas. Se confirmó que la decisión es del supervisor y el módulo debe respetarla; cualquier optimización de rutas queda para una etapa posterior.</w:t>
      </w:r>
    </w:p>
    <w:p w14:paraId="743FB028" w14:textId="77777777" w:rsidR="00A32E0C" w:rsidRDefault="00000000">
      <w:pPr>
        <w:pStyle w:val="Ttulo1"/>
        <w:spacing w:before="340" w:after="180"/>
      </w:pPr>
      <w:r>
        <w:rPr>
          <w:b/>
          <w:bCs/>
          <w:color w:val="B8600A"/>
          <w:sz w:val="30"/>
          <w:szCs w:val="30"/>
        </w:rPr>
        <w:t>7. Puntos abiertos</w:t>
      </w:r>
    </w:p>
    <w:p w14:paraId="4A55E0DF" w14:textId="77777777" w:rsidR="00A32E0C" w:rsidRDefault="00000000">
      <w:pPr>
        <w:spacing w:after="140" w:line="300" w:lineRule="auto"/>
      </w:pPr>
      <w:r>
        <w:t>Tres decisiones faltan para poder empezar a construir. Ninguna bloquea el diseño de la tabla, pero sí el comportamiento del módulo.</w:t>
      </w:r>
    </w:p>
    <w:tbl>
      <w:tblPr>
        <w:tblW w:w="9640" w:type="dxa"/>
        <w:tblBorders>
          <w:top w:val="single" w:sz="2" w:space="0" w:color="C9D2DE"/>
          <w:left w:val="single" w:sz="2" w:space="0" w:color="C9D2DE"/>
          <w:bottom w:val="single" w:sz="2" w:space="0" w:color="C9D2DE"/>
          <w:right w:val="single" w:sz="2" w:space="0" w:color="C9D2DE"/>
          <w:insideH w:val="single" w:sz="2" w:space="0" w:color="E2E8F0"/>
          <w:insideV w:val="single" w:sz="2" w:space="0" w:color="E2E8F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640"/>
        <w:gridCol w:w="4500"/>
      </w:tblGrid>
      <w:tr w:rsidR="00A32E0C" w14:paraId="7566D752" w14:textId="77777777">
        <w:trPr>
          <w:tblHeader/>
        </w:trPr>
        <w:tc>
          <w:tcPr>
            <w:tcW w:w="50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A0AC0B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64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F50474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Pregunta</w:t>
            </w:r>
          </w:p>
        </w:tc>
        <w:tc>
          <w:tcPr>
            <w:tcW w:w="4500" w:type="dxa"/>
            <w:shd w:val="clear" w:color="auto" w:fill="B8600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B8A38A" w14:textId="77777777" w:rsidR="00A32E0C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Por qué importa</w:t>
            </w:r>
          </w:p>
        </w:tc>
      </w:tr>
      <w:tr w:rsidR="00A32E0C" w14:paraId="5C243BCC" w14:textId="77777777">
        <w:tc>
          <w:tcPr>
            <w:tcW w:w="5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F5E1A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6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A9C1EB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¿Qué pasa si SAP anula una entrega que ya está asignada a un viaje?</w:t>
            </w:r>
          </w:p>
        </w:tc>
        <w:tc>
          <w:tcPr>
            <w:tcW w:w="45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81303C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Define si el sistema la retira sola del viaje y avisa, o si bloquea la anulación en pantalla.</w:t>
            </w:r>
          </w:p>
        </w:tc>
      </w:tr>
      <w:tr w:rsidR="00A32E0C" w14:paraId="69635357" w14:textId="77777777">
        <w:tc>
          <w:tcPr>
            <w:tcW w:w="5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16DE51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64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5BC822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¿La sincronización con SAP es manual o automática?</w:t>
            </w:r>
          </w:p>
        </w:tc>
        <w:tc>
          <w:tcPr>
            <w:tcW w:w="4500" w:type="dxa"/>
            <w:shd w:val="clear" w:color="auto" w:fill="F1F5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1979D3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Si es automática hay que definir cada cuánto; si es manual, quién tiene el botón.</w:t>
            </w:r>
          </w:p>
        </w:tc>
      </w:tr>
      <w:tr w:rsidR="00A32E0C" w14:paraId="6108C8C9" w14:textId="77777777">
        <w:tc>
          <w:tcPr>
            <w:tcW w:w="5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811995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64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BF2EF6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¿Un viaje puede llevar entregas de fechas distintas?</w:t>
            </w:r>
          </w:p>
        </w:tc>
        <w:tc>
          <w:tcPr>
            <w:tcW w:w="45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79784C" w14:textId="77777777" w:rsidR="00A32E0C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Determina si la fecha del documento restringe el armado del viaje.</w:t>
            </w:r>
          </w:p>
        </w:tc>
      </w:tr>
    </w:tbl>
    <w:p w14:paraId="290BA44F" w14:textId="77777777" w:rsidR="00A32E0C" w:rsidRDefault="00A32E0C">
      <w:pPr>
        <w:spacing w:before="260"/>
      </w:pPr>
    </w:p>
    <w:p w14:paraId="3EAB23A5" w14:textId="77777777" w:rsidR="00A32E0C" w:rsidRDefault="00A32E0C">
      <w:pPr>
        <w:pBdr>
          <w:bottom w:val="single" w:sz="6" w:space="1" w:color="D8DEE7"/>
        </w:pBdr>
        <w:spacing w:before="120" w:after="200"/>
      </w:pPr>
    </w:p>
    <w:p w14:paraId="46834C94" w14:textId="77777777" w:rsidR="00A32E0C" w:rsidRDefault="00000000">
      <w:pPr>
        <w:spacing w:after="140" w:line="300" w:lineRule="auto"/>
      </w:pPr>
      <w:r>
        <w:rPr>
          <w:color w:val="64748B"/>
        </w:rPr>
        <w:t>Con estas tres respuestas el módulo puede pasar a construcción: primero los procedimientos almacenados de sincronización y consulta, después la API y por último la pantalla del supervisor. La aplicación móvil del piloto consume estas mismas tablas sin cambios.</w:t>
      </w:r>
    </w:p>
    <w:sectPr w:rsidR="00A32E0C">
      <w:pgSz w:w="12240" w:h="15840"/>
      <w:pgMar w:top="1200" w:right="1300" w:bottom="12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07C95"/>
    <w:multiLevelType w:val="hybridMultilevel"/>
    <w:tmpl w:val="5AB2E082"/>
    <w:lvl w:ilvl="0" w:tplc="9D6A697C">
      <w:start w:val="1"/>
      <w:numFmt w:val="bullet"/>
      <w:lvlText w:val="•"/>
      <w:lvlJc w:val="left"/>
      <w:pPr>
        <w:ind w:left="420" w:hanging="240"/>
      </w:pPr>
    </w:lvl>
    <w:lvl w:ilvl="1" w:tplc="2D7C5058">
      <w:numFmt w:val="decimal"/>
      <w:lvlText w:val=""/>
      <w:lvlJc w:val="left"/>
    </w:lvl>
    <w:lvl w:ilvl="2" w:tplc="BF48C3F2">
      <w:numFmt w:val="decimal"/>
      <w:lvlText w:val=""/>
      <w:lvlJc w:val="left"/>
    </w:lvl>
    <w:lvl w:ilvl="3" w:tplc="9E8CDFE2">
      <w:numFmt w:val="decimal"/>
      <w:lvlText w:val=""/>
      <w:lvlJc w:val="left"/>
    </w:lvl>
    <w:lvl w:ilvl="4" w:tplc="A2D077A6">
      <w:numFmt w:val="decimal"/>
      <w:lvlText w:val=""/>
      <w:lvlJc w:val="left"/>
    </w:lvl>
    <w:lvl w:ilvl="5" w:tplc="A5F405E8">
      <w:numFmt w:val="decimal"/>
      <w:lvlText w:val=""/>
      <w:lvlJc w:val="left"/>
    </w:lvl>
    <w:lvl w:ilvl="6" w:tplc="DF2EAA86">
      <w:numFmt w:val="decimal"/>
      <w:lvlText w:val=""/>
      <w:lvlJc w:val="left"/>
    </w:lvl>
    <w:lvl w:ilvl="7" w:tplc="8B62ADD0">
      <w:numFmt w:val="decimal"/>
      <w:lvlText w:val=""/>
      <w:lvlJc w:val="left"/>
    </w:lvl>
    <w:lvl w:ilvl="8" w:tplc="AAFAC316">
      <w:numFmt w:val="decimal"/>
      <w:lvlText w:val=""/>
      <w:lvlJc w:val="left"/>
    </w:lvl>
  </w:abstractNum>
  <w:abstractNum w:abstractNumId="1" w15:restartNumberingAfterBreak="0">
    <w:nsid w:val="0BE3397D"/>
    <w:multiLevelType w:val="hybridMultilevel"/>
    <w:tmpl w:val="B7D0153A"/>
    <w:lvl w:ilvl="0" w:tplc="AE64A590">
      <w:start w:val="1"/>
      <w:numFmt w:val="bullet"/>
      <w:lvlText w:val="●"/>
      <w:lvlJc w:val="left"/>
      <w:pPr>
        <w:ind w:left="720" w:hanging="360"/>
      </w:pPr>
    </w:lvl>
    <w:lvl w:ilvl="1" w:tplc="31D2CADA">
      <w:start w:val="1"/>
      <w:numFmt w:val="bullet"/>
      <w:lvlText w:val="○"/>
      <w:lvlJc w:val="left"/>
      <w:pPr>
        <w:ind w:left="1440" w:hanging="360"/>
      </w:pPr>
    </w:lvl>
    <w:lvl w:ilvl="2" w:tplc="A45CE672">
      <w:start w:val="1"/>
      <w:numFmt w:val="bullet"/>
      <w:lvlText w:val="■"/>
      <w:lvlJc w:val="left"/>
      <w:pPr>
        <w:ind w:left="2160" w:hanging="360"/>
      </w:pPr>
    </w:lvl>
    <w:lvl w:ilvl="3" w:tplc="41969EB6">
      <w:start w:val="1"/>
      <w:numFmt w:val="bullet"/>
      <w:lvlText w:val="●"/>
      <w:lvlJc w:val="left"/>
      <w:pPr>
        <w:ind w:left="2880" w:hanging="360"/>
      </w:pPr>
    </w:lvl>
    <w:lvl w:ilvl="4" w:tplc="2990FC02">
      <w:start w:val="1"/>
      <w:numFmt w:val="bullet"/>
      <w:lvlText w:val="○"/>
      <w:lvlJc w:val="left"/>
      <w:pPr>
        <w:ind w:left="3600" w:hanging="360"/>
      </w:pPr>
    </w:lvl>
    <w:lvl w:ilvl="5" w:tplc="93349FC0">
      <w:start w:val="1"/>
      <w:numFmt w:val="bullet"/>
      <w:lvlText w:val="■"/>
      <w:lvlJc w:val="left"/>
      <w:pPr>
        <w:ind w:left="4320" w:hanging="360"/>
      </w:pPr>
    </w:lvl>
    <w:lvl w:ilvl="6" w:tplc="2F8802B0">
      <w:start w:val="1"/>
      <w:numFmt w:val="bullet"/>
      <w:lvlText w:val="●"/>
      <w:lvlJc w:val="left"/>
      <w:pPr>
        <w:ind w:left="5040" w:hanging="360"/>
      </w:pPr>
    </w:lvl>
    <w:lvl w:ilvl="7" w:tplc="878EECC8">
      <w:start w:val="1"/>
      <w:numFmt w:val="bullet"/>
      <w:lvlText w:val="●"/>
      <w:lvlJc w:val="left"/>
      <w:pPr>
        <w:ind w:left="5760" w:hanging="360"/>
      </w:pPr>
    </w:lvl>
    <w:lvl w:ilvl="8" w:tplc="4F84F91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57E5A12"/>
    <w:multiLevelType w:val="hybridMultilevel"/>
    <w:tmpl w:val="7D0830B8"/>
    <w:lvl w:ilvl="0" w:tplc="6CA0BF62">
      <w:start w:val="1"/>
      <w:numFmt w:val="decimal"/>
      <w:lvlText w:val="%1."/>
      <w:lvlJc w:val="left"/>
      <w:pPr>
        <w:ind w:left="460" w:hanging="280"/>
      </w:pPr>
    </w:lvl>
    <w:lvl w:ilvl="1" w:tplc="AB22E2C8">
      <w:numFmt w:val="decimal"/>
      <w:lvlText w:val=""/>
      <w:lvlJc w:val="left"/>
    </w:lvl>
    <w:lvl w:ilvl="2" w:tplc="8E724EA4">
      <w:numFmt w:val="decimal"/>
      <w:lvlText w:val=""/>
      <w:lvlJc w:val="left"/>
    </w:lvl>
    <w:lvl w:ilvl="3" w:tplc="5B86850C">
      <w:numFmt w:val="decimal"/>
      <w:lvlText w:val=""/>
      <w:lvlJc w:val="left"/>
    </w:lvl>
    <w:lvl w:ilvl="4" w:tplc="AAF27BE6">
      <w:numFmt w:val="decimal"/>
      <w:lvlText w:val=""/>
      <w:lvlJc w:val="left"/>
    </w:lvl>
    <w:lvl w:ilvl="5" w:tplc="9E42DA16">
      <w:numFmt w:val="decimal"/>
      <w:lvlText w:val=""/>
      <w:lvlJc w:val="left"/>
    </w:lvl>
    <w:lvl w:ilvl="6" w:tplc="297E4BE0">
      <w:numFmt w:val="decimal"/>
      <w:lvlText w:val=""/>
      <w:lvlJc w:val="left"/>
    </w:lvl>
    <w:lvl w:ilvl="7" w:tplc="60ECD89A">
      <w:numFmt w:val="decimal"/>
      <w:lvlText w:val=""/>
      <w:lvlJc w:val="left"/>
    </w:lvl>
    <w:lvl w:ilvl="8" w:tplc="18387B9E">
      <w:numFmt w:val="decimal"/>
      <w:lvlText w:val=""/>
      <w:lvlJc w:val="left"/>
    </w:lvl>
  </w:abstractNum>
  <w:num w:numId="1" w16cid:durableId="627012044">
    <w:abstractNumId w:val="1"/>
    <w:lvlOverride w:ilvl="0">
      <w:startOverride w:val="1"/>
    </w:lvlOverride>
  </w:num>
  <w:num w:numId="2" w16cid:durableId="1343699852">
    <w:abstractNumId w:val="0"/>
    <w:lvlOverride w:ilvl="0">
      <w:startOverride w:val="1"/>
    </w:lvlOverride>
  </w:num>
  <w:num w:numId="3" w16cid:durableId="150759329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E0C"/>
    <w:rsid w:val="00000131"/>
    <w:rsid w:val="00024A91"/>
    <w:rsid w:val="00257072"/>
    <w:rsid w:val="007728A9"/>
    <w:rsid w:val="009C4D38"/>
    <w:rsid w:val="00A22061"/>
    <w:rsid w:val="00A32E0C"/>
    <w:rsid w:val="00C96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0BDC2E"/>
  <w15:docId w15:val="{222DE4FF-5ECF-40EA-8E53-FF8AAFA6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1187</Words>
  <Characters>6532</Characters>
  <Application>Microsoft Office Word</Application>
  <DocSecurity>0</DocSecurity>
  <Lines>54</Lines>
  <Paragraphs>15</Paragraphs>
  <ScaleCrop>false</ScaleCrop>
  <Company/>
  <LinksUpToDate>false</LinksUpToDate>
  <CharactersWithSpaces>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Módulo de entregas — Análisis funcional</dc:title>
  <dc:creator>GBP — TMS</dc:creator>
  <dc:description>Análisis del módulo de entregas del TMS y revisión del diagrama UML.</dc:description>
  <cp:lastModifiedBy>Brayan Ruiz</cp:lastModifiedBy>
  <cp:revision>6</cp:revision>
  <dcterms:created xsi:type="dcterms:W3CDTF">2026-09-09T17:43:00Z</dcterms:created>
  <dcterms:modified xsi:type="dcterms:W3CDTF">2026-09-11T15:58:00Z</dcterms:modified>
</cp:coreProperties>
</file>